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5CB6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sz w:val="24"/>
          <w:szCs w:val="24"/>
        </w:rPr>
      </w:pPr>
      <w:r>
        <w:rPr>
          <w:rFonts w:hint="eastAsia"/>
          <w:b/>
          <w:sz w:val="28"/>
        </w:rPr>
        <w:t>《达州普光化</w:t>
      </w:r>
      <w:bookmarkStart w:id="0" w:name="_GoBack"/>
      <w:bookmarkEnd w:id="0"/>
      <w:r>
        <w:rPr>
          <w:rFonts w:hint="eastAsia"/>
          <w:b/>
          <w:sz w:val="28"/>
        </w:rPr>
        <w:t>工园区控制性详细规划》（征求意见稿）</w:t>
      </w:r>
    </w:p>
    <w:p w14:paraId="10CF672D">
      <w:pPr>
        <w:spacing w:line="360" w:lineRule="auto"/>
        <w:ind w:firstLine="480" w:firstLineChars="200"/>
        <w:rPr>
          <w:rFonts w:hint="eastAsia" w:ascii="宋体" w:hAnsi="宋体" w:eastAsia="宋体"/>
          <w:sz w:val="24"/>
          <w:szCs w:val="24"/>
        </w:rPr>
      </w:pPr>
    </w:p>
    <w:p w14:paraId="3CB43F15">
      <w:pPr>
        <w:spacing w:line="360" w:lineRule="auto"/>
        <w:ind w:firstLine="480" w:firstLineChars="200"/>
        <w:rPr>
          <w:rFonts w:ascii="宋体" w:hAnsi="宋体" w:eastAsia="宋体"/>
          <w:sz w:val="24"/>
          <w:szCs w:val="24"/>
        </w:rPr>
      </w:pPr>
      <w:r>
        <w:rPr>
          <w:rFonts w:hint="eastAsia" w:ascii="宋体" w:hAnsi="宋体" w:eastAsia="宋体"/>
          <w:sz w:val="24"/>
          <w:szCs w:val="24"/>
        </w:rPr>
        <w:t>为指导达州普光化工园区的开发建设，统筹安排规划范围内的土地使用和各项建设，为达州普光化工园区的规划建设与管理提供依据，特制定《达州普光化工园区控制性详细规划》，按照《中华人民共和国城乡规划法》等的要求，现对该方案进行公示。</w:t>
      </w:r>
    </w:p>
    <w:p w14:paraId="728A4847">
      <w:pPr>
        <w:spacing w:line="360" w:lineRule="auto"/>
        <w:ind w:firstLine="482" w:firstLineChars="200"/>
        <w:rPr>
          <w:rFonts w:ascii="宋体" w:hAnsi="宋体" w:eastAsia="宋体"/>
          <w:b/>
          <w:sz w:val="24"/>
          <w:szCs w:val="24"/>
        </w:rPr>
      </w:pPr>
      <w:r>
        <w:rPr>
          <w:rFonts w:hint="eastAsia" w:ascii="宋体" w:hAnsi="宋体" w:eastAsia="宋体"/>
          <w:b/>
          <w:sz w:val="24"/>
          <w:szCs w:val="24"/>
        </w:rPr>
        <w:t>一、规划背景</w:t>
      </w:r>
    </w:p>
    <w:p w14:paraId="3EF7B407">
      <w:pPr>
        <w:spacing w:line="360" w:lineRule="auto"/>
        <w:ind w:firstLine="480" w:firstLineChars="200"/>
        <w:rPr>
          <w:rFonts w:ascii="宋体" w:hAnsi="宋体" w:eastAsia="宋体"/>
          <w:sz w:val="24"/>
          <w:szCs w:val="24"/>
        </w:rPr>
      </w:pPr>
      <w:r>
        <w:rPr>
          <w:rFonts w:hint="eastAsia" w:ascii="宋体" w:hAnsi="宋体" w:eastAsia="宋体"/>
          <w:sz w:val="24"/>
          <w:szCs w:val="24"/>
        </w:rPr>
        <w:t>“十四五”时期，是达州普光化工园区处于国家战略政策叠加，区域格局重塑的战略机遇期，处于经济增量增效、产业转型升级重要时期。为落实《中共中央关于制定国民经济和社会发展第十四个五年规划和二〇三五年远景目标的建议》《成渝地区双城经济圈建设规划纲要》和《关于新时代推进西部大开发形成新格局的指导意见》的精神，贯彻执行中共四川省委、四川省政府《关于全面推动高质量发展的决定》《关于加快构建“</w:t>
      </w:r>
      <w:r>
        <w:rPr>
          <w:rFonts w:ascii="宋体" w:hAnsi="宋体" w:eastAsia="宋体"/>
          <w:sz w:val="24"/>
          <w:szCs w:val="24"/>
        </w:rPr>
        <w:t>5+1”现代产业体系推动经济高质量发展的意见》、四川省经信厅《绿色化工产业培养方案》以及《中共四川省委十一届十次全会》对天然气开采及</w:t>
      </w:r>
      <w:r>
        <w:rPr>
          <w:rFonts w:hint="eastAsia" w:ascii="宋体" w:hAnsi="宋体" w:eastAsia="宋体"/>
          <w:sz w:val="24"/>
          <w:szCs w:val="24"/>
        </w:rPr>
        <w:t>天然气主产地化工产业发展的支持，达州普光经开区管委会为推动普光化工园区化学工业绿色、协同、高质量发展，特组织编制《达州普光化工园区控制性详细规划》（以下简称“本规划”）。</w:t>
      </w:r>
    </w:p>
    <w:p w14:paraId="191593CF">
      <w:pPr>
        <w:spacing w:line="360" w:lineRule="auto"/>
        <w:ind w:firstLine="482" w:firstLineChars="200"/>
        <w:rPr>
          <w:rFonts w:ascii="宋体" w:hAnsi="宋体" w:eastAsia="宋体"/>
          <w:b/>
          <w:sz w:val="24"/>
          <w:szCs w:val="24"/>
        </w:rPr>
      </w:pPr>
      <w:r>
        <w:rPr>
          <w:rFonts w:hint="eastAsia" w:ascii="宋体" w:hAnsi="宋体" w:eastAsia="宋体"/>
          <w:b/>
          <w:sz w:val="24"/>
          <w:szCs w:val="24"/>
        </w:rPr>
        <w:t>二、规划范围</w:t>
      </w:r>
    </w:p>
    <w:p w14:paraId="558E8B9E">
      <w:pPr>
        <w:spacing w:line="360" w:lineRule="auto"/>
        <w:ind w:firstLine="480" w:firstLineChars="200"/>
        <w:rPr>
          <w:rFonts w:ascii="宋体" w:hAnsi="宋体" w:eastAsia="宋体"/>
          <w:sz w:val="24"/>
          <w:szCs w:val="24"/>
        </w:rPr>
      </w:pPr>
      <w:r>
        <w:rPr>
          <w:rFonts w:hint="eastAsia" w:ascii="宋体" w:hAnsi="宋体" w:eastAsia="宋体"/>
          <w:sz w:val="24"/>
          <w:szCs w:val="24"/>
        </w:rPr>
        <w:t>本次规划位于达州普光经济开发区普光功能区，化工园区范围东至普光镇小杨家嘴</w:t>
      </w:r>
      <w:r>
        <w:rPr>
          <w:rFonts w:ascii="宋体" w:hAnsi="宋体" w:eastAsia="宋体"/>
          <w:sz w:val="24"/>
          <w:szCs w:val="24"/>
        </w:rPr>
        <w:t>，南至后巴河，西至普光镇铁路桥河道，北至普光镇杏树村，规划面积444.18公顷。</w:t>
      </w:r>
    </w:p>
    <w:p w14:paraId="463A656A">
      <w:pPr>
        <w:spacing w:line="360" w:lineRule="auto"/>
        <w:jc w:val="center"/>
        <w:rPr>
          <w:rFonts w:ascii="宋体" w:hAnsi="宋体" w:eastAsia="宋体"/>
          <w:sz w:val="24"/>
          <w:szCs w:val="24"/>
        </w:rPr>
      </w:pPr>
      <w:r>
        <w:drawing>
          <wp:inline distT="0" distB="0" distL="0" distR="0">
            <wp:extent cx="4220845" cy="271018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238853" cy="2722133"/>
                    </a:xfrm>
                    <a:prstGeom prst="rect">
                      <a:avLst/>
                    </a:prstGeom>
                  </pic:spPr>
                </pic:pic>
              </a:graphicData>
            </a:graphic>
          </wp:inline>
        </w:drawing>
      </w:r>
    </w:p>
    <w:p w14:paraId="52D5E118">
      <w:pPr>
        <w:spacing w:line="360" w:lineRule="auto"/>
        <w:jc w:val="center"/>
        <w:rPr>
          <w:rFonts w:hint="eastAsia" w:ascii="宋体" w:hAnsi="宋体" w:eastAsia="宋体"/>
          <w:sz w:val="24"/>
          <w:szCs w:val="24"/>
        </w:rPr>
      </w:pPr>
      <w:r>
        <w:rPr>
          <w:rFonts w:hint="eastAsia" w:ascii="宋体" w:hAnsi="宋体" w:eastAsia="宋体"/>
          <w:sz w:val="24"/>
          <w:szCs w:val="24"/>
        </w:rPr>
        <w:t>图1：达州普光化工园区区位分析图</w:t>
      </w:r>
    </w:p>
    <w:p w14:paraId="588F67E9">
      <w:pPr>
        <w:spacing w:line="360" w:lineRule="auto"/>
        <w:ind w:firstLine="482" w:firstLineChars="200"/>
        <w:rPr>
          <w:rFonts w:ascii="宋体" w:hAnsi="宋体" w:eastAsia="宋体"/>
          <w:b/>
          <w:sz w:val="24"/>
          <w:szCs w:val="24"/>
        </w:rPr>
      </w:pPr>
      <w:r>
        <w:rPr>
          <w:rFonts w:hint="eastAsia" w:ascii="宋体" w:hAnsi="宋体" w:eastAsia="宋体"/>
          <w:b/>
          <w:sz w:val="24"/>
          <w:szCs w:val="24"/>
        </w:rPr>
        <w:t>三、指导思想</w:t>
      </w:r>
    </w:p>
    <w:p w14:paraId="273985F2">
      <w:pPr>
        <w:spacing w:line="360" w:lineRule="auto"/>
        <w:ind w:firstLine="480" w:firstLineChars="200"/>
        <w:rPr>
          <w:rFonts w:ascii="宋体" w:hAnsi="宋体" w:eastAsia="宋体"/>
          <w:sz w:val="24"/>
          <w:szCs w:val="24"/>
        </w:rPr>
      </w:pPr>
      <w:r>
        <w:rPr>
          <w:rFonts w:hint="eastAsia" w:ascii="宋体" w:hAnsi="宋体" w:eastAsia="宋体"/>
          <w:sz w:val="24"/>
          <w:szCs w:val="24"/>
        </w:rPr>
        <w:t>认真贯彻党的二十大精神，在国家西部大开发战略和国务院关于加快发展低碳经济、循环经济战略指导思想的指导下，按照“减量化、再利用、资源化”的原则，采用各种有效措施，以尽可能少的资源消耗和尽可能少的环境代价，取得最大的经济产出和最少的废物排放，实现经济、环境和社会效益相统一。</w:t>
      </w:r>
    </w:p>
    <w:p w14:paraId="401FC728">
      <w:pPr>
        <w:spacing w:line="360" w:lineRule="auto"/>
        <w:ind w:firstLine="482" w:firstLineChars="200"/>
        <w:rPr>
          <w:rFonts w:ascii="宋体" w:hAnsi="宋体" w:eastAsia="宋体"/>
          <w:b/>
          <w:sz w:val="24"/>
          <w:szCs w:val="24"/>
        </w:rPr>
      </w:pPr>
      <w:r>
        <w:rPr>
          <w:rFonts w:hint="eastAsia" w:ascii="宋体" w:hAnsi="宋体" w:eastAsia="宋体"/>
          <w:b/>
          <w:sz w:val="24"/>
          <w:szCs w:val="24"/>
        </w:rPr>
        <w:t>四、总体发展目标</w:t>
      </w:r>
    </w:p>
    <w:p w14:paraId="17B21AF5">
      <w:pPr>
        <w:spacing w:line="360" w:lineRule="auto"/>
        <w:ind w:firstLine="480" w:firstLineChars="200"/>
        <w:rPr>
          <w:rFonts w:ascii="宋体" w:hAnsi="宋体" w:eastAsia="宋体"/>
          <w:sz w:val="24"/>
          <w:szCs w:val="24"/>
        </w:rPr>
      </w:pPr>
      <w:r>
        <w:rPr>
          <w:rFonts w:hint="eastAsia" w:ascii="宋体" w:hAnsi="宋体" w:eastAsia="宋体"/>
          <w:sz w:val="24"/>
          <w:szCs w:val="24"/>
        </w:rPr>
        <w:t>以资源为依托，推进能源化工产业延链补链，提升天然气、硫磺、锂、钾等资源的开采利用和本地化转化率，围绕“促进优势资源就地转化利用”转型发展主题，坚持智能化、高端化、融合化、绿色化发展方向，建成全国新能源新材料综合利用示范区、万达开天然气锂钾综合利用集聚区先行区、全国第三大钾肥基地，成为宣汉县加快建设全国“千亿县”、争当县域发展“排头兵”的主要引擎。</w:t>
      </w:r>
    </w:p>
    <w:p w14:paraId="251EA09A">
      <w:pPr>
        <w:spacing w:line="360" w:lineRule="auto"/>
        <w:ind w:firstLine="480" w:firstLineChars="200"/>
        <w:rPr>
          <w:rFonts w:ascii="宋体" w:hAnsi="宋体" w:eastAsia="宋体"/>
          <w:sz w:val="24"/>
          <w:szCs w:val="24"/>
        </w:rPr>
      </w:pPr>
      <w:r>
        <w:rPr>
          <w:rFonts w:hint="eastAsia" w:ascii="宋体" w:hAnsi="宋体" w:eastAsia="宋体"/>
          <w:sz w:val="24"/>
          <w:szCs w:val="24"/>
        </w:rPr>
        <w:t>到</w:t>
      </w:r>
      <w:r>
        <w:rPr>
          <w:rFonts w:ascii="宋体" w:hAnsi="宋体" w:eastAsia="宋体"/>
          <w:sz w:val="24"/>
          <w:szCs w:val="24"/>
        </w:rPr>
        <w:t xml:space="preserve"> 2027年，依托天然气和富锂钾卤水两大资源，近期围绕天然气、锂、钾、钠、硫磺等原料，引入下游深加工企业及相关产品链配套企业，行业总产值达到700亿元。</w:t>
      </w:r>
    </w:p>
    <w:p w14:paraId="13BCDB08">
      <w:pPr>
        <w:spacing w:line="360" w:lineRule="auto"/>
        <w:ind w:firstLine="480" w:firstLineChars="200"/>
        <w:rPr>
          <w:rFonts w:ascii="宋体" w:hAnsi="宋体" w:eastAsia="宋体"/>
          <w:sz w:val="24"/>
          <w:szCs w:val="24"/>
        </w:rPr>
      </w:pPr>
      <w:r>
        <w:rPr>
          <w:rFonts w:hint="eastAsia" w:ascii="宋体" w:hAnsi="宋体" w:eastAsia="宋体"/>
          <w:sz w:val="24"/>
          <w:szCs w:val="24"/>
        </w:rPr>
        <w:t>到</w:t>
      </w:r>
      <w:r>
        <w:rPr>
          <w:rFonts w:ascii="宋体" w:hAnsi="宋体" w:eastAsia="宋体"/>
          <w:sz w:val="24"/>
          <w:szCs w:val="24"/>
        </w:rPr>
        <w:t xml:space="preserve"> 2035 年，化工产业不断发展，行业总产值达到1000亿元。</w:t>
      </w:r>
    </w:p>
    <w:p w14:paraId="62139B9D">
      <w:pPr>
        <w:spacing w:line="360" w:lineRule="auto"/>
        <w:ind w:firstLine="482" w:firstLineChars="200"/>
        <w:rPr>
          <w:rFonts w:ascii="宋体" w:hAnsi="宋体" w:eastAsia="宋体"/>
          <w:b/>
          <w:sz w:val="24"/>
          <w:szCs w:val="24"/>
        </w:rPr>
      </w:pPr>
      <w:r>
        <w:rPr>
          <w:rFonts w:hint="eastAsia" w:ascii="宋体" w:hAnsi="宋体" w:eastAsia="宋体"/>
          <w:b/>
          <w:sz w:val="24"/>
          <w:szCs w:val="24"/>
        </w:rPr>
        <w:t>五、产业体系</w:t>
      </w:r>
    </w:p>
    <w:p w14:paraId="4AE7AD73">
      <w:pPr>
        <w:spacing w:line="360" w:lineRule="auto"/>
        <w:ind w:firstLine="480" w:firstLineChars="200"/>
        <w:rPr>
          <w:rFonts w:ascii="宋体" w:hAnsi="宋体" w:eastAsia="宋体"/>
          <w:sz w:val="24"/>
          <w:szCs w:val="24"/>
        </w:rPr>
      </w:pPr>
      <w:r>
        <w:rPr>
          <w:rFonts w:hint="eastAsia" w:ascii="宋体" w:hAnsi="宋体" w:eastAsia="宋体"/>
          <w:sz w:val="24"/>
          <w:szCs w:val="24"/>
        </w:rPr>
        <w:t>依托区域内万亿级的天然气硫磺和锂钾资源和产业基础，大力发展天然气化工、硫化工、锂钾综合开发三条主导产业链。</w:t>
      </w:r>
    </w:p>
    <w:p w14:paraId="0C66F735">
      <w:pPr>
        <w:spacing w:line="360" w:lineRule="auto"/>
        <w:ind w:firstLine="480" w:firstLineChars="200"/>
        <w:rPr>
          <w:rFonts w:ascii="宋体" w:hAnsi="宋体" w:eastAsia="宋体"/>
          <w:sz w:val="24"/>
          <w:szCs w:val="24"/>
        </w:rPr>
      </w:pPr>
      <w:r>
        <w:rPr>
          <w:rFonts w:hint="eastAsia" w:ascii="宋体" w:hAnsi="宋体" w:eastAsia="宋体"/>
          <w:sz w:val="24"/>
          <w:szCs w:val="24"/>
        </w:rPr>
        <w:t>以提升产业竞争力为核心，依托本地资源优势，以建链、延链、强链、补链为途径，以发展高端产业集群为方向，以产业终端材料市场需求为导向，立足于资源本地化转化，走资源转换、可持续、绿色低碳发展的道路，重点发展面向四川、陕西和重庆等地的电子信息产业、汽车制造等领域需要的高端化工新材料和高端专用化学品。加大锂钾资源的工业化开采力度，加快龙头企业的引进和落地力度，将达州普光化工园区建设成全国新能源新材料综合利用示范区、万达开天然气锂钾综合利用集聚区先行区、全国第三大钾肥基地，推动普光绿色化工与区域产业上下游产业链协同发展。</w:t>
      </w:r>
    </w:p>
    <w:p w14:paraId="11D44AC8">
      <w:pPr>
        <w:spacing w:line="360" w:lineRule="auto"/>
        <w:ind w:firstLine="480" w:firstLineChars="200"/>
        <w:rPr>
          <w:rFonts w:ascii="宋体" w:hAnsi="宋体" w:eastAsia="宋体"/>
          <w:sz w:val="24"/>
          <w:szCs w:val="24"/>
        </w:rPr>
      </w:pPr>
      <w:r>
        <w:rPr>
          <w:rFonts w:hint="eastAsia" w:ascii="宋体" w:hAnsi="宋体" w:eastAsia="宋体"/>
          <w:sz w:val="24"/>
          <w:szCs w:val="24"/>
        </w:rPr>
        <w:t>通过内培外引，做大做强能源化工产业园，放大天然气、硫磺、锂钾资源优势，依托气价优势，加快推进能源化工产业向复合型、功能型发展。</w:t>
      </w:r>
    </w:p>
    <w:p w14:paraId="6133489A">
      <w:pPr>
        <w:spacing w:line="360" w:lineRule="auto"/>
        <w:ind w:firstLine="480" w:firstLineChars="200"/>
        <w:rPr>
          <w:rFonts w:hint="eastAsia" w:ascii="宋体" w:hAnsi="宋体" w:eastAsia="宋体"/>
          <w:sz w:val="24"/>
          <w:szCs w:val="24"/>
        </w:rPr>
      </w:pPr>
    </w:p>
    <w:p w14:paraId="49EC0F5B">
      <w:pPr>
        <w:spacing w:line="360" w:lineRule="auto"/>
        <w:ind w:firstLine="482" w:firstLineChars="200"/>
        <w:rPr>
          <w:rFonts w:ascii="宋体" w:hAnsi="宋体" w:eastAsia="宋体"/>
          <w:b/>
          <w:sz w:val="24"/>
          <w:szCs w:val="24"/>
        </w:rPr>
      </w:pPr>
      <w:r>
        <w:rPr>
          <w:rFonts w:hint="eastAsia" w:ascii="宋体" w:hAnsi="宋体" w:eastAsia="宋体"/>
          <w:b/>
          <w:sz w:val="24"/>
          <w:szCs w:val="24"/>
        </w:rPr>
        <w:t>六、功能分区</w:t>
      </w:r>
    </w:p>
    <w:p w14:paraId="5EF8873C">
      <w:pPr>
        <w:spacing w:line="360" w:lineRule="auto"/>
        <w:ind w:firstLine="480" w:firstLineChars="200"/>
        <w:rPr>
          <w:rFonts w:ascii="宋体" w:hAnsi="宋体" w:eastAsia="宋体"/>
          <w:sz w:val="24"/>
          <w:szCs w:val="24"/>
        </w:rPr>
      </w:pPr>
      <w:r>
        <w:rPr>
          <w:rFonts w:hint="eastAsia" w:ascii="宋体" w:hAnsi="宋体" w:eastAsia="宋体"/>
          <w:sz w:val="24"/>
          <w:szCs w:val="24"/>
        </w:rPr>
        <w:t>规划化工园区形成“一轴连三区”的功能结构。</w:t>
      </w:r>
    </w:p>
    <w:p w14:paraId="292AEE02">
      <w:pPr>
        <w:spacing w:line="360" w:lineRule="auto"/>
        <w:ind w:firstLine="480" w:firstLineChars="200"/>
        <w:rPr>
          <w:rFonts w:ascii="宋体" w:hAnsi="宋体" w:eastAsia="宋体"/>
          <w:sz w:val="24"/>
          <w:szCs w:val="24"/>
        </w:rPr>
      </w:pPr>
      <w:r>
        <w:rPr>
          <w:rFonts w:hint="eastAsia" w:ascii="宋体" w:hAnsi="宋体" w:eastAsia="宋体"/>
          <w:sz w:val="24"/>
          <w:szCs w:val="24"/>
        </w:rPr>
        <w:t>一轴：依托锂钾大道、</w:t>
      </w:r>
      <w:r>
        <w:rPr>
          <w:rFonts w:ascii="宋体" w:hAnsi="宋体" w:eastAsia="宋体"/>
          <w:sz w:val="24"/>
          <w:szCs w:val="24"/>
        </w:rPr>
        <w:t>2号干道形成的产业发展轴。</w:t>
      </w:r>
    </w:p>
    <w:p w14:paraId="38AB2CD5">
      <w:pPr>
        <w:spacing w:line="360" w:lineRule="auto"/>
        <w:ind w:firstLine="480" w:firstLineChars="200"/>
        <w:rPr>
          <w:rFonts w:ascii="宋体" w:hAnsi="宋体" w:eastAsia="宋体"/>
          <w:sz w:val="24"/>
          <w:szCs w:val="24"/>
        </w:rPr>
      </w:pPr>
      <w:r>
        <w:rPr>
          <w:rFonts w:hint="eastAsia" w:ascii="宋体" w:hAnsi="宋体" w:eastAsia="宋体"/>
          <w:sz w:val="24"/>
          <w:szCs w:val="24"/>
        </w:rPr>
        <w:t>三区：即化工园区内的天然气锂钾综合利用集聚区、化工园区外的双河产城融合片区和土主配套服务片区。</w:t>
      </w:r>
    </w:p>
    <w:p w14:paraId="77B20F43">
      <w:pPr>
        <w:spacing w:line="360" w:lineRule="auto"/>
        <w:ind w:firstLine="480" w:firstLineChars="200"/>
        <w:rPr>
          <w:rFonts w:ascii="宋体" w:hAnsi="宋体" w:eastAsia="宋体"/>
          <w:sz w:val="24"/>
          <w:szCs w:val="24"/>
        </w:rPr>
      </w:pPr>
      <w:r>
        <w:rPr>
          <w:rFonts w:hint="eastAsia" w:ascii="宋体" w:hAnsi="宋体" w:eastAsia="宋体"/>
          <w:sz w:val="24"/>
          <w:szCs w:val="24"/>
        </w:rPr>
        <w:t>按照土地集约、统筹管理的原则，围绕达州普光化工园区</w:t>
      </w:r>
      <w:r>
        <w:rPr>
          <w:rFonts w:ascii="宋体" w:hAnsi="宋体" w:eastAsia="宋体"/>
          <w:sz w:val="24"/>
          <w:szCs w:val="24"/>
        </w:rPr>
        <w:t>444.18公顷的用地范围，合理控制用地规模，布局天然气化工、硫化工、锂钾综合开发三大主导产业。依托正达凯、赣锋锂业、天敏化工等现有企业，加快招商，延链补链发展化工产业，推动化工园区成为宣汉县重要的产业发展核心。</w:t>
      </w:r>
    </w:p>
    <w:p w14:paraId="3FE5F768">
      <w:pPr>
        <w:spacing w:line="360" w:lineRule="auto"/>
        <w:jc w:val="center"/>
        <w:rPr>
          <w:rFonts w:ascii="宋体" w:hAnsi="宋体" w:eastAsia="宋体"/>
          <w:sz w:val="24"/>
          <w:szCs w:val="24"/>
        </w:rPr>
      </w:pPr>
      <w:r>
        <w:drawing>
          <wp:inline distT="0" distB="0" distL="0" distR="0">
            <wp:extent cx="4859020" cy="3317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865732" cy="3322124"/>
                    </a:xfrm>
                    <a:prstGeom prst="rect">
                      <a:avLst/>
                    </a:prstGeom>
                  </pic:spPr>
                </pic:pic>
              </a:graphicData>
            </a:graphic>
          </wp:inline>
        </w:drawing>
      </w:r>
    </w:p>
    <w:p w14:paraId="213B1EC4">
      <w:pPr>
        <w:spacing w:line="360" w:lineRule="auto"/>
        <w:jc w:val="center"/>
        <w:rPr>
          <w:rFonts w:hint="eastAsia" w:ascii="宋体" w:hAnsi="宋体" w:eastAsia="宋体"/>
          <w:sz w:val="24"/>
          <w:szCs w:val="24"/>
        </w:rPr>
      </w:pPr>
      <w:r>
        <w:rPr>
          <w:rFonts w:hint="eastAsia" w:ascii="宋体" w:hAnsi="宋体" w:eastAsia="宋体"/>
          <w:sz w:val="24"/>
          <w:szCs w:val="24"/>
        </w:rPr>
        <w:t>图</w:t>
      </w:r>
      <w:r>
        <w:rPr>
          <w:rFonts w:ascii="宋体" w:hAnsi="宋体" w:eastAsia="宋体"/>
          <w:sz w:val="24"/>
          <w:szCs w:val="24"/>
        </w:rPr>
        <w:t>2</w:t>
      </w:r>
      <w:r>
        <w:rPr>
          <w:rFonts w:hint="eastAsia" w:ascii="宋体" w:hAnsi="宋体" w:eastAsia="宋体"/>
          <w:sz w:val="24"/>
          <w:szCs w:val="24"/>
        </w:rPr>
        <w:t>：达州普光化工园区空间结构规划图</w:t>
      </w:r>
    </w:p>
    <w:p w14:paraId="57D0A602">
      <w:pPr>
        <w:spacing w:line="360" w:lineRule="auto"/>
        <w:ind w:firstLine="482" w:firstLineChars="200"/>
        <w:rPr>
          <w:rFonts w:ascii="宋体" w:hAnsi="宋体" w:eastAsia="宋体"/>
          <w:b/>
          <w:sz w:val="24"/>
          <w:szCs w:val="24"/>
        </w:rPr>
      </w:pPr>
      <w:r>
        <w:rPr>
          <w:rFonts w:hint="eastAsia" w:ascii="宋体" w:hAnsi="宋体" w:eastAsia="宋体"/>
          <w:b/>
          <w:sz w:val="24"/>
          <w:szCs w:val="24"/>
        </w:rPr>
        <w:t>七、用地布局规划</w:t>
      </w:r>
    </w:p>
    <w:p w14:paraId="1D2F8811">
      <w:pPr>
        <w:spacing w:line="360" w:lineRule="auto"/>
        <w:ind w:firstLine="480" w:firstLineChars="200"/>
        <w:rPr>
          <w:rFonts w:ascii="宋体" w:hAnsi="宋体" w:eastAsia="宋体"/>
          <w:sz w:val="24"/>
          <w:szCs w:val="24"/>
        </w:rPr>
      </w:pPr>
      <w:r>
        <w:rPr>
          <w:rFonts w:hint="eastAsia" w:ascii="宋体" w:hAnsi="宋体" w:eastAsia="宋体"/>
          <w:sz w:val="24"/>
          <w:szCs w:val="24"/>
        </w:rPr>
        <w:t>规划用地总面积为</w:t>
      </w:r>
      <w:r>
        <w:rPr>
          <w:rFonts w:ascii="宋体" w:hAnsi="宋体" w:eastAsia="宋体"/>
          <w:sz w:val="24"/>
          <w:szCs w:val="24"/>
        </w:rPr>
        <w:t>444.18公顷，其中建设用地总面积444.18公顷，占规划总用地面积的100%。</w:t>
      </w:r>
    </w:p>
    <w:p w14:paraId="081EB39C">
      <w:pPr>
        <w:spacing w:line="360" w:lineRule="auto"/>
        <w:ind w:firstLine="480" w:firstLineChars="200"/>
        <w:rPr>
          <w:rFonts w:ascii="宋体" w:hAnsi="宋体" w:eastAsia="宋体"/>
          <w:sz w:val="24"/>
          <w:szCs w:val="24"/>
        </w:rPr>
      </w:pPr>
      <w:r>
        <w:rPr>
          <w:rFonts w:hint="eastAsia" w:ascii="宋体" w:hAnsi="宋体" w:eastAsia="宋体"/>
          <w:sz w:val="24"/>
          <w:szCs w:val="24"/>
        </w:rPr>
        <w:t>规划工业用地</w:t>
      </w:r>
      <w:r>
        <w:rPr>
          <w:rFonts w:ascii="宋体" w:hAnsi="宋体" w:eastAsia="宋体"/>
          <w:sz w:val="24"/>
          <w:szCs w:val="24"/>
        </w:rPr>
        <w:t>393.25公顷，均为三类工业用地，占规划建设用地的88.53%。</w:t>
      </w:r>
    </w:p>
    <w:p w14:paraId="7369794A">
      <w:pPr>
        <w:spacing w:line="360" w:lineRule="auto"/>
        <w:ind w:firstLine="480" w:firstLineChars="200"/>
        <w:rPr>
          <w:rFonts w:ascii="宋体" w:hAnsi="宋体" w:eastAsia="宋体"/>
          <w:sz w:val="24"/>
          <w:szCs w:val="24"/>
        </w:rPr>
      </w:pPr>
      <w:r>
        <w:rPr>
          <w:rFonts w:hint="eastAsia" w:ascii="宋体" w:hAnsi="宋体" w:eastAsia="宋体"/>
          <w:sz w:val="24"/>
          <w:szCs w:val="24"/>
        </w:rPr>
        <w:t>规划交通运输用地</w:t>
      </w:r>
      <w:r>
        <w:rPr>
          <w:rFonts w:ascii="宋体" w:hAnsi="宋体" w:eastAsia="宋体"/>
          <w:sz w:val="24"/>
          <w:szCs w:val="24"/>
        </w:rPr>
        <w:t>30.34公顷，占规划建设用地的6.83%。其中城镇道路用地25.61公顷，其他交通设施用地4.73公顷。</w:t>
      </w:r>
    </w:p>
    <w:p w14:paraId="10DB36CE">
      <w:pPr>
        <w:spacing w:line="360" w:lineRule="auto"/>
        <w:ind w:firstLine="480" w:firstLineChars="200"/>
        <w:rPr>
          <w:rFonts w:ascii="宋体" w:hAnsi="宋体" w:eastAsia="宋体"/>
          <w:sz w:val="24"/>
          <w:szCs w:val="24"/>
        </w:rPr>
      </w:pPr>
      <w:r>
        <w:rPr>
          <w:rFonts w:hint="eastAsia" w:ascii="宋体" w:hAnsi="宋体" w:eastAsia="宋体"/>
          <w:sz w:val="24"/>
          <w:szCs w:val="24"/>
        </w:rPr>
        <w:t>规划公用设施用地</w:t>
      </w:r>
      <w:r>
        <w:rPr>
          <w:rFonts w:ascii="宋体" w:hAnsi="宋体" w:eastAsia="宋体"/>
          <w:sz w:val="24"/>
          <w:szCs w:val="24"/>
        </w:rPr>
        <w:t>7.40公顷，占规划建设用地的1.67%。其中供电用地0.57公顷，供燃气用地0.63公顷，排水用地5.12公顷，消防用地1.08公顷。</w:t>
      </w:r>
    </w:p>
    <w:p w14:paraId="67902699">
      <w:pPr>
        <w:spacing w:line="360" w:lineRule="auto"/>
        <w:ind w:firstLine="480" w:firstLineChars="200"/>
        <w:rPr>
          <w:rFonts w:ascii="宋体" w:hAnsi="宋体" w:eastAsia="宋体"/>
          <w:sz w:val="24"/>
          <w:szCs w:val="24"/>
        </w:rPr>
      </w:pPr>
      <w:r>
        <w:rPr>
          <w:rFonts w:hint="eastAsia" w:ascii="宋体" w:hAnsi="宋体" w:eastAsia="宋体"/>
          <w:sz w:val="24"/>
          <w:szCs w:val="24"/>
        </w:rPr>
        <w:t>规划绿地与开敞空间用地</w:t>
      </w:r>
      <w:r>
        <w:rPr>
          <w:rFonts w:ascii="宋体" w:hAnsi="宋体" w:eastAsia="宋体"/>
          <w:sz w:val="24"/>
          <w:szCs w:val="24"/>
        </w:rPr>
        <w:t>13.19公顷，均为防护绿地，占规划建设用地的2.97%。</w:t>
      </w:r>
    </w:p>
    <w:p w14:paraId="2D14F1F8">
      <w:pPr>
        <w:spacing w:line="360" w:lineRule="auto"/>
        <w:ind w:firstLine="480" w:firstLineChars="200"/>
        <w:jc w:val="center"/>
        <w:rPr>
          <w:rFonts w:hint="eastAsia" w:ascii="宋体" w:hAnsi="宋体" w:eastAsia="宋体"/>
          <w:sz w:val="24"/>
          <w:szCs w:val="24"/>
        </w:rPr>
      </w:pPr>
      <w:r>
        <w:rPr>
          <w:rFonts w:hint="eastAsia" w:ascii="宋体" w:hAnsi="宋体" w:eastAsia="宋体"/>
          <w:sz w:val="24"/>
          <w:szCs w:val="24"/>
        </w:rPr>
        <w:t>表1：建设用地汇总表</w:t>
      </w:r>
    </w:p>
    <w:tbl>
      <w:tblPr>
        <w:tblStyle w:val="2"/>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930"/>
        <w:gridCol w:w="979"/>
        <w:gridCol w:w="2320"/>
        <w:gridCol w:w="1560"/>
        <w:gridCol w:w="2466"/>
      </w:tblGrid>
      <w:tr w14:paraId="30C2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840" w:type="dxa"/>
            <w:gridSpan w:val="3"/>
            <w:shd w:val="clear" w:color="auto" w:fill="auto"/>
            <w:noWrap/>
            <w:vAlign w:val="center"/>
          </w:tcPr>
          <w:p w14:paraId="08DB560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用地代码 </w:t>
            </w:r>
          </w:p>
        </w:tc>
        <w:tc>
          <w:tcPr>
            <w:tcW w:w="2320" w:type="dxa"/>
            <w:vMerge w:val="restart"/>
            <w:shd w:val="clear" w:color="auto" w:fill="auto"/>
            <w:noWrap/>
            <w:vAlign w:val="center"/>
          </w:tcPr>
          <w:p w14:paraId="7D829B1E">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用地名称</w:t>
            </w:r>
          </w:p>
        </w:tc>
        <w:tc>
          <w:tcPr>
            <w:tcW w:w="1560" w:type="dxa"/>
            <w:vMerge w:val="restart"/>
            <w:shd w:val="clear" w:color="auto" w:fill="auto"/>
            <w:noWrap/>
            <w:vAlign w:val="center"/>
          </w:tcPr>
          <w:p w14:paraId="0E98294A">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面积（公顷）</w:t>
            </w:r>
          </w:p>
        </w:tc>
        <w:tc>
          <w:tcPr>
            <w:tcW w:w="2466" w:type="dxa"/>
            <w:vMerge w:val="restart"/>
            <w:shd w:val="clear" w:color="auto" w:fill="auto"/>
            <w:vAlign w:val="center"/>
          </w:tcPr>
          <w:p w14:paraId="12FD619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占城市建设用地比例（%）</w:t>
            </w:r>
          </w:p>
        </w:tc>
      </w:tr>
      <w:tr w14:paraId="43A7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shd w:val="clear" w:color="auto" w:fill="auto"/>
            <w:noWrap/>
            <w:vAlign w:val="center"/>
          </w:tcPr>
          <w:p w14:paraId="56EDDBE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一级类</w:t>
            </w:r>
          </w:p>
        </w:tc>
        <w:tc>
          <w:tcPr>
            <w:tcW w:w="930" w:type="dxa"/>
            <w:shd w:val="clear" w:color="auto" w:fill="auto"/>
            <w:noWrap/>
            <w:vAlign w:val="center"/>
          </w:tcPr>
          <w:p w14:paraId="504261C8">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二级类</w:t>
            </w:r>
          </w:p>
        </w:tc>
        <w:tc>
          <w:tcPr>
            <w:tcW w:w="979" w:type="dxa"/>
            <w:shd w:val="clear" w:color="auto" w:fill="auto"/>
            <w:noWrap/>
            <w:vAlign w:val="center"/>
          </w:tcPr>
          <w:p w14:paraId="6658B60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三级类</w:t>
            </w:r>
          </w:p>
        </w:tc>
        <w:tc>
          <w:tcPr>
            <w:tcW w:w="2320" w:type="dxa"/>
            <w:vMerge w:val="continue"/>
            <w:vAlign w:val="center"/>
          </w:tcPr>
          <w:p w14:paraId="3E1A1A9E">
            <w:pPr>
              <w:widowControl/>
              <w:jc w:val="left"/>
              <w:rPr>
                <w:rFonts w:cs="宋体" w:asciiTheme="minorEastAsia" w:hAnsiTheme="minorEastAsia"/>
                <w:color w:val="000000"/>
                <w:kern w:val="0"/>
                <w:sz w:val="18"/>
                <w:szCs w:val="18"/>
              </w:rPr>
            </w:pPr>
          </w:p>
        </w:tc>
        <w:tc>
          <w:tcPr>
            <w:tcW w:w="1560" w:type="dxa"/>
            <w:vMerge w:val="continue"/>
            <w:vAlign w:val="center"/>
          </w:tcPr>
          <w:p w14:paraId="537CF517">
            <w:pPr>
              <w:widowControl/>
              <w:jc w:val="left"/>
              <w:rPr>
                <w:rFonts w:cs="宋体" w:asciiTheme="minorEastAsia" w:hAnsiTheme="minorEastAsia"/>
                <w:color w:val="000000"/>
                <w:kern w:val="0"/>
                <w:sz w:val="18"/>
                <w:szCs w:val="18"/>
              </w:rPr>
            </w:pPr>
          </w:p>
        </w:tc>
        <w:tc>
          <w:tcPr>
            <w:tcW w:w="2466" w:type="dxa"/>
            <w:vMerge w:val="continue"/>
            <w:vAlign w:val="center"/>
          </w:tcPr>
          <w:p w14:paraId="2BAFE002">
            <w:pPr>
              <w:widowControl/>
              <w:jc w:val="left"/>
              <w:rPr>
                <w:rFonts w:cs="宋体" w:asciiTheme="minorEastAsia" w:hAnsiTheme="minorEastAsia"/>
                <w:color w:val="000000"/>
                <w:kern w:val="0"/>
                <w:sz w:val="18"/>
                <w:szCs w:val="18"/>
              </w:rPr>
            </w:pPr>
          </w:p>
        </w:tc>
      </w:tr>
      <w:tr w14:paraId="27C5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restart"/>
            <w:shd w:val="clear" w:color="auto" w:fill="auto"/>
            <w:noWrap/>
            <w:vAlign w:val="center"/>
          </w:tcPr>
          <w:p w14:paraId="68BECF6E">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w:t>
            </w:r>
          </w:p>
        </w:tc>
        <w:tc>
          <w:tcPr>
            <w:tcW w:w="930" w:type="dxa"/>
            <w:shd w:val="clear" w:color="auto" w:fill="auto"/>
            <w:noWrap/>
            <w:vAlign w:val="center"/>
          </w:tcPr>
          <w:p w14:paraId="4DB71B0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979" w:type="dxa"/>
            <w:shd w:val="clear" w:color="auto" w:fill="auto"/>
            <w:noWrap/>
            <w:vAlign w:val="center"/>
          </w:tcPr>
          <w:p w14:paraId="27A8FAF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49A6EA93">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工矿用地</w:t>
            </w:r>
          </w:p>
        </w:tc>
        <w:tc>
          <w:tcPr>
            <w:tcW w:w="1560" w:type="dxa"/>
            <w:shd w:val="clear" w:color="auto" w:fill="auto"/>
            <w:noWrap/>
            <w:vAlign w:val="center"/>
          </w:tcPr>
          <w:p w14:paraId="16957CD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393.25</w:t>
            </w:r>
          </w:p>
        </w:tc>
        <w:tc>
          <w:tcPr>
            <w:tcW w:w="2466" w:type="dxa"/>
            <w:shd w:val="clear" w:color="auto" w:fill="auto"/>
            <w:noWrap/>
            <w:vAlign w:val="center"/>
          </w:tcPr>
          <w:p w14:paraId="29433FF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88.53 </w:t>
            </w:r>
          </w:p>
        </w:tc>
      </w:tr>
      <w:tr w14:paraId="4D55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7EF3F747">
            <w:pPr>
              <w:widowControl/>
              <w:jc w:val="left"/>
              <w:rPr>
                <w:rFonts w:cs="宋体" w:asciiTheme="minorEastAsia" w:hAnsiTheme="minorEastAsia"/>
                <w:color w:val="000000"/>
                <w:kern w:val="0"/>
                <w:sz w:val="18"/>
                <w:szCs w:val="18"/>
              </w:rPr>
            </w:pPr>
          </w:p>
        </w:tc>
        <w:tc>
          <w:tcPr>
            <w:tcW w:w="930" w:type="dxa"/>
            <w:vMerge w:val="restart"/>
            <w:shd w:val="clear" w:color="auto" w:fill="auto"/>
            <w:noWrap/>
            <w:vAlign w:val="center"/>
          </w:tcPr>
          <w:p w14:paraId="6BC5236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1001</w:t>
            </w:r>
          </w:p>
        </w:tc>
        <w:tc>
          <w:tcPr>
            <w:tcW w:w="979" w:type="dxa"/>
            <w:shd w:val="clear" w:color="auto" w:fill="auto"/>
            <w:noWrap/>
            <w:vAlign w:val="center"/>
          </w:tcPr>
          <w:p w14:paraId="767452F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1E51009D">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工业用地</w:t>
            </w:r>
          </w:p>
        </w:tc>
        <w:tc>
          <w:tcPr>
            <w:tcW w:w="1560" w:type="dxa"/>
            <w:shd w:val="clear" w:color="auto" w:fill="auto"/>
            <w:noWrap/>
            <w:vAlign w:val="center"/>
          </w:tcPr>
          <w:p w14:paraId="078CE01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393.25</w:t>
            </w:r>
          </w:p>
        </w:tc>
        <w:tc>
          <w:tcPr>
            <w:tcW w:w="2466" w:type="dxa"/>
            <w:shd w:val="clear" w:color="auto" w:fill="auto"/>
            <w:noWrap/>
            <w:vAlign w:val="center"/>
          </w:tcPr>
          <w:p w14:paraId="692E4C47">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88.53 </w:t>
            </w:r>
          </w:p>
        </w:tc>
      </w:tr>
      <w:tr w14:paraId="648E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73347D64">
            <w:pPr>
              <w:widowControl/>
              <w:jc w:val="left"/>
              <w:rPr>
                <w:rFonts w:cs="宋体" w:asciiTheme="minorEastAsia" w:hAnsiTheme="minorEastAsia"/>
                <w:color w:val="000000"/>
                <w:kern w:val="0"/>
                <w:sz w:val="18"/>
                <w:szCs w:val="18"/>
              </w:rPr>
            </w:pPr>
          </w:p>
        </w:tc>
        <w:tc>
          <w:tcPr>
            <w:tcW w:w="930" w:type="dxa"/>
            <w:vMerge w:val="continue"/>
            <w:vAlign w:val="center"/>
          </w:tcPr>
          <w:p w14:paraId="6AE0536D">
            <w:pPr>
              <w:widowControl/>
              <w:jc w:val="left"/>
              <w:rPr>
                <w:rFonts w:cs="宋体" w:asciiTheme="minorEastAsia" w:hAnsiTheme="minorEastAsia"/>
                <w:color w:val="000000"/>
                <w:kern w:val="0"/>
                <w:sz w:val="18"/>
                <w:szCs w:val="18"/>
              </w:rPr>
            </w:pPr>
          </w:p>
        </w:tc>
        <w:tc>
          <w:tcPr>
            <w:tcW w:w="979" w:type="dxa"/>
            <w:shd w:val="clear" w:color="auto" w:fill="auto"/>
            <w:noWrap/>
            <w:vAlign w:val="center"/>
          </w:tcPr>
          <w:p w14:paraId="03C729AA">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100103</w:t>
            </w:r>
          </w:p>
        </w:tc>
        <w:tc>
          <w:tcPr>
            <w:tcW w:w="2320" w:type="dxa"/>
            <w:shd w:val="clear" w:color="auto" w:fill="auto"/>
            <w:noWrap/>
            <w:vAlign w:val="center"/>
          </w:tcPr>
          <w:p w14:paraId="500CF0F0">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三类工业用地</w:t>
            </w:r>
          </w:p>
        </w:tc>
        <w:tc>
          <w:tcPr>
            <w:tcW w:w="1560" w:type="dxa"/>
            <w:shd w:val="clear" w:color="auto" w:fill="auto"/>
            <w:noWrap/>
            <w:vAlign w:val="center"/>
          </w:tcPr>
          <w:p w14:paraId="2ECA9D4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393.25</w:t>
            </w:r>
          </w:p>
        </w:tc>
        <w:tc>
          <w:tcPr>
            <w:tcW w:w="2466" w:type="dxa"/>
            <w:shd w:val="clear" w:color="auto" w:fill="auto"/>
            <w:noWrap/>
            <w:vAlign w:val="center"/>
          </w:tcPr>
          <w:p w14:paraId="32DD676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88.53 </w:t>
            </w:r>
          </w:p>
        </w:tc>
      </w:tr>
      <w:tr w14:paraId="6EA0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restart"/>
            <w:shd w:val="clear" w:color="auto" w:fill="auto"/>
            <w:noWrap/>
            <w:vAlign w:val="center"/>
          </w:tcPr>
          <w:p w14:paraId="1A1DB18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12</w:t>
            </w:r>
          </w:p>
        </w:tc>
        <w:tc>
          <w:tcPr>
            <w:tcW w:w="930" w:type="dxa"/>
            <w:shd w:val="clear" w:color="auto" w:fill="auto"/>
            <w:noWrap/>
            <w:vAlign w:val="center"/>
          </w:tcPr>
          <w:p w14:paraId="6A4771C3">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979" w:type="dxa"/>
            <w:shd w:val="clear" w:color="auto" w:fill="auto"/>
            <w:noWrap/>
            <w:vAlign w:val="center"/>
          </w:tcPr>
          <w:p w14:paraId="41A2A96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7ECBEBAE">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交通运输用地</w:t>
            </w:r>
          </w:p>
        </w:tc>
        <w:tc>
          <w:tcPr>
            <w:tcW w:w="1560" w:type="dxa"/>
            <w:shd w:val="clear" w:color="auto" w:fill="auto"/>
            <w:noWrap/>
            <w:vAlign w:val="center"/>
          </w:tcPr>
          <w:p w14:paraId="4E7F327E">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30.34</w:t>
            </w:r>
          </w:p>
        </w:tc>
        <w:tc>
          <w:tcPr>
            <w:tcW w:w="2466" w:type="dxa"/>
            <w:shd w:val="clear" w:color="auto" w:fill="auto"/>
            <w:noWrap/>
            <w:vAlign w:val="center"/>
          </w:tcPr>
          <w:p w14:paraId="3426DF1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6.83 </w:t>
            </w:r>
          </w:p>
        </w:tc>
      </w:tr>
      <w:tr w14:paraId="4389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641DCFD2">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2B90D09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1207</w:t>
            </w:r>
          </w:p>
        </w:tc>
        <w:tc>
          <w:tcPr>
            <w:tcW w:w="979" w:type="dxa"/>
            <w:shd w:val="clear" w:color="auto" w:fill="auto"/>
            <w:noWrap/>
            <w:vAlign w:val="center"/>
          </w:tcPr>
          <w:p w14:paraId="72CC2921">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3F0B0AD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城镇道路用地</w:t>
            </w:r>
          </w:p>
        </w:tc>
        <w:tc>
          <w:tcPr>
            <w:tcW w:w="1560" w:type="dxa"/>
            <w:shd w:val="clear" w:color="auto" w:fill="auto"/>
            <w:noWrap/>
            <w:vAlign w:val="center"/>
          </w:tcPr>
          <w:p w14:paraId="2B882BCD">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25.61</w:t>
            </w:r>
          </w:p>
        </w:tc>
        <w:tc>
          <w:tcPr>
            <w:tcW w:w="2466" w:type="dxa"/>
            <w:shd w:val="clear" w:color="auto" w:fill="auto"/>
            <w:noWrap/>
            <w:vAlign w:val="center"/>
          </w:tcPr>
          <w:p w14:paraId="097D712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5.77 </w:t>
            </w:r>
          </w:p>
        </w:tc>
      </w:tr>
      <w:tr w14:paraId="3BA4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77EDADA7">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4DC1EA2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w:t>
            </w:r>
            <w:r>
              <w:rPr>
                <w:rFonts w:cs="宋体" w:asciiTheme="minorEastAsia" w:hAnsiTheme="minorEastAsia"/>
                <w:color w:val="000000"/>
                <w:kern w:val="0"/>
                <w:sz w:val="18"/>
                <w:szCs w:val="18"/>
              </w:rPr>
              <w:t>209</w:t>
            </w:r>
          </w:p>
        </w:tc>
        <w:tc>
          <w:tcPr>
            <w:tcW w:w="979" w:type="dxa"/>
            <w:shd w:val="clear" w:color="auto" w:fill="auto"/>
            <w:noWrap/>
            <w:vAlign w:val="center"/>
          </w:tcPr>
          <w:p w14:paraId="38778B56">
            <w:pPr>
              <w:widowControl/>
              <w:jc w:val="center"/>
              <w:rPr>
                <w:rFonts w:cs="宋体" w:asciiTheme="minorEastAsia" w:hAnsiTheme="minorEastAsia"/>
                <w:color w:val="000000"/>
                <w:kern w:val="0"/>
                <w:sz w:val="18"/>
                <w:szCs w:val="18"/>
              </w:rPr>
            </w:pPr>
          </w:p>
        </w:tc>
        <w:tc>
          <w:tcPr>
            <w:tcW w:w="2320" w:type="dxa"/>
            <w:shd w:val="clear" w:color="auto" w:fill="auto"/>
            <w:noWrap/>
            <w:vAlign w:val="center"/>
          </w:tcPr>
          <w:p w14:paraId="08BFD3B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其他交通设施用地</w:t>
            </w:r>
          </w:p>
        </w:tc>
        <w:tc>
          <w:tcPr>
            <w:tcW w:w="1560" w:type="dxa"/>
            <w:shd w:val="clear" w:color="auto" w:fill="auto"/>
            <w:noWrap/>
            <w:vAlign w:val="center"/>
          </w:tcPr>
          <w:p w14:paraId="66F6F43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4.73</w:t>
            </w:r>
          </w:p>
        </w:tc>
        <w:tc>
          <w:tcPr>
            <w:tcW w:w="2466" w:type="dxa"/>
            <w:shd w:val="clear" w:color="auto" w:fill="auto"/>
            <w:noWrap/>
            <w:vAlign w:val="center"/>
          </w:tcPr>
          <w:p w14:paraId="75B910E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1.06 </w:t>
            </w:r>
          </w:p>
        </w:tc>
      </w:tr>
      <w:tr w14:paraId="6E7A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restart"/>
            <w:shd w:val="clear" w:color="auto" w:fill="auto"/>
            <w:noWrap/>
            <w:vAlign w:val="center"/>
          </w:tcPr>
          <w:p w14:paraId="53A31293">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w:t>
            </w:r>
          </w:p>
        </w:tc>
        <w:tc>
          <w:tcPr>
            <w:tcW w:w="930" w:type="dxa"/>
            <w:shd w:val="clear" w:color="auto" w:fill="auto"/>
            <w:noWrap/>
            <w:vAlign w:val="center"/>
          </w:tcPr>
          <w:p w14:paraId="3C5D25E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979" w:type="dxa"/>
            <w:shd w:val="clear" w:color="auto" w:fill="auto"/>
            <w:noWrap/>
            <w:vAlign w:val="center"/>
          </w:tcPr>
          <w:p w14:paraId="0BAD123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002FFA3E">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公用设施用地</w:t>
            </w:r>
          </w:p>
        </w:tc>
        <w:tc>
          <w:tcPr>
            <w:tcW w:w="1560" w:type="dxa"/>
            <w:shd w:val="clear" w:color="auto" w:fill="auto"/>
            <w:noWrap/>
            <w:vAlign w:val="center"/>
          </w:tcPr>
          <w:p w14:paraId="7FED818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7.4</w:t>
            </w:r>
          </w:p>
        </w:tc>
        <w:tc>
          <w:tcPr>
            <w:tcW w:w="2466" w:type="dxa"/>
            <w:shd w:val="clear" w:color="auto" w:fill="auto"/>
            <w:noWrap/>
            <w:vAlign w:val="center"/>
          </w:tcPr>
          <w:p w14:paraId="35881E5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1.67 </w:t>
            </w:r>
          </w:p>
        </w:tc>
      </w:tr>
      <w:tr w14:paraId="735C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007D497A">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7E2C088E">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1302</w:t>
            </w:r>
          </w:p>
        </w:tc>
        <w:tc>
          <w:tcPr>
            <w:tcW w:w="979" w:type="dxa"/>
            <w:shd w:val="clear" w:color="auto" w:fill="auto"/>
            <w:noWrap/>
            <w:vAlign w:val="center"/>
          </w:tcPr>
          <w:p w14:paraId="4C10B7C5">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72C18AD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排水用地</w:t>
            </w:r>
          </w:p>
        </w:tc>
        <w:tc>
          <w:tcPr>
            <w:tcW w:w="1560" w:type="dxa"/>
            <w:shd w:val="clear" w:color="auto" w:fill="auto"/>
            <w:noWrap/>
            <w:vAlign w:val="center"/>
          </w:tcPr>
          <w:p w14:paraId="781A4D4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5.12</w:t>
            </w:r>
          </w:p>
        </w:tc>
        <w:tc>
          <w:tcPr>
            <w:tcW w:w="2466" w:type="dxa"/>
            <w:shd w:val="clear" w:color="auto" w:fill="auto"/>
            <w:noWrap/>
            <w:vAlign w:val="center"/>
          </w:tcPr>
          <w:p w14:paraId="6F087E0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1.15 </w:t>
            </w:r>
          </w:p>
        </w:tc>
      </w:tr>
      <w:tr w14:paraId="2891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375C870F">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22DA671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1303</w:t>
            </w:r>
          </w:p>
        </w:tc>
        <w:tc>
          <w:tcPr>
            <w:tcW w:w="979" w:type="dxa"/>
            <w:shd w:val="clear" w:color="auto" w:fill="auto"/>
            <w:noWrap/>
            <w:vAlign w:val="center"/>
          </w:tcPr>
          <w:p w14:paraId="450D4B7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02223C1D">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供电用地</w:t>
            </w:r>
          </w:p>
        </w:tc>
        <w:tc>
          <w:tcPr>
            <w:tcW w:w="1560" w:type="dxa"/>
            <w:shd w:val="clear" w:color="auto" w:fill="auto"/>
            <w:noWrap/>
            <w:vAlign w:val="center"/>
          </w:tcPr>
          <w:p w14:paraId="0B51DAFB">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0.57</w:t>
            </w:r>
          </w:p>
        </w:tc>
        <w:tc>
          <w:tcPr>
            <w:tcW w:w="2466" w:type="dxa"/>
            <w:shd w:val="clear" w:color="auto" w:fill="auto"/>
            <w:noWrap/>
            <w:vAlign w:val="center"/>
          </w:tcPr>
          <w:p w14:paraId="2A9ADFD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0.13 </w:t>
            </w:r>
          </w:p>
        </w:tc>
      </w:tr>
      <w:tr w14:paraId="4773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1CA6F2B4">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7B5E664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1304</w:t>
            </w:r>
          </w:p>
        </w:tc>
        <w:tc>
          <w:tcPr>
            <w:tcW w:w="979" w:type="dxa"/>
            <w:shd w:val="clear" w:color="auto" w:fill="auto"/>
            <w:noWrap/>
            <w:vAlign w:val="center"/>
          </w:tcPr>
          <w:p w14:paraId="1A85554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39ED003D">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供燃气用地</w:t>
            </w:r>
          </w:p>
        </w:tc>
        <w:tc>
          <w:tcPr>
            <w:tcW w:w="1560" w:type="dxa"/>
            <w:shd w:val="clear" w:color="auto" w:fill="auto"/>
            <w:noWrap/>
            <w:vAlign w:val="center"/>
          </w:tcPr>
          <w:p w14:paraId="71A6DE9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0.63</w:t>
            </w:r>
          </w:p>
        </w:tc>
        <w:tc>
          <w:tcPr>
            <w:tcW w:w="2466" w:type="dxa"/>
            <w:shd w:val="clear" w:color="auto" w:fill="auto"/>
            <w:noWrap/>
            <w:vAlign w:val="center"/>
          </w:tcPr>
          <w:p w14:paraId="3BC25C1A">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0.14 </w:t>
            </w:r>
          </w:p>
        </w:tc>
      </w:tr>
      <w:tr w14:paraId="6A7D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696ED784">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2AC12D7C">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1310</w:t>
            </w:r>
          </w:p>
        </w:tc>
        <w:tc>
          <w:tcPr>
            <w:tcW w:w="979" w:type="dxa"/>
            <w:shd w:val="clear" w:color="auto" w:fill="auto"/>
            <w:noWrap/>
            <w:vAlign w:val="center"/>
          </w:tcPr>
          <w:p w14:paraId="4787FCB8">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02E456F1">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消防用地</w:t>
            </w:r>
          </w:p>
        </w:tc>
        <w:tc>
          <w:tcPr>
            <w:tcW w:w="1560" w:type="dxa"/>
            <w:shd w:val="clear" w:color="auto" w:fill="auto"/>
            <w:noWrap/>
            <w:vAlign w:val="center"/>
          </w:tcPr>
          <w:p w14:paraId="46E85F3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1.08</w:t>
            </w:r>
          </w:p>
        </w:tc>
        <w:tc>
          <w:tcPr>
            <w:tcW w:w="2466" w:type="dxa"/>
            <w:shd w:val="clear" w:color="auto" w:fill="auto"/>
            <w:noWrap/>
            <w:vAlign w:val="center"/>
          </w:tcPr>
          <w:p w14:paraId="6929A64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0.24 </w:t>
            </w:r>
          </w:p>
        </w:tc>
      </w:tr>
      <w:tr w14:paraId="7FE1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restart"/>
            <w:shd w:val="clear" w:color="auto" w:fill="auto"/>
            <w:noWrap/>
            <w:vAlign w:val="center"/>
          </w:tcPr>
          <w:p w14:paraId="2DC2E1DA">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14</w:t>
            </w:r>
          </w:p>
        </w:tc>
        <w:tc>
          <w:tcPr>
            <w:tcW w:w="930" w:type="dxa"/>
            <w:shd w:val="clear" w:color="auto" w:fill="auto"/>
            <w:noWrap/>
            <w:vAlign w:val="center"/>
          </w:tcPr>
          <w:p w14:paraId="31C6AB29">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979" w:type="dxa"/>
            <w:shd w:val="clear" w:color="auto" w:fill="auto"/>
            <w:noWrap/>
            <w:vAlign w:val="center"/>
          </w:tcPr>
          <w:p w14:paraId="10533887">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5C352B5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绿地与开敞空间用地</w:t>
            </w:r>
          </w:p>
        </w:tc>
        <w:tc>
          <w:tcPr>
            <w:tcW w:w="1560" w:type="dxa"/>
            <w:shd w:val="clear" w:color="auto" w:fill="auto"/>
            <w:noWrap/>
            <w:vAlign w:val="center"/>
          </w:tcPr>
          <w:p w14:paraId="07C70335">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13.19</w:t>
            </w:r>
          </w:p>
        </w:tc>
        <w:tc>
          <w:tcPr>
            <w:tcW w:w="2466" w:type="dxa"/>
            <w:shd w:val="clear" w:color="auto" w:fill="auto"/>
            <w:noWrap/>
            <w:vAlign w:val="center"/>
          </w:tcPr>
          <w:p w14:paraId="62D65E8A">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2.97 </w:t>
            </w:r>
          </w:p>
        </w:tc>
      </w:tr>
      <w:tr w14:paraId="4D28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vMerge w:val="continue"/>
            <w:vAlign w:val="center"/>
          </w:tcPr>
          <w:p w14:paraId="6DE9F59B">
            <w:pPr>
              <w:widowControl/>
              <w:jc w:val="left"/>
              <w:rPr>
                <w:rFonts w:cs="宋体" w:asciiTheme="minorEastAsia" w:hAnsiTheme="minorEastAsia"/>
                <w:color w:val="000000"/>
                <w:kern w:val="0"/>
                <w:sz w:val="18"/>
                <w:szCs w:val="18"/>
              </w:rPr>
            </w:pPr>
          </w:p>
        </w:tc>
        <w:tc>
          <w:tcPr>
            <w:tcW w:w="930" w:type="dxa"/>
            <w:shd w:val="clear" w:color="auto" w:fill="auto"/>
            <w:noWrap/>
            <w:vAlign w:val="center"/>
          </w:tcPr>
          <w:p w14:paraId="56E5E420">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1402</w:t>
            </w:r>
          </w:p>
        </w:tc>
        <w:tc>
          <w:tcPr>
            <w:tcW w:w="979" w:type="dxa"/>
            <w:shd w:val="clear" w:color="auto" w:fill="auto"/>
            <w:noWrap/>
            <w:vAlign w:val="center"/>
          </w:tcPr>
          <w:p w14:paraId="0707641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1DC13158">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防护绿地</w:t>
            </w:r>
          </w:p>
        </w:tc>
        <w:tc>
          <w:tcPr>
            <w:tcW w:w="1560" w:type="dxa"/>
            <w:shd w:val="clear" w:color="auto" w:fill="auto"/>
            <w:noWrap/>
            <w:vAlign w:val="center"/>
          </w:tcPr>
          <w:p w14:paraId="2CA9FE58">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13.19</w:t>
            </w:r>
          </w:p>
        </w:tc>
        <w:tc>
          <w:tcPr>
            <w:tcW w:w="2466" w:type="dxa"/>
            <w:shd w:val="clear" w:color="auto" w:fill="auto"/>
            <w:noWrap/>
            <w:vAlign w:val="center"/>
          </w:tcPr>
          <w:p w14:paraId="2E77843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2.97 </w:t>
            </w:r>
          </w:p>
        </w:tc>
      </w:tr>
      <w:tr w14:paraId="43C09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31" w:type="dxa"/>
            <w:shd w:val="clear" w:color="auto" w:fill="auto"/>
            <w:noWrap/>
            <w:vAlign w:val="center"/>
          </w:tcPr>
          <w:p w14:paraId="040A21CF">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930" w:type="dxa"/>
            <w:shd w:val="clear" w:color="auto" w:fill="auto"/>
            <w:noWrap/>
            <w:vAlign w:val="center"/>
          </w:tcPr>
          <w:p w14:paraId="08DE2FD8">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979" w:type="dxa"/>
            <w:shd w:val="clear" w:color="auto" w:fill="auto"/>
            <w:noWrap/>
            <w:vAlign w:val="center"/>
          </w:tcPr>
          <w:p w14:paraId="7451BB13">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2320" w:type="dxa"/>
            <w:shd w:val="clear" w:color="auto" w:fill="auto"/>
            <w:noWrap/>
            <w:vAlign w:val="center"/>
          </w:tcPr>
          <w:p w14:paraId="1B2CB744">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建设用地</w:t>
            </w:r>
          </w:p>
        </w:tc>
        <w:tc>
          <w:tcPr>
            <w:tcW w:w="1560" w:type="dxa"/>
            <w:shd w:val="clear" w:color="auto" w:fill="auto"/>
            <w:noWrap/>
            <w:vAlign w:val="center"/>
          </w:tcPr>
          <w:p w14:paraId="60DE3907">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444.18</w:t>
            </w:r>
          </w:p>
        </w:tc>
        <w:tc>
          <w:tcPr>
            <w:tcW w:w="2466" w:type="dxa"/>
            <w:shd w:val="clear" w:color="auto" w:fill="auto"/>
            <w:noWrap/>
            <w:vAlign w:val="center"/>
          </w:tcPr>
          <w:p w14:paraId="38BB46B0">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xml:space="preserve">100.00 </w:t>
            </w:r>
          </w:p>
        </w:tc>
      </w:tr>
      <w:tr w14:paraId="72A3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40" w:type="dxa"/>
            <w:gridSpan w:val="3"/>
            <w:shd w:val="clear" w:color="auto" w:fill="auto"/>
            <w:noWrap/>
            <w:vAlign w:val="center"/>
          </w:tcPr>
          <w:p w14:paraId="0EB28250">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规划范围总面积（公顷）</w:t>
            </w:r>
          </w:p>
        </w:tc>
        <w:tc>
          <w:tcPr>
            <w:tcW w:w="2320" w:type="dxa"/>
            <w:shd w:val="clear" w:color="auto" w:fill="auto"/>
            <w:noWrap/>
            <w:vAlign w:val="center"/>
          </w:tcPr>
          <w:p w14:paraId="5671E010">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　</w:t>
            </w:r>
          </w:p>
        </w:tc>
        <w:tc>
          <w:tcPr>
            <w:tcW w:w="1560" w:type="dxa"/>
            <w:shd w:val="clear" w:color="auto" w:fill="auto"/>
            <w:noWrap/>
            <w:vAlign w:val="center"/>
          </w:tcPr>
          <w:p w14:paraId="664D2FC2">
            <w:pPr>
              <w:widowControl/>
              <w:jc w:val="center"/>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4</w:t>
            </w:r>
            <w:r>
              <w:rPr>
                <w:rFonts w:cs="宋体" w:asciiTheme="minorEastAsia" w:hAnsiTheme="minorEastAsia"/>
                <w:color w:val="000000"/>
                <w:kern w:val="0"/>
                <w:sz w:val="18"/>
                <w:szCs w:val="18"/>
              </w:rPr>
              <w:t>44.18</w:t>
            </w:r>
          </w:p>
        </w:tc>
        <w:tc>
          <w:tcPr>
            <w:tcW w:w="2466" w:type="dxa"/>
            <w:shd w:val="clear" w:color="auto" w:fill="auto"/>
            <w:noWrap/>
            <w:vAlign w:val="center"/>
          </w:tcPr>
          <w:p w14:paraId="024A2014">
            <w:pPr>
              <w:widowControl/>
              <w:jc w:val="center"/>
              <w:rPr>
                <w:rFonts w:cs="宋体" w:asciiTheme="minorEastAsia" w:hAnsiTheme="minorEastAsia"/>
                <w:color w:val="000000"/>
                <w:kern w:val="0"/>
                <w:sz w:val="18"/>
                <w:szCs w:val="18"/>
              </w:rPr>
            </w:pPr>
          </w:p>
        </w:tc>
      </w:tr>
    </w:tbl>
    <w:p w14:paraId="128D2C3B">
      <w:pPr>
        <w:spacing w:line="360" w:lineRule="auto"/>
        <w:jc w:val="center"/>
        <w:rPr>
          <w:rFonts w:ascii="宋体" w:hAnsi="宋体" w:eastAsia="宋体"/>
          <w:sz w:val="24"/>
          <w:szCs w:val="24"/>
        </w:rPr>
      </w:pPr>
      <w:r>
        <w:drawing>
          <wp:inline distT="0" distB="0" distL="0" distR="0">
            <wp:extent cx="5274310" cy="35966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3596640"/>
                    </a:xfrm>
                    <a:prstGeom prst="rect">
                      <a:avLst/>
                    </a:prstGeom>
                  </pic:spPr>
                </pic:pic>
              </a:graphicData>
            </a:graphic>
          </wp:inline>
        </w:drawing>
      </w:r>
    </w:p>
    <w:p w14:paraId="17D7AE4E">
      <w:pPr>
        <w:spacing w:line="360" w:lineRule="auto"/>
        <w:jc w:val="center"/>
        <w:rPr>
          <w:rFonts w:hint="eastAsia" w:ascii="宋体" w:hAnsi="宋体" w:eastAsia="宋体"/>
          <w:sz w:val="24"/>
          <w:szCs w:val="24"/>
        </w:rPr>
      </w:pPr>
      <w:r>
        <w:rPr>
          <w:rFonts w:hint="eastAsia" w:ascii="宋体" w:hAnsi="宋体" w:eastAsia="宋体"/>
          <w:sz w:val="24"/>
          <w:szCs w:val="24"/>
        </w:rPr>
        <w:t>图</w:t>
      </w:r>
      <w:r>
        <w:rPr>
          <w:rFonts w:ascii="宋体" w:hAnsi="宋体" w:eastAsia="宋体"/>
          <w:sz w:val="24"/>
          <w:szCs w:val="24"/>
        </w:rPr>
        <w:t>3</w:t>
      </w:r>
      <w:r>
        <w:rPr>
          <w:rFonts w:hint="eastAsia" w:ascii="宋体" w:hAnsi="宋体" w:eastAsia="宋体"/>
          <w:sz w:val="24"/>
          <w:szCs w:val="24"/>
        </w:rPr>
        <w:t>：达州普光化工园区用地布局规划图</w:t>
      </w:r>
    </w:p>
    <w:p w14:paraId="2CA9BECB">
      <w:pPr>
        <w:spacing w:line="360" w:lineRule="auto"/>
        <w:ind w:firstLine="480" w:firstLineChars="200"/>
        <w:rPr>
          <w:rFonts w:ascii="宋体" w:hAnsi="宋体" w:eastAsia="宋体"/>
          <w:sz w:val="24"/>
          <w:szCs w:val="24"/>
        </w:rPr>
      </w:pPr>
    </w:p>
    <w:p w14:paraId="14586BFF">
      <w:pPr>
        <w:spacing w:line="360" w:lineRule="auto"/>
        <w:ind w:firstLine="482" w:firstLineChars="200"/>
        <w:rPr>
          <w:rFonts w:ascii="宋体" w:hAnsi="宋体" w:eastAsia="宋体"/>
          <w:b/>
          <w:sz w:val="24"/>
          <w:szCs w:val="24"/>
        </w:rPr>
      </w:pPr>
      <w:r>
        <w:rPr>
          <w:rFonts w:hint="eastAsia" w:ascii="宋体" w:hAnsi="宋体" w:eastAsia="宋体"/>
          <w:b/>
          <w:sz w:val="24"/>
          <w:szCs w:val="24"/>
        </w:rPr>
        <w:t>八、道路交通规划</w:t>
      </w:r>
    </w:p>
    <w:p w14:paraId="2F01A7C9">
      <w:pPr>
        <w:spacing w:line="360" w:lineRule="auto"/>
        <w:ind w:firstLine="480" w:firstLineChars="200"/>
        <w:rPr>
          <w:rFonts w:ascii="宋体" w:hAnsi="宋体" w:eastAsia="宋体"/>
          <w:sz w:val="24"/>
          <w:szCs w:val="24"/>
        </w:rPr>
      </w:pPr>
      <w:r>
        <w:rPr>
          <w:rFonts w:hint="eastAsia" w:ascii="宋体" w:hAnsi="宋体" w:eastAsia="宋体"/>
          <w:sz w:val="24"/>
          <w:szCs w:val="24"/>
        </w:rPr>
        <w:t>化工园区形成以</w:t>
      </w:r>
      <w:r>
        <w:rPr>
          <w:rFonts w:ascii="宋体" w:hAnsi="宋体" w:eastAsia="宋体"/>
          <w:sz w:val="24"/>
          <w:szCs w:val="24"/>
        </w:rPr>
        <w:t>2号干道、横一路、锂钾大道以及南北大道等为主体的道路交通体系。</w:t>
      </w:r>
    </w:p>
    <w:p w14:paraId="3266B7D7">
      <w:pPr>
        <w:spacing w:line="360" w:lineRule="auto"/>
        <w:ind w:firstLine="480" w:firstLineChars="200"/>
        <w:rPr>
          <w:rFonts w:ascii="宋体" w:hAnsi="宋体" w:eastAsia="宋体"/>
          <w:sz w:val="24"/>
          <w:szCs w:val="24"/>
        </w:rPr>
      </w:pPr>
      <w:r>
        <w:rPr>
          <w:rFonts w:hint="eastAsia" w:ascii="宋体" w:hAnsi="宋体" w:eastAsia="宋体"/>
          <w:sz w:val="24"/>
          <w:szCs w:val="24"/>
        </w:rPr>
        <w:t>规划范围内的主干路和次干路应严格按规划进行控制和建设，支路根据地块的实际开发情况确定道路间距，在建设过程中可依据引进项目的具体情况增减或作线型调整。</w:t>
      </w:r>
    </w:p>
    <w:p w14:paraId="1002AEFD">
      <w:pPr>
        <w:spacing w:line="360" w:lineRule="auto"/>
        <w:ind w:firstLine="480" w:firstLineChars="200"/>
        <w:rPr>
          <w:rFonts w:ascii="宋体" w:hAnsi="宋体" w:eastAsia="宋体"/>
          <w:sz w:val="24"/>
          <w:szCs w:val="24"/>
        </w:rPr>
      </w:pPr>
      <w:r>
        <w:rPr>
          <w:rFonts w:hint="eastAsia" w:ascii="宋体" w:hAnsi="宋体" w:eastAsia="宋体"/>
          <w:sz w:val="24"/>
          <w:szCs w:val="24"/>
        </w:rPr>
        <w:t>规划达州普光化工园区道路断面</w:t>
      </w:r>
      <w:r>
        <w:rPr>
          <w:rFonts w:ascii="宋体" w:hAnsi="宋体" w:eastAsia="宋体"/>
          <w:sz w:val="24"/>
          <w:szCs w:val="24"/>
        </w:rPr>
        <w:t>5种，具体断面形式如下：</w:t>
      </w:r>
    </w:p>
    <w:p w14:paraId="480D0CC1">
      <w:pPr>
        <w:spacing w:line="360" w:lineRule="auto"/>
        <w:ind w:firstLine="480" w:firstLineChars="200"/>
        <w:rPr>
          <w:rFonts w:ascii="宋体" w:hAnsi="宋体" w:eastAsia="宋体"/>
          <w:sz w:val="24"/>
          <w:szCs w:val="24"/>
        </w:rPr>
      </w:pPr>
      <w:r>
        <w:rPr>
          <w:rFonts w:hint="eastAsia" w:ascii="宋体" w:hAnsi="宋体" w:eastAsia="宋体"/>
          <w:sz w:val="24"/>
          <w:szCs w:val="24"/>
        </w:rPr>
        <w:t>断面</w:t>
      </w:r>
      <w:r>
        <w:rPr>
          <w:rFonts w:ascii="宋体" w:hAnsi="宋体" w:eastAsia="宋体"/>
          <w:sz w:val="24"/>
          <w:szCs w:val="24"/>
        </w:rPr>
        <w:t>A：32米=5.5米（人行道）+21米（车行道）+5.5米（人行道）；</w:t>
      </w:r>
    </w:p>
    <w:p w14:paraId="4C71BF6B">
      <w:pPr>
        <w:spacing w:line="360" w:lineRule="auto"/>
        <w:ind w:firstLine="480" w:firstLineChars="200"/>
        <w:rPr>
          <w:rFonts w:ascii="宋体" w:hAnsi="宋体" w:eastAsia="宋体"/>
          <w:sz w:val="24"/>
          <w:szCs w:val="24"/>
        </w:rPr>
      </w:pPr>
      <w:r>
        <w:rPr>
          <w:rFonts w:hint="eastAsia" w:ascii="宋体" w:hAnsi="宋体" w:eastAsia="宋体"/>
          <w:sz w:val="24"/>
          <w:szCs w:val="24"/>
        </w:rPr>
        <w:t>断面</w:t>
      </w:r>
      <w:r>
        <w:rPr>
          <w:rFonts w:ascii="宋体" w:hAnsi="宋体" w:eastAsia="宋体"/>
          <w:sz w:val="24"/>
          <w:szCs w:val="24"/>
        </w:rPr>
        <w:t>B：24米=4.0 米（人行道）+16.0 米（车行道）+4.0 米（人行道）；</w:t>
      </w:r>
    </w:p>
    <w:p w14:paraId="55E62465">
      <w:pPr>
        <w:spacing w:line="360" w:lineRule="auto"/>
        <w:ind w:firstLine="480" w:firstLineChars="200"/>
        <w:rPr>
          <w:rFonts w:ascii="宋体" w:hAnsi="宋体" w:eastAsia="宋体"/>
          <w:sz w:val="24"/>
          <w:szCs w:val="24"/>
        </w:rPr>
      </w:pPr>
      <w:r>
        <w:rPr>
          <w:rFonts w:hint="eastAsia" w:ascii="宋体" w:hAnsi="宋体" w:eastAsia="宋体"/>
          <w:sz w:val="24"/>
          <w:szCs w:val="24"/>
        </w:rPr>
        <w:t>断面</w:t>
      </w:r>
      <w:r>
        <w:rPr>
          <w:rFonts w:ascii="宋体" w:hAnsi="宋体" w:eastAsia="宋体"/>
          <w:sz w:val="24"/>
          <w:szCs w:val="24"/>
        </w:rPr>
        <w:t>C：21米=2.5米（人行道）+16.0 米（车行道）+2.5 米（人行道）；</w:t>
      </w:r>
    </w:p>
    <w:p w14:paraId="3F8FA171">
      <w:pPr>
        <w:spacing w:line="360" w:lineRule="auto"/>
        <w:ind w:firstLine="480" w:firstLineChars="200"/>
        <w:rPr>
          <w:rFonts w:ascii="宋体" w:hAnsi="宋体" w:eastAsia="宋体"/>
          <w:sz w:val="24"/>
          <w:szCs w:val="24"/>
        </w:rPr>
      </w:pPr>
      <w:r>
        <w:rPr>
          <w:rFonts w:hint="eastAsia" w:ascii="宋体" w:hAnsi="宋体" w:eastAsia="宋体"/>
          <w:sz w:val="24"/>
          <w:szCs w:val="24"/>
        </w:rPr>
        <w:t>断面</w:t>
      </w:r>
      <w:r>
        <w:rPr>
          <w:rFonts w:ascii="宋体" w:hAnsi="宋体" w:eastAsia="宋体"/>
          <w:sz w:val="24"/>
          <w:szCs w:val="24"/>
        </w:rPr>
        <w:t>D：20米=3.0米（人行道）+14米（车行道）+3.0米（人行道）；</w:t>
      </w:r>
    </w:p>
    <w:p w14:paraId="2382D8E7">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断面</w:t>
      </w:r>
      <w:r>
        <w:rPr>
          <w:rFonts w:ascii="宋体" w:hAnsi="宋体" w:eastAsia="宋体"/>
          <w:sz w:val="24"/>
          <w:szCs w:val="24"/>
        </w:rPr>
        <w:t>E：12米=2.5米（人行道）+7.0米（车行道）+2.5米（人行道）。</w:t>
      </w:r>
    </w:p>
    <w:p w14:paraId="6EC1FE95">
      <w:pPr>
        <w:spacing w:line="360" w:lineRule="auto"/>
        <w:jc w:val="center"/>
        <w:rPr>
          <w:rFonts w:ascii="宋体" w:hAnsi="宋体" w:eastAsia="宋体"/>
          <w:sz w:val="24"/>
          <w:szCs w:val="24"/>
        </w:rPr>
      </w:pPr>
      <w:r>
        <w:drawing>
          <wp:inline distT="0" distB="0" distL="0" distR="0">
            <wp:extent cx="5274310" cy="35998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3599815"/>
                    </a:xfrm>
                    <a:prstGeom prst="rect">
                      <a:avLst/>
                    </a:prstGeom>
                  </pic:spPr>
                </pic:pic>
              </a:graphicData>
            </a:graphic>
          </wp:inline>
        </w:drawing>
      </w:r>
    </w:p>
    <w:p w14:paraId="7671D4F0">
      <w:pPr>
        <w:spacing w:line="360" w:lineRule="auto"/>
        <w:jc w:val="center"/>
        <w:rPr>
          <w:rFonts w:hint="eastAsia" w:ascii="宋体" w:hAnsi="宋体" w:eastAsia="宋体"/>
          <w:sz w:val="24"/>
          <w:szCs w:val="24"/>
        </w:rPr>
      </w:pPr>
      <w:r>
        <w:rPr>
          <w:rFonts w:hint="eastAsia" w:ascii="宋体" w:hAnsi="宋体" w:eastAsia="宋体"/>
          <w:sz w:val="24"/>
          <w:szCs w:val="24"/>
        </w:rPr>
        <w:t>图</w:t>
      </w:r>
      <w:r>
        <w:rPr>
          <w:rFonts w:ascii="宋体" w:hAnsi="宋体" w:eastAsia="宋体"/>
          <w:sz w:val="24"/>
          <w:szCs w:val="24"/>
        </w:rPr>
        <w:t>4</w:t>
      </w:r>
      <w:r>
        <w:rPr>
          <w:rFonts w:hint="eastAsia" w:ascii="宋体" w:hAnsi="宋体" w:eastAsia="宋体"/>
          <w:sz w:val="24"/>
          <w:szCs w:val="24"/>
        </w:rPr>
        <w:t>：达州普光化工园区道路系统规划图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mOGY2MWQ2NjU2ZjUzYjY3MzM1NjM0ZTMwYTU1NmIifQ=="/>
  </w:docVars>
  <w:rsids>
    <w:rsidRoot w:val="00205780"/>
    <w:rsid w:val="00205780"/>
    <w:rsid w:val="002E26D1"/>
    <w:rsid w:val="00412A9D"/>
    <w:rsid w:val="00BE7191"/>
    <w:rsid w:val="00E42065"/>
    <w:rsid w:val="00FE02A3"/>
    <w:rsid w:val="2FB62612"/>
    <w:rsid w:val="37575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2289</Words>
  <Characters>2565</Characters>
  <Lines>19</Lines>
  <Paragraphs>5</Paragraphs>
  <TotalTime>0</TotalTime>
  <ScaleCrop>false</ScaleCrop>
  <LinksUpToDate>false</LinksUpToDate>
  <CharactersWithSpaces>2607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2024-07-04T01:12:00Z</dcterms:created>
  <dc:creator>GOD666</dc:creator>
  <cp:lastModifiedBy>Lenovo</cp:lastModifiedBy>
  <dcterms:modified xsi:type="dcterms:W3CDTF">2024-07-24T02:49:34Z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A88648BB44DD4D77AD21BE8AAE08709B_13</vt:lpwstr>
  </property>
</Properties>
</file>