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仿宋_GB2312" w:cs="Times New Roman"/>
          <w:color w:val="auto"/>
          <w:sz w:val="36"/>
          <w:szCs w:val="36"/>
          <w:highlight w:val="none"/>
        </w:rPr>
      </w:pPr>
      <w:bookmarkStart w:id="0" w:name="_Hlk57883707"/>
    </w:p>
    <w:bookmarkEnd w:id="0"/>
    <w:p>
      <w:pPr>
        <w:adjustRightInd w:val="0"/>
        <w:snapToGrid w:val="0"/>
        <w:jc w:val="center"/>
        <w:outlineLvl w:val="0"/>
        <w:rPr>
          <w:rFonts w:hint="default" w:ascii="Times New Roman" w:hAnsi="Times New Roman" w:eastAsia="方正小标宋_GBK" w:cs="Times New Roman"/>
          <w:bCs/>
          <w:color w:val="auto"/>
          <w:sz w:val="72"/>
          <w:szCs w:val="72"/>
          <w:highlight w:val="none"/>
        </w:rPr>
      </w:pPr>
      <w:r>
        <w:rPr>
          <w:rFonts w:hint="default" w:ascii="Times New Roman" w:hAnsi="Times New Roman" w:eastAsia="方正小标宋_GBK" w:cs="Times New Roman"/>
          <w:bCs/>
          <w:color w:val="auto"/>
          <w:sz w:val="72"/>
          <w:szCs w:val="72"/>
          <w:highlight w:val="none"/>
        </w:rPr>
        <w:t>建设项目环境影响报告表</w:t>
      </w:r>
    </w:p>
    <w:p>
      <w:pPr>
        <w:jc w:val="center"/>
        <w:rPr>
          <w:rFonts w:hint="default" w:ascii="Times New Roman" w:hAnsi="Times New Roman" w:eastAsia="华文仿宋" w:cs="Times New Roman"/>
          <w:color w:val="auto"/>
          <w:kern w:val="44"/>
          <w:sz w:val="44"/>
          <w:szCs w:val="44"/>
          <w:highlight w:val="none"/>
        </w:rPr>
      </w:pPr>
      <w:bookmarkStart w:id="1" w:name="_Hlk57883728"/>
      <w:r>
        <w:rPr>
          <w:rFonts w:hint="default" w:ascii="Times New Roman" w:hAnsi="Times New Roman" w:eastAsia="楷体_GB2312" w:cs="Times New Roman"/>
          <w:bCs/>
          <w:color w:val="auto"/>
          <w:sz w:val="48"/>
          <w:szCs w:val="48"/>
          <w:highlight w:val="none"/>
        </w:rPr>
        <w:t>（生态影响类）</w:t>
      </w:r>
    </w:p>
    <w:p>
      <w:pPr>
        <w:jc w:val="center"/>
        <w:rPr>
          <w:rFonts w:hint="default" w:ascii="Times New Roman" w:hAnsi="Times New Roman" w:eastAsia="华文仿宋" w:cs="Times New Roman"/>
          <w:color w:val="auto"/>
          <w:kern w:val="44"/>
          <w:sz w:val="44"/>
          <w:szCs w:val="44"/>
          <w:highlight w:val="none"/>
        </w:rPr>
      </w:pPr>
      <w:r>
        <w:rPr>
          <w:rFonts w:hint="default" w:ascii="Times New Roman" w:hAnsi="Times New Roman" w:eastAsia="楷体_GB2312" w:cs="Times New Roman"/>
          <w:bCs/>
          <w:color w:val="auto"/>
          <w:sz w:val="48"/>
          <w:szCs w:val="48"/>
          <w:highlight w:val="none"/>
        </w:rPr>
        <w:t>（</w:t>
      </w:r>
      <w:r>
        <w:rPr>
          <w:rFonts w:hint="eastAsia" w:eastAsia="楷体_GB2312" w:cs="Times New Roman"/>
          <w:bCs/>
          <w:color w:val="auto"/>
          <w:sz w:val="48"/>
          <w:szCs w:val="48"/>
          <w:highlight w:val="none"/>
          <w:lang w:val="en-US" w:eastAsia="zh-CN"/>
        </w:rPr>
        <w:t>公示版</w:t>
      </w:r>
      <w:r>
        <w:rPr>
          <w:rFonts w:hint="default" w:ascii="Times New Roman" w:hAnsi="Times New Roman" w:eastAsia="楷体_GB2312" w:cs="Times New Roman"/>
          <w:bCs/>
          <w:color w:val="auto"/>
          <w:sz w:val="48"/>
          <w:szCs w:val="48"/>
          <w:highlight w:val="none"/>
        </w:rPr>
        <w:t>）</w:t>
      </w:r>
    </w:p>
    <w:p>
      <w:pPr>
        <w:rPr>
          <w:rFonts w:hint="default" w:ascii="Times New Roman" w:hAnsi="Times New Roman" w:eastAsia="仿宋" w:cs="Times New Roman"/>
          <w:color w:val="auto"/>
          <w:sz w:val="52"/>
          <w:szCs w:val="52"/>
          <w:highlight w:val="none"/>
        </w:rPr>
      </w:pPr>
    </w:p>
    <w:p>
      <w:pPr>
        <w:ind w:firstLine="1040"/>
        <w:rPr>
          <w:rFonts w:hint="default" w:ascii="Times New Roman" w:hAnsi="Times New Roman" w:eastAsia="仿宋" w:cs="Times New Roman"/>
          <w:color w:val="auto"/>
          <w:sz w:val="44"/>
          <w:szCs w:val="44"/>
          <w:highlight w:val="none"/>
        </w:rPr>
      </w:pPr>
    </w:p>
    <w:p>
      <w:pPr>
        <w:ind w:firstLine="1040"/>
        <w:rPr>
          <w:rFonts w:hint="default" w:ascii="Times New Roman" w:hAnsi="Times New Roman" w:eastAsia="仿宋" w:cs="Times New Roman"/>
          <w:color w:val="auto"/>
          <w:sz w:val="44"/>
          <w:szCs w:val="44"/>
          <w:highlight w:val="none"/>
        </w:rPr>
      </w:pPr>
    </w:p>
    <w:p>
      <w:pPr>
        <w:ind w:firstLine="1040"/>
        <w:rPr>
          <w:rFonts w:hint="default" w:ascii="Times New Roman" w:hAnsi="Times New Roman" w:eastAsia="仿宋" w:cs="Times New Roman"/>
          <w:color w:val="auto"/>
          <w:sz w:val="44"/>
          <w:szCs w:val="44"/>
          <w:highlight w:val="none"/>
        </w:rPr>
      </w:pPr>
    </w:p>
    <w:p>
      <w:pPr>
        <w:ind w:firstLine="1040"/>
        <w:rPr>
          <w:rFonts w:hint="default" w:ascii="Times New Roman" w:hAnsi="Times New Roman" w:eastAsia="仿宋" w:cs="Times New Roman"/>
          <w:color w:val="auto"/>
          <w:sz w:val="44"/>
          <w:szCs w:val="44"/>
          <w:highlight w:val="none"/>
        </w:rPr>
      </w:pPr>
    </w:p>
    <w:p>
      <w:pPr>
        <w:pStyle w:val="18"/>
        <w:ind w:left="0" w:leftChars="0" w:firstLine="0" w:firstLineChars="0"/>
        <w:rPr>
          <w:rFonts w:hint="default" w:ascii="Times New Roman" w:hAnsi="Times New Roman" w:eastAsia="仿宋" w:cs="Times New Roman"/>
          <w:color w:val="auto"/>
          <w:sz w:val="44"/>
          <w:szCs w:val="44"/>
          <w:highlight w:val="none"/>
        </w:rPr>
      </w:pPr>
    </w:p>
    <w:p>
      <w:pPr>
        <w:ind w:firstLine="1040"/>
        <w:rPr>
          <w:rFonts w:hint="default" w:ascii="Times New Roman" w:hAnsi="Times New Roman" w:eastAsia="仿宋" w:cs="Times New Roman"/>
          <w:color w:val="auto"/>
          <w:sz w:val="44"/>
          <w:szCs w:val="44"/>
          <w:highlight w:val="none"/>
        </w:rPr>
      </w:pPr>
    </w:p>
    <w:bookmarkEnd w:id="1"/>
    <w:p>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00"/>
        <w:textAlignment w:val="auto"/>
        <w:rPr>
          <w:rFonts w:hint="default" w:ascii="Times New Roman" w:hAnsi="Times New Roman" w:eastAsia="仿宋_GB2312" w:cs="Times New Roman"/>
          <w:color w:val="auto"/>
          <w:sz w:val="36"/>
          <w:szCs w:val="36"/>
          <w:highlight w:val="none"/>
          <w:u w:val="single"/>
          <w:lang w:val="en-US" w:eastAsia="zh-CN"/>
        </w:rPr>
      </w:pPr>
      <w:r>
        <w:rPr>
          <w:rFonts w:hint="default" w:ascii="Times New Roman" w:hAnsi="Times New Roman" w:eastAsia="仿宋_GB2312" w:cs="Times New Roman"/>
          <w:color w:val="auto"/>
          <w:sz w:val="36"/>
          <w:szCs w:val="36"/>
          <w:highlight w:val="none"/>
        </w:rPr>
        <w:t>项目名称：</w:t>
      </w:r>
      <w:r>
        <w:rPr>
          <w:rFonts w:hint="default" w:ascii="Times New Roman" w:hAnsi="Times New Roman" w:eastAsia="仿宋_GB2312" w:cs="Times New Roman"/>
          <w:color w:val="auto"/>
          <w:sz w:val="36"/>
          <w:szCs w:val="36"/>
          <w:highlight w:val="none"/>
          <w:u w:val="single"/>
          <w:lang w:val="en-US" w:eastAsia="zh-CN"/>
        </w:rPr>
        <w:t xml:space="preserve">        </w:t>
      </w:r>
      <w:r>
        <w:rPr>
          <w:rFonts w:hint="eastAsia" w:eastAsia="仿宋_GB2312" w:cs="Times New Roman"/>
          <w:color w:val="auto"/>
          <w:sz w:val="36"/>
          <w:szCs w:val="36"/>
          <w:highlight w:val="none"/>
          <w:u w:val="single"/>
          <w:lang w:val="en-US" w:eastAsia="zh-CN"/>
        </w:rPr>
        <w:t>达州市</w:t>
      </w:r>
      <w:r>
        <w:rPr>
          <w:rFonts w:hint="default" w:ascii="Times New Roman" w:hAnsi="Times New Roman" w:eastAsia="仿宋_GB2312" w:cs="Times New Roman"/>
          <w:color w:val="auto"/>
          <w:sz w:val="36"/>
          <w:szCs w:val="36"/>
          <w:highlight w:val="none"/>
          <w:u w:val="single"/>
          <w:lang w:eastAsia="zh-CN"/>
        </w:rPr>
        <w:t>宣汉县堰沟水库工程</w:t>
      </w:r>
      <w:r>
        <w:rPr>
          <w:rFonts w:hint="default" w:ascii="Times New Roman" w:hAnsi="Times New Roman" w:eastAsia="仿宋_GB2312" w:cs="Times New Roman"/>
          <w:color w:val="auto"/>
          <w:sz w:val="36"/>
          <w:szCs w:val="36"/>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00"/>
        <w:textAlignment w:val="auto"/>
        <w:rPr>
          <w:rFonts w:hint="default" w:ascii="Times New Roman" w:hAnsi="Times New Roman" w:eastAsia="仿宋_GB2312" w:cs="Times New Roman"/>
          <w:color w:val="auto"/>
          <w:sz w:val="36"/>
          <w:szCs w:val="36"/>
          <w:highlight w:val="none"/>
          <w:u w:val="single"/>
          <w:lang w:val="en-US"/>
        </w:rPr>
      </w:pPr>
      <w:r>
        <w:rPr>
          <w:rFonts w:hint="default" w:ascii="Times New Roman" w:hAnsi="Times New Roman" w:eastAsia="仿宋_GB2312" w:cs="Times New Roman"/>
          <w:color w:val="auto"/>
          <w:sz w:val="36"/>
          <w:szCs w:val="36"/>
          <w:highlight w:val="none"/>
        </w:rPr>
        <w:t>建设单位（盖章）：</w:t>
      </w:r>
      <w:r>
        <w:rPr>
          <w:rFonts w:hint="eastAsia" w:eastAsia="仿宋_GB2312" w:cs="Times New Roman"/>
          <w:color w:val="auto"/>
          <w:sz w:val="36"/>
          <w:szCs w:val="36"/>
          <w:highlight w:val="none"/>
          <w:u w:val="single"/>
          <w:lang w:val="en-US" w:eastAsia="zh-CN"/>
        </w:rPr>
        <w:t>宣汉县小型水库服务中心</w:t>
      </w:r>
    </w:p>
    <w:p>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00"/>
        <w:textAlignment w:val="auto"/>
        <w:rPr>
          <w:rFonts w:hint="default" w:ascii="Times New Roman" w:hAnsi="Times New Roman" w:eastAsia="仿宋_GB2312" w:cs="Times New Roman"/>
          <w:color w:val="auto"/>
          <w:sz w:val="36"/>
          <w:szCs w:val="36"/>
          <w:highlight w:val="none"/>
          <w:u w:val="single"/>
        </w:rPr>
      </w:pPr>
      <w:r>
        <w:rPr>
          <w:rFonts w:hint="default" w:ascii="Times New Roman" w:hAnsi="Times New Roman" w:eastAsia="仿宋_GB2312" w:cs="Times New Roman"/>
          <w:color w:val="auto"/>
          <w:sz w:val="36"/>
          <w:szCs w:val="36"/>
          <w:highlight w:val="none"/>
        </w:rPr>
        <w:t>编制日期：</w:t>
      </w:r>
      <w:r>
        <w:rPr>
          <w:rFonts w:hint="default" w:ascii="Times New Roman" w:hAnsi="Times New Roman" w:eastAsia="仿宋_GB2312" w:cs="Times New Roman"/>
          <w:color w:val="auto"/>
          <w:sz w:val="36"/>
          <w:szCs w:val="36"/>
          <w:highlight w:val="none"/>
          <w:u w:val="single"/>
        </w:rPr>
        <w:t xml:space="preserve">          </w:t>
      </w:r>
      <w:r>
        <w:rPr>
          <w:rFonts w:hint="default" w:ascii="Times New Roman" w:hAnsi="Times New Roman" w:eastAsia="仿宋_GB2312" w:cs="Times New Roman"/>
          <w:color w:val="auto"/>
          <w:sz w:val="36"/>
          <w:szCs w:val="36"/>
          <w:highlight w:val="none"/>
          <w:u w:val="single"/>
          <w:lang w:eastAsia="zh-CN"/>
        </w:rPr>
        <w:t>二〇二</w:t>
      </w:r>
      <w:r>
        <w:rPr>
          <w:rFonts w:hint="eastAsia" w:eastAsia="仿宋_GB2312" w:cs="Times New Roman"/>
          <w:color w:val="auto"/>
          <w:sz w:val="36"/>
          <w:szCs w:val="36"/>
          <w:highlight w:val="none"/>
          <w:u w:val="single"/>
          <w:lang w:val="en-US" w:eastAsia="zh-CN"/>
        </w:rPr>
        <w:t>四</w:t>
      </w:r>
      <w:r>
        <w:rPr>
          <w:rFonts w:hint="default" w:ascii="Times New Roman" w:hAnsi="Times New Roman" w:eastAsia="仿宋_GB2312" w:cs="Times New Roman"/>
          <w:color w:val="auto"/>
          <w:sz w:val="36"/>
          <w:szCs w:val="36"/>
          <w:highlight w:val="none"/>
          <w:u w:val="single"/>
        </w:rPr>
        <w:t>年</w:t>
      </w:r>
      <w:r>
        <w:rPr>
          <w:rFonts w:hint="eastAsia" w:eastAsia="仿宋_GB2312" w:cs="Times New Roman"/>
          <w:color w:val="auto"/>
          <w:sz w:val="36"/>
          <w:szCs w:val="36"/>
          <w:highlight w:val="none"/>
          <w:u w:val="single"/>
          <w:lang w:val="en-US" w:eastAsia="zh-CN"/>
        </w:rPr>
        <w:t>四</w:t>
      </w:r>
      <w:r>
        <w:rPr>
          <w:rFonts w:hint="default" w:ascii="Times New Roman" w:hAnsi="Times New Roman" w:eastAsia="仿宋_GB2312" w:cs="Times New Roman"/>
          <w:color w:val="auto"/>
          <w:sz w:val="36"/>
          <w:szCs w:val="36"/>
          <w:highlight w:val="none"/>
          <w:u w:val="single"/>
        </w:rPr>
        <w:t xml:space="preserve">月      </w:t>
      </w:r>
    </w:p>
    <w:p>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00"/>
        <w:textAlignment w:val="auto"/>
        <w:rPr>
          <w:rFonts w:hint="default" w:ascii="Times New Roman" w:hAnsi="Times New Roman" w:eastAsia="仿宋_GB2312" w:cs="Times New Roman"/>
          <w:color w:val="auto"/>
          <w:sz w:val="36"/>
          <w:szCs w:val="36"/>
          <w:highlight w:val="none"/>
          <w:u w:val="single"/>
        </w:rPr>
      </w:pPr>
    </w:p>
    <w:p>
      <w:pPr>
        <w:adjustRightInd w:val="0"/>
        <w:snapToGrid w:val="0"/>
        <w:spacing w:line="288" w:lineRule="auto"/>
        <w:rPr>
          <w:rFonts w:hint="default" w:ascii="Times New Roman" w:hAnsi="Times New Roman" w:eastAsia="仿宋_GB2312" w:cs="Times New Roman"/>
          <w:color w:val="auto"/>
          <w:sz w:val="36"/>
          <w:szCs w:val="36"/>
          <w:highlight w:val="none"/>
        </w:rPr>
      </w:pPr>
    </w:p>
    <w:p>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pPr>
        <w:adjustRightInd w:val="0"/>
        <w:snapToGrid w:val="0"/>
        <w:spacing w:line="288" w:lineRule="auto"/>
        <w:rPr>
          <w:rFonts w:hint="default" w:ascii="Times New Roman" w:hAnsi="Times New Roman" w:eastAsia="仿宋_GB2312" w:cs="Times New Roman"/>
          <w:color w:val="auto"/>
          <w:sz w:val="36"/>
          <w:szCs w:val="36"/>
          <w:highlight w:val="none"/>
        </w:rPr>
      </w:pPr>
    </w:p>
    <w:p>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pPr>
        <w:adjustRightInd w:val="0"/>
        <w:snapToGrid w:val="0"/>
        <w:spacing w:line="288" w:lineRule="auto"/>
        <w:jc w:val="center"/>
        <w:rPr>
          <w:rFonts w:hint="default" w:ascii="Times New Roman" w:hAnsi="Times New Roman" w:eastAsia="楷体_GB2312" w:cs="Times New Roman"/>
          <w:color w:val="auto"/>
          <w:sz w:val="36"/>
          <w:szCs w:val="36"/>
          <w:highlight w:val="none"/>
        </w:rPr>
      </w:pPr>
      <w:r>
        <w:rPr>
          <w:rFonts w:hint="default" w:ascii="Times New Roman" w:hAnsi="Times New Roman" w:eastAsia="楷体_GB2312" w:cs="Times New Roman"/>
          <w:color w:val="auto"/>
          <w:sz w:val="36"/>
          <w:szCs w:val="36"/>
          <w:highlight w:val="none"/>
        </w:rPr>
        <w:t>中华人民共和国生态环境部制</w:t>
      </w:r>
    </w:p>
    <w:p>
      <w:pPr>
        <w:adjustRightInd w:val="0"/>
        <w:snapToGrid w:val="0"/>
        <w:spacing w:line="288" w:lineRule="auto"/>
        <w:ind w:firstLine="1040"/>
        <w:rPr>
          <w:rFonts w:hint="default" w:ascii="Times New Roman" w:hAnsi="Times New Roman" w:eastAsia="仿宋_GB2312" w:cs="Times New Roman"/>
          <w:color w:val="auto"/>
          <w:sz w:val="36"/>
          <w:szCs w:val="36"/>
          <w:highlight w:val="none"/>
        </w:rPr>
        <w:sectPr>
          <w:footerReference r:id="rId3" w:type="default"/>
          <w:pgSz w:w="11906" w:h="16838"/>
          <w:pgMar w:top="1701" w:right="1531" w:bottom="1701" w:left="1531" w:header="851" w:footer="1077" w:gutter="0"/>
          <w:pgNumType w:start="21"/>
          <w:cols w:space="720" w:num="1"/>
          <w:docGrid w:linePitch="312" w:charSpace="0"/>
        </w:sectPr>
      </w:pPr>
    </w:p>
    <w:p>
      <w:pPr>
        <w:pStyle w:val="26"/>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一、建设项目基本情况</w:t>
      </w:r>
    </w:p>
    <w:tbl>
      <w:tblPr>
        <w:tblStyle w:val="29"/>
        <w:tblW w:w="9039" w:type="dxa"/>
        <w:tblInd w:w="17"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760"/>
        <w:gridCol w:w="2386"/>
        <w:gridCol w:w="1876"/>
        <w:gridCol w:w="30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760" w:type="dxa"/>
            <w:tcMar>
              <w:top w:w="16" w:type="dxa"/>
              <w:left w:w="16" w:type="dxa"/>
              <w:right w:w="16" w:type="dxa"/>
            </w:tcMar>
            <w:vAlign w:val="center"/>
          </w:tcPr>
          <w:p>
            <w:pPr>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建设项目名称</w:t>
            </w:r>
          </w:p>
        </w:tc>
        <w:tc>
          <w:tcPr>
            <w:tcW w:w="7279" w:type="dxa"/>
            <w:gridSpan w:val="3"/>
            <w:vAlign w:val="center"/>
          </w:tcPr>
          <w:p>
            <w:pPr>
              <w:adjustRightInd w:val="0"/>
              <w:snapToGrid w:val="0"/>
              <w:spacing w:line="36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达州市宣汉县堰沟水库工程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760" w:type="dxa"/>
            <w:tcMar>
              <w:top w:w="16" w:type="dxa"/>
              <w:left w:w="16" w:type="dxa"/>
              <w:right w:w="16" w:type="dxa"/>
            </w:tcMar>
            <w:vAlign w:val="center"/>
          </w:tcPr>
          <w:p>
            <w:pPr>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项目代码</w:t>
            </w:r>
          </w:p>
        </w:tc>
        <w:tc>
          <w:tcPr>
            <w:tcW w:w="7279" w:type="dxa"/>
            <w:gridSpan w:val="3"/>
            <w:vAlign w:val="center"/>
          </w:tcPr>
          <w:p>
            <w:pPr>
              <w:adjustRightInd w:val="0"/>
              <w:snapToGrid w:val="0"/>
              <w:spacing w:line="36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2107-511722-19-01-245020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760" w:type="dxa"/>
            <w:tcMar>
              <w:top w:w="16" w:type="dxa"/>
              <w:left w:w="16" w:type="dxa"/>
              <w:right w:w="16" w:type="dxa"/>
            </w:tcMar>
            <w:vAlign w:val="center"/>
          </w:tcPr>
          <w:p>
            <w:pPr>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建设单位联系人</w:t>
            </w:r>
          </w:p>
        </w:tc>
        <w:tc>
          <w:tcPr>
            <w:tcW w:w="2386" w:type="dxa"/>
            <w:vAlign w:val="center"/>
          </w:tcPr>
          <w:p>
            <w:pPr>
              <w:adjustRightInd w:val="0"/>
              <w:snapToGrid w:val="0"/>
              <w:spacing w:line="36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夏**</w:t>
            </w:r>
          </w:p>
        </w:tc>
        <w:tc>
          <w:tcPr>
            <w:tcW w:w="1876" w:type="dxa"/>
            <w:vAlign w:val="center"/>
          </w:tcPr>
          <w:p>
            <w:pPr>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联系方式</w:t>
            </w:r>
          </w:p>
        </w:tc>
        <w:tc>
          <w:tcPr>
            <w:tcW w:w="3017" w:type="dxa"/>
            <w:vAlign w:val="center"/>
          </w:tcPr>
          <w:p>
            <w:pPr>
              <w:adjustRightInd w:val="0"/>
              <w:snapToGrid w:val="0"/>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135</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9707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760" w:type="dxa"/>
            <w:tcMar>
              <w:top w:w="16" w:type="dxa"/>
              <w:left w:w="16" w:type="dxa"/>
              <w:right w:w="16" w:type="dxa"/>
            </w:tcMar>
            <w:vAlign w:val="center"/>
          </w:tcPr>
          <w:p>
            <w:pPr>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建设地点</w:t>
            </w:r>
          </w:p>
        </w:tc>
        <w:tc>
          <w:tcPr>
            <w:tcW w:w="7279" w:type="dxa"/>
            <w:gridSpan w:val="3"/>
            <w:vAlign w:val="center"/>
          </w:tcPr>
          <w:p>
            <w:pPr>
              <w:adjustRightInd w:val="0"/>
              <w:snapToGrid w:val="0"/>
              <w:jc w:val="center"/>
              <w:rPr>
                <w:rFonts w:hint="default" w:ascii="Times New Roman" w:hAnsi="Times New Roman" w:eastAsia="宋体" w:cs="Times New Roman"/>
                <w:color w:val="auto"/>
                <w:sz w:val="21"/>
                <w:szCs w:val="21"/>
                <w:highlight w:val="none"/>
                <w:lang w:eastAsia="zh-CN"/>
              </w:rPr>
            </w:pPr>
            <w:r>
              <w:rPr>
                <w:color w:val="auto"/>
                <w:szCs w:val="21"/>
                <w:highlight w:val="none"/>
                <w:u w:val="single"/>
              </w:rPr>
              <w:t xml:space="preserve"> </w:t>
            </w:r>
            <w:r>
              <w:rPr>
                <w:rFonts w:hint="eastAsia"/>
                <w:color w:val="auto"/>
                <w:szCs w:val="21"/>
                <w:highlight w:val="none"/>
                <w:u w:val="single"/>
                <w:lang w:val="en-US" w:eastAsia="zh-CN"/>
              </w:rPr>
              <w:t>四川</w:t>
            </w:r>
            <w:r>
              <w:rPr>
                <w:color w:val="auto"/>
                <w:szCs w:val="21"/>
                <w:highlight w:val="none"/>
                <w:u w:val="single"/>
              </w:rPr>
              <w:t xml:space="preserve"> </w:t>
            </w:r>
            <w:r>
              <w:rPr>
                <w:color w:val="auto"/>
                <w:szCs w:val="21"/>
                <w:highlight w:val="none"/>
              </w:rPr>
              <w:t>省（自治区）</w:t>
            </w:r>
            <w:r>
              <w:rPr>
                <w:color w:val="auto"/>
                <w:szCs w:val="21"/>
                <w:highlight w:val="none"/>
                <w:u w:val="single"/>
              </w:rPr>
              <w:t xml:space="preserve"> </w:t>
            </w:r>
            <w:r>
              <w:rPr>
                <w:rFonts w:hint="eastAsia"/>
                <w:color w:val="auto"/>
                <w:szCs w:val="21"/>
                <w:highlight w:val="none"/>
                <w:u w:val="single"/>
                <w:lang w:val="en-US" w:eastAsia="zh-CN"/>
              </w:rPr>
              <w:t>达州</w:t>
            </w:r>
            <w:r>
              <w:rPr>
                <w:color w:val="auto"/>
                <w:szCs w:val="21"/>
                <w:highlight w:val="none"/>
                <w:u w:val="single"/>
              </w:rPr>
              <w:t xml:space="preserve"> </w:t>
            </w:r>
            <w:r>
              <w:rPr>
                <w:color w:val="auto"/>
                <w:szCs w:val="21"/>
                <w:highlight w:val="none"/>
              </w:rPr>
              <w:t>市</w:t>
            </w:r>
            <w:r>
              <w:rPr>
                <w:color w:val="auto"/>
                <w:szCs w:val="21"/>
                <w:highlight w:val="none"/>
                <w:u w:val="single"/>
              </w:rPr>
              <w:t xml:space="preserve"> </w:t>
            </w:r>
            <w:r>
              <w:rPr>
                <w:rFonts w:hint="eastAsia"/>
                <w:color w:val="auto"/>
                <w:szCs w:val="21"/>
                <w:highlight w:val="none"/>
                <w:u w:val="single"/>
                <w:lang w:val="en-US" w:eastAsia="zh-CN"/>
              </w:rPr>
              <w:t>宣汉</w:t>
            </w:r>
            <w:r>
              <w:rPr>
                <w:color w:val="auto"/>
                <w:szCs w:val="21"/>
                <w:highlight w:val="none"/>
                <w:u w:val="single"/>
              </w:rPr>
              <w:t xml:space="preserve"> </w:t>
            </w:r>
            <w:r>
              <w:rPr>
                <w:color w:val="auto"/>
                <w:szCs w:val="21"/>
                <w:highlight w:val="none"/>
              </w:rPr>
              <w:t>县（区）</w:t>
            </w:r>
            <w:r>
              <w:rPr>
                <w:color w:val="auto"/>
                <w:szCs w:val="21"/>
                <w:highlight w:val="none"/>
                <w:u w:val="single"/>
              </w:rPr>
              <w:t xml:space="preserve"> </w:t>
            </w:r>
            <w:r>
              <w:rPr>
                <w:rFonts w:hint="eastAsia"/>
                <w:color w:val="auto"/>
                <w:szCs w:val="21"/>
                <w:highlight w:val="none"/>
                <w:u w:val="single"/>
                <w:lang w:val="en-US" w:eastAsia="zh-CN"/>
              </w:rPr>
              <w:t>胡家镇</w:t>
            </w:r>
            <w:r>
              <w:rPr>
                <w:color w:val="auto"/>
                <w:szCs w:val="21"/>
                <w:highlight w:val="none"/>
                <w:u w:val="single"/>
              </w:rPr>
              <w:t xml:space="preserve">  </w:t>
            </w:r>
            <w:r>
              <w:rPr>
                <w:color w:val="auto"/>
                <w:szCs w:val="21"/>
                <w:highlight w:val="none"/>
              </w:rPr>
              <w:t>乡（街道）</w:t>
            </w:r>
            <w:r>
              <w:rPr>
                <w:rFonts w:hint="eastAsia"/>
                <w:color w:val="auto"/>
                <w:szCs w:val="21"/>
                <w:highlight w:val="none"/>
                <w:u w:val="single"/>
                <w:lang w:val="en-US" w:eastAsia="zh-CN"/>
              </w:rPr>
              <w:t>花池社区</w:t>
            </w:r>
            <w:r>
              <w:rPr>
                <w:color w:val="auto"/>
                <w:szCs w:val="21"/>
                <w:highlight w:val="none"/>
                <w:u w:val="single"/>
              </w:rPr>
              <w:t xml:space="preserve"> </w:t>
            </w:r>
            <w:r>
              <w:rPr>
                <w:color w:val="auto"/>
                <w:szCs w:val="21"/>
                <w:highlight w:val="none"/>
              </w:rPr>
              <w:t>（具体地址）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760" w:type="dxa"/>
            <w:tcMar>
              <w:top w:w="16" w:type="dxa"/>
              <w:left w:w="16" w:type="dxa"/>
              <w:right w:w="16" w:type="dxa"/>
            </w:tcMar>
            <w:vAlign w:val="center"/>
          </w:tcPr>
          <w:p>
            <w:pPr>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地理坐标</w:t>
            </w:r>
          </w:p>
        </w:tc>
        <w:tc>
          <w:tcPr>
            <w:tcW w:w="7279" w:type="dxa"/>
            <w:gridSpan w:val="3"/>
            <w:vAlign w:val="center"/>
          </w:tcPr>
          <w:p>
            <w:pPr>
              <w:jc w:val="center"/>
              <w:rPr>
                <w:rFonts w:hint="default" w:ascii="Times New Roman" w:hAnsi="Times New Roman" w:eastAsia="宋体" w:cs="Times New Roman"/>
                <w:color w:val="auto"/>
                <w:sz w:val="21"/>
                <w:szCs w:val="21"/>
                <w:highlight w:val="none"/>
              </w:rPr>
            </w:pPr>
            <w:r>
              <w:rPr>
                <w:color w:val="auto"/>
                <w:szCs w:val="21"/>
                <w:highlight w:val="none"/>
              </w:rPr>
              <w:t>（</w:t>
            </w:r>
            <w:r>
              <w:rPr>
                <w:color w:val="auto"/>
                <w:szCs w:val="21"/>
                <w:highlight w:val="none"/>
                <w:u w:val="single"/>
              </w:rPr>
              <w:t xml:space="preserve"> </w:t>
            </w:r>
            <w:r>
              <w:rPr>
                <w:rFonts w:hint="eastAsia"/>
                <w:color w:val="auto"/>
                <w:szCs w:val="21"/>
                <w:highlight w:val="none"/>
                <w:u w:val="single"/>
              </w:rPr>
              <w:t>东经</w:t>
            </w:r>
            <w:r>
              <w:rPr>
                <w:color w:val="auto"/>
                <w:szCs w:val="21"/>
                <w:highlight w:val="none"/>
                <w:u w:val="single"/>
              </w:rPr>
              <w:t xml:space="preserve"> </w:t>
            </w:r>
            <w:r>
              <w:rPr>
                <w:rFonts w:hint="eastAsia"/>
                <w:color w:val="auto"/>
                <w:szCs w:val="21"/>
                <w:highlight w:val="none"/>
                <w:u w:val="single"/>
              </w:rPr>
              <w:t>10</w:t>
            </w:r>
            <w:r>
              <w:rPr>
                <w:rFonts w:hint="eastAsia"/>
                <w:color w:val="auto"/>
                <w:szCs w:val="21"/>
                <w:highlight w:val="none"/>
                <w:u w:val="single"/>
                <w:lang w:val="en-US" w:eastAsia="zh-CN"/>
              </w:rPr>
              <w:t>7</w:t>
            </w:r>
            <w:r>
              <w:rPr>
                <w:color w:val="auto"/>
                <w:szCs w:val="21"/>
                <w:highlight w:val="none"/>
                <w:u w:val="single"/>
              </w:rPr>
              <w:t xml:space="preserve"> </w:t>
            </w:r>
            <w:r>
              <w:rPr>
                <w:color w:val="auto"/>
                <w:szCs w:val="21"/>
                <w:highlight w:val="none"/>
              </w:rPr>
              <w:t>度</w:t>
            </w:r>
            <w:r>
              <w:rPr>
                <w:color w:val="auto"/>
                <w:szCs w:val="21"/>
                <w:highlight w:val="none"/>
                <w:u w:val="single"/>
              </w:rPr>
              <w:t xml:space="preserve"> </w:t>
            </w:r>
            <w:r>
              <w:rPr>
                <w:rFonts w:hint="eastAsia"/>
                <w:color w:val="auto"/>
                <w:szCs w:val="21"/>
                <w:highlight w:val="none"/>
                <w:u w:val="single"/>
                <w:lang w:val="en-US" w:eastAsia="zh-CN"/>
              </w:rPr>
              <w:t>36</w:t>
            </w:r>
            <w:r>
              <w:rPr>
                <w:color w:val="auto"/>
                <w:szCs w:val="21"/>
                <w:highlight w:val="none"/>
                <w:u w:val="single"/>
              </w:rPr>
              <w:t xml:space="preserve"> </w:t>
            </w:r>
            <w:r>
              <w:rPr>
                <w:color w:val="auto"/>
                <w:szCs w:val="21"/>
                <w:highlight w:val="none"/>
              </w:rPr>
              <w:t>分</w:t>
            </w:r>
            <w:r>
              <w:rPr>
                <w:color w:val="auto"/>
                <w:szCs w:val="21"/>
                <w:highlight w:val="none"/>
                <w:u w:val="single"/>
              </w:rPr>
              <w:t xml:space="preserve"> </w:t>
            </w:r>
            <w:r>
              <w:rPr>
                <w:rFonts w:hint="eastAsia"/>
                <w:color w:val="auto"/>
                <w:szCs w:val="21"/>
                <w:highlight w:val="none"/>
                <w:u w:val="single"/>
              </w:rPr>
              <w:t>13.043</w:t>
            </w:r>
            <w:r>
              <w:rPr>
                <w:color w:val="auto"/>
                <w:szCs w:val="21"/>
                <w:highlight w:val="none"/>
                <w:u w:val="single"/>
              </w:rPr>
              <w:t xml:space="preserve"> </w:t>
            </w:r>
            <w:r>
              <w:rPr>
                <w:color w:val="auto"/>
                <w:szCs w:val="21"/>
                <w:highlight w:val="none"/>
              </w:rPr>
              <w:t>秒，</w:t>
            </w:r>
            <w:r>
              <w:rPr>
                <w:rFonts w:hint="eastAsia"/>
                <w:color w:val="auto"/>
                <w:szCs w:val="21"/>
                <w:highlight w:val="none"/>
                <w:u w:val="single"/>
              </w:rPr>
              <w:t>北纬</w:t>
            </w:r>
            <w:r>
              <w:rPr>
                <w:color w:val="auto"/>
                <w:szCs w:val="21"/>
                <w:highlight w:val="none"/>
                <w:u w:val="single"/>
              </w:rPr>
              <w:t xml:space="preserve"> </w:t>
            </w:r>
            <w:r>
              <w:rPr>
                <w:rFonts w:hint="eastAsia"/>
                <w:color w:val="auto"/>
                <w:szCs w:val="21"/>
                <w:highlight w:val="none"/>
                <w:u w:val="single"/>
              </w:rPr>
              <w:t>3</w:t>
            </w:r>
            <w:r>
              <w:rPr>
                <w:rFonts w:hint="eastAsia"/>
                <w:color w:val="auto"/>
                <w:szCs w:val="21"/>
                <w:highlight w:val="none"/>
                <w:u w:val="single"/>
                <w:lang w:val="en-US" w:eastAsia="zh-CN"/>
              </w:rPr>
              <w:t>1</w:t>
            </w:r>
            <w:r>
              <w:rPr>
                <w:color w:val="auto"/>
                <w:szCs w:val="21"/>
                <w:highlight w:val="none"/>
              </w:rPr>
              <w:t>度</w:t>
            </w:r>
            <w:r>
              <w:rPr>
                <w:color w:val="auto"/>
                <w:szCs w:val="21"/>
                <w:highlight w:val="none"/>
                <w:u w:val="single"/>
              </w:rPr>
              <w:t xml:space="preserve"> </w:t>
            </w:r>
            <w:r>
              <w:rPr>
                <w:rFonts w:hint="eastAsia"/>
                <w:color w:val="auto"/>
                <w:szCs w:val="21"/>
                <w:highlight w:val="none"/>
                <w:u w:val="single"/>
                <w:lang w:val="en-US" w:eastAsia="zh-CN"/>
              </w:rPr>
              <w:t>3</w:t>
            </w:r>
            <w:r>
              <w:rPr>
                <w:rFonts w:hint="eastAsia"/>
                <w:color w:val="auto"/>
                <w:szCs w:val="21"/>
                <w:highlight w:val="none"/>
                <w:u w:val="single"/>
              </w:rPr>
              <w:t>5</w:t>
            </w:r>
            <w:r>
              <w:rPr>
                <w:color w:val="auto"/>
                <w:szCs w:val="21"/>
                <w:highlight w:val="none"/>
                <w:u w:val="single"/>
              </w:rPr>
              <w:t xml:space="preserve"> </w:t>
            </w:r>
            <w:r>
              <w:rPr>
                <w:color w:val="auto"/>
                <w:szCs w:val="21"/>
                <w:highlight w:val="none"/>
              </w:rPr>
              <w:t>分</w:t>
            </w:r>
            <w:r>
              <w:rPr>
                <w:color w:val="auto"/>
                <w:szCs w:val="21"/>
                <w:highlight w:val="none"/>
                <w:u w:val="single"/>
              </w:rPr>
              <w:t xml:space="preserve"> </w:t>
            </w:r>
            <w:r>
              <w:rPr>
                <w:rFonts w:hint="eastAsia"/>
                <w:color w:val="auto"/>
                <w:szCs w:val="21"/>
                <w:highlight w:val="none"/>
                <w:u w:val="single"/>
              </w:rPr>
              <w:t>32.33</w:t>
            </w:r>
            <w:r>
              <w:rPr>
                <w:rFonts w:hint="eastAsia"/>
                <w:color w:val="auto"/>
                <w:szCs w:val="21"/>
                <w:highlight w:val="none"/>
                <w:u w:val="single"/>
                <w:lang w:val="en-US" w:eastAsia="zh-CN"/>
              </w:rPr>
              <w:t>0</w:t>
            </w:r>
            <w:r>
              <w:rPr>
                <w:color w:val="auto"/>
                <w:szCs w:val="21"/>
                <w:highlight w:val="none"/>
                <w:u w:val="single"/>
              </w:rPr>
              <w:t xml:space="preserve"> </w:t>
            </w:r>
            <w:r>
              <w:rPr>
                <w:color w:val="auto"/>
                <w:szCs w:val="21"/>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760" w:type="dxa"/>
            <w:tcMar>
              <w:top w:w="16" w:type="dxa"/>
              <w:left w:w="16" w:type="dxa"/>
              <w:right w:w="16" w:type="dxa"/>
            </w:tcMar>
            <w:vAlign w:val="center"/>
          </w:tcPr>
          <w:p>
            <w:pPr>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建设项目</w:t>
            </w:r>
          </w:p>
          <w:p>
            <w:pPr>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行业类别</w:t>
            </w:r>
          </w:p>
        </w:tc>
        <w:tc>
          <w:tcPr>
            <w:tcW w:w="2386" w:type="dxa"/>
            <w:vAlign w:val="center"/>
          </w:tcPr>
          <w:p>
            <w:pPr>
              <w:adjustRightInd w:val="0"/>
              <w:snapToGrid w:val="0"/>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五十一、水利</w:t>
            </w:r>
            <w:r>
              <w:rPr>
                <w:rFonts w:hint="default" w:ascii="Times New Roman" w:hAnsi="Times New Roman" w:eastAsia="宋体" w:cs="Times New Roman"/>
                <w:color w:val="auto"/>
                <w:sz w:val="21"/>
                <w:szCs w:val="21"/>
                <w:highlight w:val="none"/>
                <w:lang w:val="en-US" w:eastAsia="zh-CN"/>
              </w:rPr>
              <w:t xml:space="preserve"> </w:t>
            </w:r>
          </w:p>
          <w:p>
            <w:pPr>
              <w:adjustRightInd w:val="0"/>
              <w:snapToGrid w:val="0"/>
              <w:spacing w:line="36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12</w:t>
            </w:r>
            <w:r>
              <w:rPr>
                <w:rFonts w:hint="default" w:ascii="Times New Roman" w:hAnsi="Times New Roman" w:cs="Times New Roman"/>
                <w:color w:val="auto"/>
                <w:sz w:val="21"/>
                <w:szCs w:val="21"/>
                <w:highlight w:val="none"/>
                <w:lang w:val="en-US" w:eastAsia="zh-CN"/>
              </w:rPr>
              <w:t>4水库</w:t>
            </w:r>
          </w:p>
        </w:tc>
        <w:tc>
          <w:tcPr>
            <w:tcW w:w="1876" w:type="dxa"/>
            <w:vAlign w:val="center"/>
          </w:tcPr>
          <w:p>
            <w:pPr>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用地面积（m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）/长度（km）</w:t>
            </w:r>
          </w:p>
        </w:tc>
        <w:tc>
          <w:tcPr>
            <w:tcW w:w="3017" w:type="dxa"/>
            <w:vAlign w:val="center"/>
          </w:tcPr>
          <w:p>
            <w:pPr>
              <w:adjustRightInd w:val="0"/>
              <w:snapToGrid w:val="0"/>
              <w:spacing w:line="36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kern w:val="0"/>
                <w:sz w:val="21"/>
                <w:szCs w:val="21"/>
                <w:highlight w:val="none"/>
                <w:lang w:val="en-US" w:eastAsia="zh-CN" w:bidi="ar"/>
              </w:rPr>
              <w:t>360493.3m</w:t>
            </w:r>
            <w:r>
              <w:rPr>
                <w:rFonts w:hint="eastAsia" w:cs="Times New Roman"/>
                <w:color w:val="auto"/>
                <w:kern w:val="0"/>
                <w:sz w:val="21"/>
                <w:szCs w:val="21"/>
                <w:highlight w:val="none"/>
                <w:vertAlign w:val="superscript"/>
                <w:lang w:val="en-US" w:eastAsia="zh-CN" w:bidi="ar"/>
              </w:rPr>
              <w:t>2</w:t>
            </w:r>
            <w:r>
              <w:rPr>
                <w:rFonts w:hint="eastAsia" w:cs="Times New Roman"/>
                <w:color w:val="auto"/>
                <w:kern w:val="0"/>
                <w:sz w:val="21"/>
                <w:szCs w:val="21"/>
                <w:highlight w:val="none"/>
                <w:vertAlign w:val="baseline"/>
                <w:lang w:val="en-US" w:eastAsia="zh-CN" w:bidi="ar"/>
              </w:rPr>
              <w:t>，其中永久占地231553.3</w:t>
            </w:r>
            <w:r>
              <w:rPr>
                <w:rFonts w:hint="eastAsia" w:cs="Times New Roman"/>
                <w:color w:val="auto"/>
                <w:kern w:val="0"/>
                <w:sz w:val="21"/>
                <w:szCs w:val="21"/>
                <w:highlight w:val="none"/>
                <w:lang w:val="en-US" w:eastAsia="zh-CN" w:bidi="ar"/>
              </w:rPr>
              <w:t>m</w:t>
            </w:r>
            <w:r>
              <w:rPr>
                <w:rFonts w:hint="eastAsia" w:cs="Times New Roman"/>
                <w:color w:val="auto"/>
                <w:kern w:val="0"/>
                <w:sz w:val="21"/>
                <w:szCs w:val="21"/>
                <w:highlight w:val="none"/>
                <w:vertAlign w:val="superscript"/>
                <w:lang w:val="en-US" w:eastAsia="zh-CN" w:bidi="ar"/>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760" w:type="dxa"/>
            <w:tcMar>
              <w:top w:w="16" w:type="dxa"/>
              <w:left w:w="16" w:type="dxa"/>
              <w:right w:w="16" w:type="dxa"/>
            </w:tcMar>
            <w:vAlign w:val="center"/>
          </w:tcPr>
          <w:p>
            <w:pPr>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建设性质</w:t>
            </w:r>
          </w:p>
        </w:tc>
        <w:tc>
          <w:tcPr>
            <w:tcW w:w="2386" w:type="dxa"/>
            <w:vAlign w:val="center"/>
          </w:tcPr>
          <w:p>
            <w:pPr>
              <w:adjustRightInd w:val="0"/>
              <w:snapToGrid w:val="0"/>
              <w:spacing w:line="360" w:lineRule="auto"/>
              <w:jc w:val="left"/>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新建（迁建）</w:t>
            </w:r>
          </w:p>
          <w:p>
            <w:pPr>
              <w:adjustRightInd w:val="0"/>
              <w:snapToGrid w:val="0"/>
              <w:spacing w:line="36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□改建</w:t>
            </w:r>
          </w:p>
          <w:p>
            <w:pPr>
              <w:adjustRightInd w:val="0"/>
              <w:snapToGrid w:val="0"/>
              <w:spacing w:line="36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□扩建</w:t>
            </w:r>
          </w:p>
          <w:p>
            <w:pPr>
              <w:adjustRightInd w:val="0"/>
              <w:snapToGrid w:val="0"/>
              <w:spacing w:line="36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□技术改造</w:t>
            </w:r>
          </w:p>
        </w:tc>
        <w:tc>
          <w:tcPr>
            <w:tcW w:w="1876" w:type="dxa"/>
            <w:vAlign w:val="center"/>
          </w:tcPr>
          <w:p>
            <w:pPr>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建设项目</w:t>
            </w:r>
          </w:p>
          <w:p>
            <w:pPr>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申报情形</w:t>
            </w:r>
          </w:p>
        </w:tc>
        <w:tc>
          <w:tcPr>
            <w:tcW w:w="3017" w:type="dxa"/>
            <w:vAlign w:val="center"/>
          </w:tcPr>
          <w:p>
            <w:pPr>
              <w:adjustRightInd w:val="0"/>
              <w:snapToGrid w:val="0"/>
              <w:spacing w:line="36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√首次申报项目</w:t>
            </w:r>
          </w:p>
          <w:p>
            <w:pPr>
              <w:adjustRightInd w:val="0"/>
              <w:snapToGrid w:val="0"/>
              <w:spacing w:line="36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□不予批准后再次申报项目</w:t>
            </w:r>
          </w:p>
          <w:p>
            <w:pPr>
              <w:adjustRightInd w:val="0"/>
              <w:snapToGrid w:val="0"/>
              <w:spacing w:line="36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□超五年重新审核项目</w:t>
            </w:r>
          </w:p>
          <w:p>
            <w:pPr>
              <w:adjustRightInd w:val="0"/>
              <w:snapToGrid w:val="0"/>
              <w:spacing w:line="36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760" w:type="dxa"/>
            <w:tcMar>
              <w:top w:w="16" w:type="dxa"/>
              <w:left w:w="16" w:type="dxa"/>
              <w:right w:w="16" w:type="dxa"/>
            </w:tcMar>
            <w:vAlign w:val="center"/>
          </w:tcPr>
          <w:p>
            <w:pPr>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项目审批（核准/</w:t>
            </w:r>
          </w:p>
          <w:p>
            <w:pPr>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备案）部门（选填）</w:t>
            </w:r>
          </w:p>
        </w:tc>
        <w:tc>
          <w:tcPr>
            <w:tcW w:w="2386" w:type="dxa"/>
            <w:vAlign w:val="center"/>
          </w:tcPr>
          <w:p>
            <w:pPr>
              <w:adjustRightInd w:val="0"/>
              <w:snapToGrid w:val="0"/>
              <w:spacing w:line="360" w:lineRule="auto"/>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宣汉</w:t>
            </w:r>
            <w:r>
              <w:rPr>
                <w:rFonts w:hint="default" w:ascii="Times New Roman" w:hAnsi="Times New Roman" w:eastAsia="宋体" w:cs="Times New Roman"/>
                <w:color w:val="auto"/>
                <w:sz w:val="21"/>
                <w:szCs w:val="21"/>
                <w:highlight w:val="none"/>
                <w:lang w:eastAsia="zh-CN"/>
              </w:rPr>
              <w:t>县</w:t>
            </w:r>
            <w:r>
              <w:rPr>
                <w:rFonts w:hint="default" w:ascii="Times New Roman" w:hAnsi="Times New Roman" w:eastAsia="宋体" w:cs="Times New Roman"/>
                <w:color w:val="auto"/>
                <w:sz w:val="21"/>
                <w:szCs w:val="21"/>
                <w:highlight w:val="none"/>
              </w:rPr>
              <w:t>发展和改革</w:t>
            </w:r>
            <w:r>
              <w:rPr>
                <w:rFonts w:hint="eastAsia" w:cs="Times New Roman"/>
                <w:color w:val="auto"/>
                <w:sz w:val="21"/>
                <w:szCs w:val="21"/>
                <w:highlight w:val="none"/>
                <w:lang w:val="en-US" w:eastAsia="zh-CN"/>
              </w:rPr>
              <w:t>局</w:t>
            </w:r>
          </w:p>
        </w:tc>
        <w:tc>
          <w:tcPr>
            <w:tcW w:w="1876" w:type="dxa"/>
            <w:vAlign w:val="center"/>
          </w:tcPr>
          <w:p>
            <w:pPr>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项目审批（核准/</w:t>
            </w:r>
          </w:p>
          <w:p>
            <w:pPr>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备案）文号（选填）</w:t>
            </w:r>
          </w:p>
        </w:tc>
        <w:tc>
          <w:tcPr>
            <w:tcW w:w="3017" w:type="dxa"/>
            <w:vAlign w:val="center"/>
          </w:tcPr>
          <w:p>
            <w:pPr>
              <w:adjustRightInd w:val="0"/>
              <w:snapToGrid w:val="0"/>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宣发改审</w:t>
            </w:r>
            <w:r>
              <w:rPr>
                <w:rFonts w:hint="eastAsia" w:ascii="仿宋" w:hAnsi="仿宋" w:eastAsia="仿宋" w:cs="仿宋"/>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2022</w:t>
            </w:r>
            <w:r>
              <w:rPr>
                <w:rFonts w:hint="eastAsia" w:ascii="仿宋" w:hAnsi="仿宋" w:eastAsia="仿宋" w:cs="仿宋"/>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239号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760" w:type="dxa"/>
            <w:tcMar>
              <w:top w:w="16" w:type="dxa"/>
              <w:left w:w="16" w:type="dxa"/>
              <w:right w:w="16" w:type="dxa"/>
            </w:tcMar>
            <w:vAlign w:val="center"/>
          </w:tcPr>
          <w:p>
            <w:pPr>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总投资（万元）</w:t>
            </w:r>
          </w:p>
        </w:tc>
        <w:tc>
          <w:tcPr>
            <w:tcW w:w="2386" w:type="dxa"/>
            <w:vAlign w:val="center"/>
          </w:tcPr>
          <w:p>
            <w:pPr>
              <w:adjustRightInd w:val="0"/>
              <w:snapToGrid w:val="0"/>
              <w:spacing w:line="36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14481.56</w:t>
            </w:r>
          </w:p>
        </w:tc>
        <w:tc>
          <w:tcPr>
            <w:tcW w:w="1876" w:type="dxa"/>
            <w:tcMar>
              <w:top w:w="16" w:type="dxa"/>
              <w:left w:w="16" w:type="dxa"/>
              <w:right w:w="16" w:type="dxa"/>
            </w:tcMar>
            <w:vAlign w:val="center"/>
          </w:tcPr>
          <w:p>
            <w:pPr>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环保投资（万元）</w:t>
            </w:r>
          </w:p>
        </w:tc>
        <w:tc>
          <w:tcPr>
            <w:tcW w:w="3017" w:type="dxa"/>
            <w:vAlign w:val="center"/>
          </w:tcPr>
          <w:p>
            <w:pPr>
              <w:adjustRightInd w:val="0"/>
              <w:snapToGrid w:val="0"/>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218.75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760" w:type="dxa"/>
            <w:tcMar>
              <w:top w:w="16" w:type="dxa"/>
              <w:left w:w="16" w:type="dxa"/>
              <w:right w:w="16" w:type="dxa"/>
            </w:tcMar>
            <w:vAlign w:val="center"/>
          </w:tcPr>
          <w:p>
            <w:pPr>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环保投资占比（%）</w:t>
            </w:r>
          </w:p>
        </w:tc>
        <w:tc>
          <w:tcPr>
            <w:tcW w:w="2386" w:type="dxa"/>
            <w:vAlign w:val="center"/>
          </w:tcPr>
          <w:p>
            <w:pPr>
              <w:adjustRightInd w:val="0"/>
              <w:snapToGrid w:val="0"/>
              <w:spacing w:line="36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1.51</w:t>
            </w:r>
          </w:p>
        </w:tc>
        <w:tc>
          <w:tcPr>
            <w:tcW w:w="1876" w:type="dxa"/>
            <w:tcMar>
              <w:top w:w="16" w:type="dxa"/>
              <w:left w:w="16" w:type="dxa"/>
              <w:right w:w="16" w:type="dxa"/>
            </w:tcMar>
            <w:vAlign w:val="center"/>
          </w:tcPr>
          <w:p>
            <w:pPr>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施工工期</w:t>
            </w:r>
          </w:p>
        </w:tc>
        <w:tc>
          <w:tcPr>
            <w:tcW w:w="3017" w:type="dxa"/>
            <w:vAlign w:val="center"/>
          </w:tcPr>
          <w:p>
            <w:pPr>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24</w:t>
            </w:r>
            <w:r>
              <w:rPr>
                <w:rFonts w:hint="default" w:ascii="Times New Roman" w:hAnsi="Times New Roman" w:eastAsia="宋体" w:cs="Times New Roman"/>
                <w:color w:val="auto"/>
                <w:sz w:val="21"/>
                <w:szCs w:val="21"/>
                <w:highlight w:val="none"/>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760" w:type="dxa"/>
            <w:tcMar>
              <w:top w:w="16" w:type="dxa"/>
              <w:left w:w="16" w:type="dxa"/>
              <w:right w:w="16" w:type="dxa"/>
            </w:tcMar>
            <w:vAlign w:val="center"/>
          </w:tcPr>
          <w:p>
            <w:pPr>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是否开工建设</w:t>
            </w:r>
          </w:p>
        </w:tc>
        <w:tc>
          <w:tcPr>
            <w:tcW w:w="7279" w:type="dxa"/>
            <w:gridSpan w:val="3"/>
            <w:vAlign w:val="center"/>
          </w:tcPr>
          <w:p>
            <w:pPr>
              <w:adjustRightInd w:val="0"/>
              <w:snapToGrid w:val="0"/>
              <w:spacing w:line="360" w:lineRule="auto"/>
              <w:ind w:firstLine="105"/>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√否</w:t>
            </w:r>
          </w:p>
          <w:p>
            <w:pPr>
              <w:adjustRightInd w:val="0"/>
              <w:snapToGrid w:val="0"/>
              <w:spacing w:line="360" w:lineRule="auto"/>
              <w:ind w:firstLine="92"/>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r>
              <w:rPr>
                <w:rFonts w:hint="default" w:ascii="Times New Roman" w:hAnsi="Times New Roman" w:eastAsia="宋体" w:cs="Times New Roman"/>
                <w:color w:val="auto"/>
                <w:sz w:val="21"/>
                <w:szCs w:val="21"/>
                <w:highlight w:val="none"/>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760" w:type="dxa"/>
            <w:tcMar>
              <w:top w:w="16" w:type="dxa"/>
              <w:left w:w="16" w:type="dxa"/>
              <w:right w:w="16" w:type="dxa"/>
            </w:tcMar>
            <w:vAlign w:val="center"/>
          </w:tcPr>
          <w:p>
            <w:pPr>
              <w:adjustRightInd w:val="0"/>
              <w:snapToGrid w:val="0"/>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专项评价设置情况</w:t>
            </w:r>
          </w:p>
        </w:tc>
        <w:tc>
          <w:tcPr>
            <w:tcW w:w="7279" w:type="dxa"/>
            <w:gridSpan w:val="3"/>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对照《建设项目环境影响报告表编制技术指南（生态影响类）（试行）》中“表1 专项评价设置原则表”，本项目地表水、地下水、生态、大气、噪声、环境风险是否开展专项评价情况见下表</w:t>
            </w:r>
            <w:r>
              <w:rPr>
                <w:rFonts w:hint="default" w:ascii="Times New Roman" w:hAnsi="Times New Roman" w:cs="Times New Roman"/>
                <w:color w:val="auto"/>
                <w:kern w:val="0"/>
                <w:sz w:val="21"/>
                <w:szCs w:val="21"/>
                <w:highlight w:val="none"/>
                <w:lang w:val="en-US" w:eastAsia="zh-CN"/>
              </w:rPr>
              <w:t>1.1-1</w:t>
            </w:r>
            <w:r>
              <w:rPr>
                <w:rFonts w:hint="eastAsia" w:ascii="宋体" w:hAnsi="宋体" w:cs="宋体"/>
                <w:color w:val="auto"/>
                <w:kern w:val="0"/>
                <w:sz w:val="21"/>
                <w:szCs w:val="21"/>
                <w:highlight w:val="none"/>
              </w:rPr>
              <w:t>。</w:t>
            </w:r>
          </w:p>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表</w:t>
            </w:r>
            <w:r>
              <w:rPr>
                <w:rFonts w:hint="default" w:ascii="Times New Roman" w:hAnsi="Times New Roman" w:eastAsia="宋体" w:cs="Times New Roman"/>
                <w:b/>
                <w:bCs/>
                <w:color w:val="auto"/>
                <w:kern w:val="0"/>
                <w:sz w:val="21"/>
                <w:szCs w:val="21"/>
                <w:highlight w:val="none"/>
                <w:lang w:val="en-US" w:eastAsia="zh-CN"/>
              </w:rPr>
              <w:t>1</w:t>
            </w:r>
            <w:r>
              <w:rPr>
                <w:rFonts w:hint="eastAsia" w:ascii="Times New Roman" w:hAnsi="Times New Roman" w:eastAsia="宋体" w:cs="Times New Roman"/>
                <w:b/>
                <w:bCs/>
                <w:color w:val="auto"/>
                <w:kern w:val="0"/>
                <w:sz w:val="21"/>
                <w:szCs w:val="21"/>
                <w:highlight w:val="none"/>
                <w:lang w:val="en-US" w:eastAsia="zh-CN"/>
              </w:rPr>
              <w:t>.1</w:t>
            </w:r>
            <w:r>
              <w:rPr>
                <w:rFonts w:hint="default" w:ascii="Times New Roman" w:hAnsi="Times New Roman" w:eastAsia="宋体" w:cs="Times New Roman"/>
                <w:b/>
                <w:bCs/>
                <w:color w:val="auto"/>
                <w:kern w:val="0"/>
                <w:sz w:val="21"/>
                <w:szCs w:val="21"/>
                <w:highlight w:val="none"/>
                <w:lang w:eastAsia="zh-CN"/>
              </w:rPr>
              <w:t>-1 专项评价设置原则表</w:t>
            </w:r>
          </w:p>
          <w:tbl>
            <w:tblPr>
              <w:tblStyle w:val="30"/>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8"/>
              <w:gridCol w:w="3778"/>
              <w:gridCol w:w="2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highlight w:val="none"/>
                      <w:vertAlign w:val="baseline"/>
                      <w:lang w:eastAsia="zh-CN"/>
                    </w:rPr>
                  </w:pPr>
                  <w:r>
                    <w:rPr>
                      <w:rFonts w:hint="default" w:ascii="Times New Roman" w:hAnsi="Times New Roman" w:eastAsia="宋体" w:cs="Times New Roman"/>
                      <w:color w:val="auto"/>
                      <w:kern w:val="0"/>
                      <w:sz w:val="18"/>
                      <w:szCs w:val="18"/>
                      <w:highlight w:val="none"/>
                      <w:vertAlign w:val="baseline"/>
                      <w:lang w:eastAsia="zh-CN"/>
                    </w:rPr>
                    <w:t>专项评价的类别</w:t>
                  </w:r>
                </w:p>
              </w:tc>
              <w:tc>
                <w:tcPr>
                  <w:tcW w:w="3638"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highlight w:val="none"/>
                      <w:vertAlign w:val="baseline"/>
                      <w:lang w:eastAsia="zh-CN"/>
                    </w:rPr>
                  </w:pPr>
                  <w:r>
                    <w:rPr>
                      <w:rFonts w:hint="default" w:ascii="Times New Roman" w:hAnsi="Times New Roman" w:eastAsia="宋体" w:cs="Times New Roman"/>
                      <w:color w:val="auto"/>
                      <w:kern w:val="0"/>
                      <w:sz w:val="18"/>
                      <w:szCs w:val="18"/>
                      <w:highlight w:val="none"/>
                      <w:vertAlign w:val="baseline"/>
                      <w:lang w:eastAsia="zh-CN"/>
                    </w:rPr>
                    <w:t>设置原则</w:t>
                  </w:r>
                </w:p>
              </w:tc>
              <w:tc>
                <w:tcPr>
                  <w:tcW w:w="208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highlight w:val="none"/>
                      <w:vertAlign w:val="baseline"/>
                      <w:lang w:eastAsia="zh-CN"/>
                    </w:rPr>
                  </w:pPr>
                  <w:r>
                    <w:rPr>
                      <w:rFonts w:hint="default" w:ascii="Times New Roman" w:hAnsi="Times New Roman" w:eastAsia="宋体" w:cs="Times New Roman"/>
                      <w:color w:val="auto"/>
                      <w:kern w:val="0"/>
                      <w:sz w:val="18"/>
                      <w:szCs w:val="18"/>
                      <w:highlight w:val="none"/>
                      <w:vertAlign w:val="baseline"/>
                      <w:lang w:eastAsia="zh-CN"/>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highlight w:val="none"/>
                      <w:vertAlign w:val="baseline"/>
                      <w:lang w:eastAsia="zh-CN"/>
                    </w:rPr>
                  </w:pPr>
                  <w:r>
                    <w:rPr>
                      <w:rFonts w:hint="default" w:ascii="Times New Roman" w:hAnsi="Times New Roman" w:eastAsia="宋体" w:cs="Times New Roman"/>
                      <w:color w:val="auto"/>
                      <w:kern w:val="0"/>
                      <w:sz w:val="18"/>
                      <w:szCs w:val="18"/>
                      <w:highlight w:val="none"/>
                      <w:vertAlign w:val="baseline"/>
                      <w:lang w:eastAsia="zh-CN"/>
                    </w:rPr>
                    <w:t>地表水</w:t>
                  </w:r>
                </w:p>
              </w:tc>
              <w:tc>
                <w:tcPr>
                  <w:tcW w:w="3638"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 w:val="18"/>
                      <w:szCs w:val="18"/>
                      <w:highlight w:val="none"/>
                      <w:vertAlign w:val="baseline"/>
                      <w:lang w:eastAsia="zh-CN"/>
                    </w:rPr>
                  </w:pPr>
                  <w:r>
                    <w:rPr>
                      <w:rFonts w:hint="default" w:ascii="Times New Roman" w:hAnsi="Times New Roman" w:eastAsia="宋体" w:cs="Times New Roman"/>
                      <w:color w:val="auto"/>
                      <w:kern w:val="0"/>
                      <w:sz w:val="18"/>
                      <w:szCs w:val="18"/>
                      <w:highlight w:val="none"/>
                      <w:vertAlign w:val="baseline"/>
                      <w:lang w:eastAsia="zh-CN"/>
                    </w:rPr>
                    <w:t>水力发电：引水式发电、涉及调峰发电的项目；</w:t>
                  </w:r>
                </w:p>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 w:val="18"/>
                      <w:szCs w:val="18"/>
                      <w:highlight w:val="none"/>
                      <w:vertAlign w:val="baseline"/>
                      <w:lang w:eastAsia="zh-CN"/>
                    </w:rPr>
                  </w:pPr>
                  <w:r>
                    <w:rPr>
                      <w:rFonts w:hint="default" w:ascii="Times New Roman" w:hAnsi="Times New Roman" w:eastAsia="宋体" w:cs="Times New Roman"/>
                      <w:color w:val="auto"/>
                      <w:kern w:val="0"/>
                      <w:sz w:val="18"/>
                      <w:szCs w:val="18"/>
                      <w:highlight w:val="none"/>
                      <w:vertAlign w:val="baseline"/>
                      <w:lang w:eastAsia="zh-CN"/>
                    </w:rPr>
                    <w:t>人工湖、人工湿地：全部；</w:t>
                  </w:r>
                </w:p>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 w:val="18"/>
                      <w:szCs w:val="18"/>
                      <w:highlight w:val="none"/>
                      <w:vertAlign w:val="baseline"/>
                      <w:lang w:eastAsia="zh-CN"/>
                    </w:rPr>
                  </w:pPr>
                  <w:r>
                    <w:rPr>
                      <w:rFonts w:hint="default" w:ascii="Times New Roman" w:hAnsi="Times New Roman" w:eastAsia="宋体" w:cs="Times New Roman"/>
                      <w:color w:val="auto"/>
                      <w:kern w:val="0"/>
                      <w:sz w:val="18"/>
                      <w:szCs w:val="18"/>
                      <w:highlight w:val="none"/>
                      <w:vertAlign w:val="baseline"/>
                      <w:lang w:eastAsia="zh-CN"/>
                    </w:rPr>
                    <w:t>水库：全部；</w:t>
                  </w:r>
                </w:p>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 w:val="18"/>
                      <w:szCs w:val="18"/>
                      <w:highlight w:val="none"/>
                      <w:vertAlign w:val="baseline"/>
                      <w:lang w:eastAsia="zh-CN"/>
                    </w:rPr>
                  </w:pPr>
                  <w:r>
                    <w:rPr>
                      <w:rFonts w:hint="default" w:ascii="Times New Roman" w:hAnsi="Times New Roman" w:eastAsia="宋体" w:cs="Times New Roman"/>
                      <w:color w:val="auto"/>
                      <w:kern w:val="0"/>
                      <w:sz w:val="18"/>
                      <w:szCs w:val="18"/>
                      <w:highlight w:val="none"/>
                      <w:vertAlign w:val="baseline"/>
                      <w:lang w:eastAsia="zh-CN"/>
                    </w:rPr>
                    <w:t>引水工程：全部（配套的管线工程等除外）；</w:t>
                  </w:r>
                </w:p>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 w:val="18"/>
                      <w:szCs w:val="18"/>
                      <w:highlight w:val="none"/>
                      <w:vertAlign w:val="baseline"/>
                      <w:lang w:eastAsia="zh-CN"/>
                    </w:rPr>
                  </w:pPr>
                  <w:r>
                    <w:rPr>
                      <w:rFonts w:hint="default" w:ascii="Times New Roman" w:hAnsi="Times New Roman" w:eastAsia="宋体" w:cs="Times New Roman"/>
                      <w:color w:val="auto"/>
                      <w:kern w:val="0"/>
                      <w:sz w:val="18"/>
                      <w:szCs w:val="18"/>
                      <w:highlight w:val="none"/>
                      <w:vertAlign w:val="baseline"/>
                      <w:lang w:eastAsia="zh-CN"/>
                    </w:rPr>
                    <w:t>防洪除涝工程：包含水库的项目；</w:t>
                  </w:r>
                </w:p>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 w:val="18"/>
                      <w:szCs w:val="18"/>
                      <w:highlight w:val="none"/>
                      <w:vertAlign w:val="baseline"/>
                      <w:lang w:eastAsia="zh-CN"/>
                    </w:rPr>
                  </w:pPr>
                  <w:r>
                    <w:rPr>
                      <w:rFonts w:hint="default" w:ascii="Times New Roman" w:hAnsi="Times New Roman" w:eastAsia="宋体" w:cs="Times New Roman"/>
                      <w:color w:val="auto"/>
                      <w:kern w:val="0"/>
                      <w:sz w:val="18"/>
                      <w:szCs w:val="18"/>
                      <w:highlight w:val="none"/>
                      <w:vertAlign w:val="baseline"/>
                      <w:lang w:eastAsia="zh-CN"/>
                    </w:rPr>
                    <w:t>河湖整治：涉及清淤且底泥存在重金属污染的项目</w:t>
                  </w:r>
                  <w:r>
                    <w:rPr>
                      <w:rFonts w:hint="eastAsia" w:ascii="Times New Roman" w:hAnsi="Times New Roman" w:eastAsia="宋体" w:cs="Times New Roman"/>
                      <w:color w:val="auto"/>
                      <w:kern w:val="0"/>
                      <w:sz w:val="18"/>
                      <w:szCs w:val="18"/>
                      <w:highlight w:val="none"/>
                      <w:vertAlign w:val="baseline"/>
                      <w:lang w:eastAsia="zh-CN"/>
                    </w:rPr>
                    <w:t>。</w:t>
                  </w:r>
                </w:p>
              </w:tc>
              <w:tc>
                <w:tcPr>
                  <w:tcW w:w="208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 w:val="18"/>
                      <w:szCs w:val="18"/>
                      <w:highlight w:val="none"/>
                      <w:vertAlign w:val="baseline"/>
                      <w:lang w:eastAsia="zh-CN"/>
                    </w:rPr>
                  </w:pPr>
                  <w:r>
                    <w:rPr>
                      <w:rFonts w:hint="default" w:ascii="Times New Roman" w:hAnsi="Times New Roman" w:eastAsia="宋体" w:cs="Times New Roman"/>
                      <w:color w:val="auto"/>
                      <w:kern w:val="0"/>
                      <w:sz w:val="18"/>
                      <w:szCs w:val="18"/>
                      <w:highlight w:val="none"/>
                      <w:vertAlign w:val="baseline"/>
                      <w:lang w:eastAsia="zh-CN"/>
                    </w:rPr>
                    <w:t>本项目</w:t>
                  </w:r>
                  <w:r>
                    <w:rPr>
                      <w:rFonts w:hint="eastAsia" w:ascii="Times New Roman" w:hAnsi="Times New Roman" w:eastAsia="宋体" w:cs="Times New Roman"/>
                      <w:color w:val="auto"/>
                      <w:kern w:val="0"/>
                      <w:sz w:val="18"/>
                      <w:szCs w:val="18"/>
                      <w:highlight w:val="none"/>
                      <w:vertAlign w:val="baseline"/>
                      <w:lang w:eastAsia="zh-CN"/>
                    </w:rPr>
                    <w:t>属于</w:t>
                  </w:r>
                  <w:r>
                    <w:rPr>
                      <w:rFonts w:hint="eastAsia" w:ascii="Times New Roman" w:hAnsi="Times New Roman" w:eastAsia="宋体" w:cs="Times New Roman"/>
                      <w:color w:val="auto"/>
                      <w:kern w:val="0"/>
                      <w:sz w:val="18"/>
                      <w:szCs w:val="18"/>
                      <w:highlight w:val="none"/>
                      <w:vertAlign w:val="baseline"/>
                      <w:lang w:val="en-US" w:eastAsia="zh-CN"/>
                    </w:rPr>
                    <w:t>水库</w:t>
                  </w:r>
                  <w:r>
                    <w:rPr>
                      <w:rFonts w:hint="eastAsia" w:ascii="Times New Roman" w:hAnsi="Times New Roman" w:eastAsia="宋体" w:cs="Times New Roman"/>
                      <w:color w:val="auto"/>
                      <w:kern w:val="0"/>
                      <w:sz w:val="18"/>
                      <w:szCs w:val="18"/>
                      <w:highlight w:val="none"/>
                      <w:vertAlign w:val="baseline"/>
                      <w:lang w:eastAsia="zh-CN"/>
                    </w:rPr>
                    <w:t>项目，</w:t>
                  </w:r>
                  <w:r>
                    <w:rPr>
                      <w:rFonts w:hint="eastAsia" w:ascii="Times New Roman" w:hAnsi="Times New Roman" w:eastAsia="宋体" w:cs="Times New Roman"/>
                      <w:color w:val="auto"/>
                      <w:kern w:val="0"/>
                      <w:sz w:val="18"/>
                      <w:szCs w:val="18"/>
                      <w:highlight w:val="none"/>
                      <w:vertAlign w:val="baseline"/>
                      <w:lang w:val="en-US" w:eastAsia="zh-CN"/>
                    </w:rPr>
                    <w:t>需要</w:t>
                  </w:r>
                  <w:r>
                    <w:rPr>
                      <w:rFonts w:hint="default" w:ascii="Times New Roman" w:hAnsi="Times New Roman" w:eastAsia="宋体" w:cs="Times New Roman"/>
                      <w:color w:val="auto"/>
                      <w:kern w:val="0"/>
                      <w:sz w:val="18"/>
                      <w:szCs w:val="18"/>
                      <w:highlight w:val="none"/>
                      <w:vertAlign w:val="baseline"/>
                      <w:lang w:eastAsia="zh-CN"/>
                    </w:rPr>
                    <w:t>开展地表水专项评价。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highlight w:val="none"/>
                      <w:vertAlign w:val="baseline"/>
                      <w:lang w:eastAsia="zh-CN"/>
                    </w:rPr>
                  </w:pPr>
                  <w:r>
                    <w:rPr>
                      <w:rFonts w:hint="default" w:ascii="Times New Roman" w:hAnsi="Times New Roman" w:eastAsia="宋体" w:cs="Times New Roman"/>
                      <w:color w:val="auto"/>
                      <w:kern w:val="0"/>
                      <w:sz w:val="18"/>
                      <w:szCs w:val="18"/>
                      <w:highlight w:val="none"/>
                      <w:vertAlign w:val="baseline"/>
                      <w:lang w:eastAsia="zh-CN"/>
                    </w:rPr>
                    <w:t>地下水</w:t>
                  </w:r>
                </w:p>
              </w:tc>
              <w:tc>
                <w:tcPr>
                  <w:tcW w:w="3638"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 w:val="18"/>
                      <w:szCs w:val="18"/>
                      <w:highlight w:val="none"/>
                      <w:vertAlign w:val="baseline"/>
                      <w:lang w:eastAsia="zh-CN"/>
                    </w:rPr>
                  </w:pPr>
                  <w:r>
                    <w:rPr>
                      <w:rFonts w:hint="default" w:ascii="Times New Roman" w:hAnsi="Times New Roman" w:eastAsia="宋体" w:cs="Times New Roman"/>
                      <w:color w:val="auto"/>
                      <w:kern w:val="0"/>
                      <w:sz w:val="18"/>
                      <w:szCs w:val="18"/>
                      <w:highlight w:val="none"/>
                      <w:vertAlign w:val="baseline"/>
                      <w:lang w:eastAsia="zh-CN"/>
                    </w:rPr>
                    <w:t>陆地石油和天然气开采：全部；</w:t>
                  </w:r>
                </w:p>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 w:val="18"/>
                      <w:szCs w:val="18"/>
                      <w:highlight w:val="none"/>
                      <w:vertAlign w:val="baseline"/>
                      <w:lang w:eastAsia="zh-CN"/>
                    </w:rPr>
                  </w:pPr>
                  <w:r>
                    <w:rPr>
                      <w:rFonts w:hint="default" w:ascii="Times New Roman" w:hAnsi="Times New Roman" w:eastAsia="宋体" w:cs="Times New Roman"/>
                      <w:color w:val="auto"/>
                      <w:kern w:val="0"/>
                      <w:sz w:val="18"/>
                      <w:szCs w:val="18"/>
                      <w:highlight w:val="none"/>
                      <w:vertAlign w:val="baseline"/>
                      <w:lang w:eastAsia="zh-CN"/>
                    </w:rPr>
                    <w:t>地下水（含矿泉水）开采：全部；</w:t>
                  </w:r>
                </w:p>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 w:val="18"/>
                      <w:szCs w:val="18"/>
                      <w:highlight w:val="none"/>
                      <w:vertAlign w:val="baseline"/>
                      <w:lang w:eastAsia="zh-CN"/>
                    </w:rPr>
                  </w:pPr>
                  <w:r>
                    <w:rPr>
                      <w:rFonts w:hint="default" w:ascii="Times New Roman" w:hAnsi="Times New Roman" w:eastAsia="宋体" w:cs="Times New Roman"/>
                      <w:color w:val="auto"/>
                      <w:kern w:val="0"/>
                      <w:sz w:val="18"/>
                      <w:szCs w:val="18"/>
                      <w:highlight w:val="none"/>
                      <w:vertAlign w:val="baseline"/>
                      <w:lang w:eastAsia="zh-CN"/>
                    </w:rPr>
                    <w:t>水利、水电、交通等：含穿越可溶岩地层隧道的项目。</w:t>
                  </w:r>
                </w:p>
              </w:tc>
              <w:tc>
                <w:tcPr>
                  <w:tcW w:w="208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 w:val="18"/>
                      <w:szCs w:val="18"/>
                      <w:highlight w:val="none"/>
                      <w:vertAlign w:val="baseline"/>
                      <w:lang w:eastAsia="zh-CN"/>
                    </w:rPr>
                  </w:pPr>
                  <w:r>
                    <w:rPr>
                      <w:rFonts w:hint="default" w:ascii="Times New Roman" w:hAnsi="Times New Roman" w:eastAsia="宋体" w:cs="Times New Roman"/>
                      <w:color w:val="auto"/>
                      <w:kern w:val="0"/>
                      <w:sz w:val="18"/>
                      <w:szCs w:val="18"/>
                      <w:highlight w:val="none"/>
                      <w:vertAlign w:val="baseline"/>
                      <w:lang w:eastAsia="zh-CN"/>
                    </w:rPr>
                    <w:t>本项目</w:t>
                  </w:r>
                  <w:r>
                    <w:rPr>
                      <w:rFonts w:hint="eastAsia" w:ascii="Times New Roman" w:hAnsi="Times New Roman" w:eastAsia="宋体" w:cs="Times New Roman"/>
                      <w:color w:val="auto"/>
                      <w:kern w:val="0"/>
                      <w:sz w:val="18"/>
                      <w:szCs w:val="18"/>
                      <w:highlight w:val="none"/>
                      <w:vertAlign w:val="baseline"/>
                      <w:lang w:eastAsia="zh-CN"/>
                    </w:rPr>
                    <w:t>属于</w:t>
                  </w:r>
                  <w:r>
                    <w:rPr>
                      <w:rFonts w:hint="eastAsia" w:ascii="Times New Roman" w:hAnsi="Times New Roman" w:eastAsia="宋体" w:cs="Times New Roman"/>
                      <w:color w:val="auto"/>
                      <w:kern w:val="0"/>
                      <w:sz w:val="18"/>
                      <w:szCs w:val="18"/>
                      <w:highlight w:val="none"/>
                      <w:vertAlign w:val="baseline"/>
                      <w:lang w:val="en-US" w:eastAsia="zh-CN"/>
                    </w:rPr>
                    <w:t>水库</w:t>
                  </w:r>
                  <w:r>
                    <w:rPr>
                      <w:rFonts w:hint="eastAsia" w:ascii="Times New Roman" w:hAnsi="Times New Roman" w:eastAsia="宋体" w:cs="Times New Roman"/>
                      <w:color w:val="auto"/>
                      <w:kern w:val="0"/>
                      <w:sz w:val="18"/>
                      <w:szCs w:val="18"/>
                      <w:highlight w:val="none"/>
                      <w:vertAlign w:val="baseline"/>
                      <w:lang w:eastAsia="zh-CN"/>
                    </w:rPr>
                    <w:t>项目</w:t>
                  </w:r>
                  <w:r>
                    <w:rPr>
                      <w:rFonts w:hint="default" w:ascii="Times New Roman" w:hAnsi="Times New Roman" w:eastAsia="宋体" w:cs="Times New Roman"/>
                      <w:color w:val="auto"/>
                      <w:kern w:val="0"/>
                      <w:sz w:val="18"/>
                      <w:szCs w:val="18"/>
                      <w:highlight w:val="none"/>
                      <w:vertAlign w:val="baseline"/>
                      <w:lang w:eastAsia="zh-CN"/>
                    </w:rPr>
                    <w:t>，不属于左述类别项目，故无需开展地下水专项评价。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highlight w:val="none"/>
                      <w:vertAlign w:val="baseline"/>
                      <w:lang w:eastAsia="zh-CN"/>
                    </w:rPr>
                  </w:pPr>
                  <w:r>
                    <w:rPr>
                      <w:rFonts w:hint="default" w:ascii="Times New Roman" w:hAnsi="Times New Roman" w:eastAsia="宋体" w:cs="Times New Roman"/>
                      <w:color w:val="auto"/>
                      <w:kern w:val="0"/>
                      <w:sz w:val="18"/>
                      <w:szCs w:val="18"/>
                      <w:highlight w:val="none"/>
                      <w:vertAlign w:val="baseline"/>
                      <w:lang w:eastAsia="zh-CN"/>
                    </w:rPr>
                    <w:t>生态</w:t>
                  </w:r>
                </w:p>
              </w:tc>
              <w:tc>
                <w:tcPr>
                  <w:tcW w:w="3638"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 w:val="18"/>
                      <w:szCs w:val="18"/>
                      <w:highlight w:val="none"/>
                      <w:vertAlign w:val="baseline"/>
                      <w:lang w:eastAsia="zh-CN"/>
                    </w:rPr>
                  </w:pPr>
                  <w:r>
                    <w:rPr>
                      <w:rFonts w:hint="default" w:ascii="Times New Roman" w:hAnsi="Times New Roman" w:eastAsia="宋体" w:cs="Times New Roman"/>
                      <w:color w:val="auto"/>
                      <w:kern w:val="0"/>
                      <w:sz w:val="18"/>
                      <w:szCs w:val="18"/>
                      <w:highlight w:val="none"/>
                      <w:vertAlign w:val="baseline"/>
                      <w:lang w:eastAsia="zh-CN"/>
                    </w:rPr>
                    <w:t>涉及环境敏感区（不包括饮用水水源保护区，以居住、医疗卫生、文化教育、科研、行政办公为主要功能的区域，以及文物保护单位）的项目</w:t>
                  </w:r>
                </w:p>
              </w:tc>
              <w:tc>
                <w:tcPr>
                  <w:tcW w:w="208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 w:val="18"/>
                      <w:szCs w:val="18"/>
                      <w:highlight w:val="none"/>
                      <w:vertAlign w:val="baseline"/>
                      <w:lang w:eastAsia="zh-CN"/>
                    </w:rPr>
                  </w:pPr>
                  <w:r>
                    <w:rPr>
                      <w:rFonts w:hint="default" w:ascii="Times New Roman" w:hAnsi="Times New Roman" w:eastAsia="宋体" w:cs="Times New Roman"/>
                      <w:color w:val="auto"/>
                      <w:kern w:val="0"/>
                      <w:sz w:val="18"/>
                      <w:szCs w:val="18"/>
                      <w:highlight w:val="none"/>
                      <w:vertAlign w:val="baseline"/>
                      <w:lang w:eastAsia="zh-CN"/>
                    </w:rPr>
                    <w:t>本项目</w:t>
                  </w:r>
                  <w:r>
                    <w:rPr>
                      <w:rFonts w:hint="eastAsia" w:ascii="Times New Roman" w:hAnsi="Times New Roman" w:eastAsia="宋体" w:cs="Times New Roman"/>
                      <w:color w:val="auto"/>
                      <w:kern w:val="0"/>
                      <w:sz w:val="18"/>
                      <w:szCs w:val="18"/>
                      <w:highlight w:val="none"/>
                      <w:vertAlign w:val="baseline"/>
                      <w:lang w:eastAsia="zh-CN"/>
                    </w:rPr>
                    <w:t>不涉及环境敏感区（</w:t>
                  </w:r>
                  <w:r>
                    <w:rPr>
                      <w:rFonts w:hint="default" w:ascii="Times New Roman" w:hAnsi="Times New Roman" w:eastAsia="宋体" w:cs="Times New Roman"/>
                      <w:color w:val="auto"/>
                      <w:kern w:val="0"/>
                      <w:sz w:val="18"/>
                      <w:szCs w:val="18"/>
                      <w:highlight w:val="none"/>
                      <w:vertAlign w:val="baseline"/>
                      <w:lang w:eastAsia="zh-CN"/>
                    </w:rPr>
                    <w:t>不包括饮用水水源保护区，以居住、医疗卫生、文化教育、科研、行政办公为主要功能的区域，以及文物保护单位），故本项目无需开展</w:t>
                  </w:r>
                  <w:r>
                    <w:rPr>
                      <w:rFonts w:hint="eastAsia" w:ascii="Times New Roman" w:hAnsi="Times New Roman" w:eastAsia="宋体" w:cs="Times New Roman"/>
                      <w:color w:val="auto"/>
                      <w:kern w:val="0"/>
                      <w:sz w:val="18"/>
                      <w:szCs w:val="18"/>
                      <w:highlight w:val="none"/>
                      <w:vertAlign w:val="baseline"/>
                      <w:lang w:eastAsia="zh-CN"/>
                    </w:rPr>
                    <w:t>生态</w:t>
                  </w:r>
                  <w:r>
                    <w:rPr>
                      <w:rFonts w:hint="default" w:ascii="Times New Roman" w:hAnsi="Times New Roman" w:eastAsia="宋体" w:cs="Times New Roman"/>
                      <w:color w:val="auto"/>
                      <w:kern w:val="0"/>
                      <w:sz w:val="18"/>
                      <w:szCs w:val="18"/>
                      <w:highlight w:val="none"/>
                      <w:vertAlign w:val="baseline"/>
                      <w:lang w:eastAsia="zh-CN"/>
                    </w:rPr>
                    <w:t>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highlight w:val="none"/>
                      <w:vertAlign w:val="baseline"/>
                      <w:lang w:eastAsia="zh-CN"/>
                    </w:rPr>
                  </w:pPr>
                  <w:r>
                    <w:rPr>
                      <w:rFonts w:hint="default" w:ascii="Times New Roman" w:hAnsi="Times New Roman" w:eastAsia="宋体" w:cs="Times New Roman"/>
                      <w:color w:val="auto"/>
                      <w:kern w:val="0"/>
                      <w:sz w:val="18"/>
                      <w:szCs w:val="18"/>
                      <w:highlight w:val="none"/>
                      <w:vertAlign w:val="baseline"/>
                      <w:lang w:eastAsia="zh-CN"/>
                    </w:rPr>
                    <w:t>大气</w:t>
                  </w:r>
                </w:p>
              </w:tc>
              <w:tc>
                <w:tcPr>
                  <w:tcW w:w="3638"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 w:val="18"/>
                      <w:szCs w:val="18"/>
                      <w:highlight w:val="none"/>
                      <w:vertAlign w:val="baseline"/>
                      <w:lang w:eastAsia="zh-CN"/>
                    </w:rPr>
                  </w:pPr>
                  <w:r>
                    <w:rPr>
                      <w:rFonts w:hint="default" w:ascii="Times New Roman" w:hAnsi="Times New Roman" w:eastAsia="宋体" w:cs="Times New Roman"/>
                      <w:color w:val="auto"/>
                      <w:kern w:val="0"/>
                      <w:sz w:val="18"/>
                      <w:szCs w:val="18"/>
                      <w:highlight w:val="none"/>
                      <w:vertAlign w:val="baseline"/>
                      <w:lang w:eastAsia="zh-CN"/>
                    </w:rPr>
                    <w:t>油气、液体化工码头：全部；</w:t>
                  </w:r>
                </w:p>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 w:val="18"/>
                      <w:szCs w:val="18"/>
                      <w:highlight w:val="none"/>
                      <w:vertAlign w:val="baseline"/>
                      <w:lang w:eastAsia="zh-CN"/>
                    </w:rPr>
                  </w:pPr>
                  <w:r>
                    <w:rPr>
                      <w:rFonts w:hint="default" w:ascii="Times New Roman" w:hAnsi="Times New Roman" w:eastAsia="宋体" w:cs="Times New Roman"/>
                      <w:color w:val="auto"/>
                      <w:kern w:val="0"/>
                      <w:sz w:val="18"/>
                      <w:szCs w:val="18"/>
                      <w:highlight w:val="none"/>
                      <w:vertAlign w:val="baseline"/>
                      <w:lang w:eastAsia="zh-CN"/>
                    </w:rPr>
                    <w:t>干散货（含煤炭、矿石）、件杂、多用途、通用码头：涉及粉尘、挥发性有机物排放的项目</w:t>
                  </w:r>
                </w:p>
              </w:tc>
              <w:tc>
                <w:tcPr>
                  <w:tcW w:w="208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 w:val="18"/>
                      <w:szCs w:val="18"/>
                      <w:highlight w:val="none"/>
                      <w:vertAlign w:val="baseline"/>
                      <w:lang w:eastAsia="zh-CN"/>
                    </w:rPr>
                  </w:pPr>
                  <w:r>
                    <w:rPr>
                      <w:rFonts w:hint="default" w:ascii="Times New Roman" w:hAnsi="Times New Roman" w:eastAsia="宋体" w:cs="Times New Roman"/>
                      <w:color w:val="auto"/>
                      <w:kern w:val="0"/>
                      <w:sz w:val="18"/>
                      <w:szCs w:val="18"/>
                      <w:highlight w:val="none"/>
                      <w:vertAlign w:val="baseline"/>
                      <w:lang w:eastAsia="zh-CN"/>
                    </w:rPr>
                    <w:t>本项目</w:t>
                  </w:r>
                  <w:r>
                    <w:rPr>
                      <w:rFonts w:hint="eastAsia" w:ascii="Times New Roman" w:hAnsi="Times New Roman" w:eastAsia="宋体" w:cs="Times New Roman"/>
                      <w:color w:val="auto"/>
                      <w:kern w:val="0"/>
                      <w:sz w:val="18"/>
                      <w:szCs w:val="18"/>
                      <w:highlight w:val="none"/>
                      <w:vertAlign w:val="baseline"/>
                      <w:lang w:eastAsia="zh-CN"/>
                    </w:rPr>
                    <w:t>属于</w:t>
                  </w:r>
                  <w:r>
                    <w:rPr>
                      <w:rFonts w:hint="eastAsia" w:ascii="Times New Roman" w:hAnsi="Times New Roman" w:eastAsia="宋体" w:cs="Times New Roman"/>
                      <w:color w:val="auto"/>
                      <w:kern w:val="0"/>
                      <w:sz w:val="18"/>
                      <w:szCs w:val="18"/>
                      <w:highlight w:val="none"/>
                      <w:vertAlign w:val="baseline"/>
                      <w:lang w:val="en-US" w:eastAsia="zh-CN"/>
                    </w:rPr>
                    <w:t>水库</w:t>
                  </w:r>
                  <w:r>
                    <w:rPr>
                      <w:rFonts w:hint="eastAsia" w:ascii="Times New Roman" w:hAnsi="Times New Roman" w:eastAsia="宋体" w:cs="Times New Roman"/>
                      <w:color w:val="auto"/>
                      <w:kern w:val="0"/>
                      <w:sz w:val="18"/>
                      <w:szCs w:val="18"/>
                      <w:highlight w:val="none"/>
                      <w:vertAlign w:val="baseline"/>
                      <w:lang w:eastAsia="zh-CN"/>
                    </w:rPr>
                    <w:t>项目</w:t>
                  </w:r>
                  <w:r>
                    <w:rPr>
                      <w:rFonts w:hint="default" w:ascii="Times New Roman" w:hAnsi="Times New Roman" w:eastAsia="宋体" w:cs="Times New Roman"/>
                      <w:color w:val="auto"/>
                      <w:kern w:val="0"/>
                      <w:sz w:val="18"/>
                      <w:szCs w:val="18"/>
                      <w:highlight w:val="none"/>
                      <w:vertAlign w:val="baseline"/>
                      <w:lang w:eastAsia="zh-CN"/>
                    </w:rPr>
                    <w:t>，故本项目无需开展</w:t>
                  </w:r>
                  <w:r>
                    <w:rPr>
                      <w:rFonts w:hint="eastAsia" w:ascii="Times New Roman" w:hAnsi="Times New Roman" w:eastAsia="宋体" w:cs="Times New Roman"/>
                      <w:color w:val="auto"/>
                      <w:kern w:val="0"/>
                      <w:sz w:val="18"/>
                      <w:szCs w:val="18"/>
                      <w:highlight w:val="none"/>
                      <w:vertAlign w:val="baseline"/>
                      <w:lang w:eastAsia="zh-CN"/>
                    </w:rPr>
                    <w:t>大气</w:t>
                  </w:r>
                  <w:r>
                    <w:rPr>
                      <w:rFonts w:hint="default" w:ascii="Times New Roman" w:hAnsi="Times New Roman" w:eastAsia="宋体" w:cs="Times New Roman"/>
                      <w:color w:val="auto"/>
                      <w:kern w:val="0"/>
                      <w:sz w:val="18"/>
                      <w:szCs w:val="18"/>
                      <w:highlight w:val="none"/>
                      <w:vertAlign w:val="baseline"/>
                      <w:lang w:eastAsia="zh-CN"/>
                    </w:rPr>
                    <w:t>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highlight w:val="none"/>
                      <w:vertAlign w:val="baseline"/>
                      <w:lang w:eastAsia="zh-CN"/>
                    </w:rPr>
                  </w:pPr>
                  <w:r>
                    <w:rPr>
                      <w:rFonts w:hint="default" w:ascii="Times New Roman" w:hAnsi="Times New Roman" w:eastAsia="宋体" w:cs="Times New Roman"/>
                      <w:color w:val="auto"/>
                      <w:kern w:val="0"/>
                      <w:sz w:val="18"/>
                      <w:szCs w:val="18"/>
                      <w:highlight w:val="none"/>
                      <w:vertAlign w:val="baseline"/>
                      <w:lang w:eastAsia="zh-CN"/>
                    </w:rPr>
                    <w:t>噪声</w:t>
                  </w:r>
                </w:p>
              </w:tc>
              <w:tc>
                <w:tcPr>
                  <w:tcW w:w="3638"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 w:val="18"/>
                      <w:szCs w:val="18"/>
                      <w:highlight w:val="none"/>
                      <w:vertAlign w:val="baseline"/>
                      <w:lang w:eastAsia="zh-CN"/>
                    </w:rPr>
                  </w:pPr>
                  <w:r>
                    <w:rPr>
                      <w:rFonts w:hint="default" w:ascii="Times New Roman" w:hAnsi="Times New Roman" w:eastAsia="宋体" w:cs="Times New Roman"/>
                      <w:color w:val="auto"/>
                      <w:kern w:val="0"/>
                      <w:sz w:val="18"/>
                      <w:szCs w:val="18"/>
                      <w:highlight w:val="none"/>
                      <w:vertAlign w:val="baseline"/>
                      <w:lang w:eastAsia="zh-CN"/>
                    </w:rPr>
                    <w:t>公路、铁路、机场等交通运输业涉及环境敏感区（以居住、医疗卫生、文化教育、科研、行政办公为主要功能的区域）的项目；</w:t>
                  </w:r>
                </w:p>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 w:val="18"/>
                      <w:szCs w:val="18"/>
                      <w:highlight w:val="none"/>
                      <w:vertAlign w:val="baseline"/>
                      <w:lang w:eastAsia="zh-CN"/>
                    </w:rPr>
                  </w:pPr>
                  <w:r>
                    <w:rPr>
                      <w:rFonts w:hint="default" w:ascii="Times New Roman" w:hAnsi="Times New Roman" w:eastAsia="宋体" w:cs="Times New Roman"/>
                      <w:color w:val="auto"/>
                      <w:kern w:val="0"/>
                      <w:sz w:val="18"/>
                      <w:szCs w:val="18"/>
                      <w:highlight w:val="none"/>
                      <w:vertAlign w:val="baseline"/>
                      <w:lang w:eastAsia="zh-CN"/>
                    </w:rPr>
                    <w:t>城市道路（不含维护，不含支路、人行天桥、人行地道）：全部</w:t>
                  </w:r>
                </w:p>
              </w:tc>
              <w:tc>
                <w:tcPr>
                  <w:tcW w:w="208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 w:val="18"/>
                      <w:szCs w:val="18"/>
                      <w:highlight w:val="none"/>
                      <w:vertAlign w:val="baseline"/>
                      <w:lang w:eastAsia="zh-CN"/>
                    </w:rPr>
                  </w:pPr>
                  <w:r>
                    <w:rPr>
                      <w:rFonts w:hint="default" w:ascii="Times New Roman" w:hAnsi="Times New Roman" w:eastAsia="宋体" w:cs="Times New Roman"/>
                      <w:color w:val="auto"/>
                      <w:kern w:val="0"/>
                      <w:sz w:val="18"/>
                      <w:szCs w:val="18"/>
                      <w:highlight w:val="none"/>
                      <w:vertAlign w:val="baseline"/>
                      <w:lang w:eastAsia="zh-CN"/>
                    </w:rPr>
                    <w:t>本项目</w:t>
                  </w:r>
                  <w:r>
                    <w:rPr>
                      <w:rFonts w:hint="eastAsia" w:ascii="Times New Roman" w:hAnsi="Times New Roman" w:eastAsia="宋体" w:cs="Times New Roman"/>
                      <w:color w:val="auto"/>
                      <w:kern w:val="0"/>
                      <w:sz w:val="18"/>
                      <w:szCs w:val="18"/>
                      <w:highlight w:val="none"/>
                      <w:vertAlign w:val="baseline"/>
                      <w:lang w:eastAsia="zh-CN"/>
                    </w:rPr>
                    <w:t>属于</w:t>
                  </w:r>
                  <w:r>
                    <w:rPr>
                      <w:rFonts w:hint="eastAsia" w:ascii="Times New Roman" w:hAnsi="Times New Roman" w:eastAsia="宋体" w:cs="Times New Roman"/>
                      <w:color w:val="auto"/>
                      <w:kern w:val="0"/>
                      <w:sz w:val="18"/>
                      <w:szCs w:val="18"/>
                      <w:highlight w:val="none"/>
                      <w:vertAlign w:val="baseline"/>
                      <w:lang w:val="en-US" w:eastAsia="zh-CN"/>
                    </w:rPr>
                    <w:t>水库</w:t>
                  </w:r>
                  <w:r>
                    <w:rPr>
                      <w:rFonts w:hint="eastAsia" w:ascii="Times New Roman" w:hAnsi="Times New Roman" w:eastAsia="宋体" w:cs="Times New Roman"/>
                      <w:color w:val="auto"/>
                      <w:kern w:val="0"/>
                      <w:sz w:val="18"/>
                      <w:szCs w:val="18"/>
                      <w:highlight w:val="none"/>
                      <w:vertAlign w:val="baseline"/>
                      <w:lang w:eastAsia="zh-CN"/>
                    </w:rPr>
                    <w:t>项目</w:t>
                  </w:r>
                  <w:r>
                    <w:rPr>
                      <w:rFonts w:hint="default" w:ascii="Times New Roman" w:hAnsi="Times New Roman" w:eastAsia="宋体" w:cs="Times New Roman"/>
                      <w:color w:val="auto"/>
                      <w:kern w:val="0"/>
                      <w:sz w:val="18"/>
                      <w:szCs w:val="18"/>
                      <w:highlight w:val="none"/>
                      <w:vertAlign w:val="baseline"/>
                      <w:lang w:eastAsia="zh-CN"/>
                    </w:rPr>
                    <w:t>，不属于左述类别项目，故本项目无需开展</w:t>
                  </w:r>
                  <w:r>
                    <w:rPr>
                      <w:rFonts w:hint="eastAsia" w:ascii="Times New Roman" w:hAnsi="Times New Roman" w:eastAsia="宋体" w:cs="Times New Roman"/>
                      <w:color w:val="auto"/>
                      <w:kern w:val="0"/>
                      <w:sz w:val="18"/>
                      <w:szCs w:val="18"/>
                      <w:highlight w:val="none"/>
                      <w:vertAlign w:val="baseline"/>
                      <w:lang w:eastAsia="zh-CN"/>
                    </w:rPr>
                    <w:t>噪声</w:t>
                  </w:r>
                  <w:r>
                    <w:rPr>
                      <w:rFonts w:hint="default" w:ascii="Times New Roman" w:hAnsi="Times New Roman" w:eastAsia="宋体" w:cs="Times New Roman"/>
                      <w:color w:val="auto"/>
                      <w:kern w:val="0"/>
                      <w:sz w:val="18"/>
                      <w:szCs w:val="18"/>
                      <w:highlight w:val="none"/>
                      <w:vertAlign w:val="baseline"/>
                      <w:lang w:eastAsia="zh-CN"/>
                    </w:rPr>
                    <w:t>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highlight w:val="none"/>
                      <w:vertAlign w:val="baseline"/>
                      <w:lang w:eastAsia="zh-CN"/>
                    </w:rPr>
                  </w:pPr>
                  <w:r>
                    <w:rPr>
                      <w:rFonts w:hint="default" w:ascii="Times New Roman" w:hAnsi="Times New Roman" w:eastAsia="宋体" w:cs="Times New Roman"/>
                      <w:color w:val="auto"/>
                      <w:kern w:val="0"/>
                      <w:sz w:val="18"/>
                      <w:szCs w:val="18"/>
                      <w:highlight w:val="none"/>
                      <w:vertAlign w:val="baseline"/>
                      <w:lang w:eastAsia="zh-CN"/>
                    </w:rPr>
                    <w:t>环境风险</w:t>
                  </w:r>
                </w:p>
              </w:tc>
              <w:tc>
                <w:tcPr>
                  <w:tcW w:w="3638"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 w:val="18"/>
                      <w:szCs w:val="18"/>
                      <w:highlight w:val="none"/>
                      <w:vertAlign w:val="baseline"/>
                      <w:lang w:eastAsia="zh-CN"/>
                    </w:rPr>
                  </w:pPr>
                  <w:r>
                    <w:rPr>
                      <w:rFonts w:hint="default" w:ascii="Times New Roman" w:hAnsi="Times New Roman" w:eastAsia="宋体" w:cs="Times New Roman"/>
                      <w:color w:val="auto"/>
                      <w:kern w:val="0"/>
                      <w:sz w:val="18"/>
                      <w:szCs w:val="18"/>
                      <w:highlight w:val="none"/>
                      <w:vertAlign w:val="baseline"/>
                      <w:lang w:eastAsia="zh-CN"/>
                    </w:rPr>
                    <w:t>石油和天然气开采：全部；</w:t>
                  </w:r>
                </w:p>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 w:val="18"/>
                      <w:szCs w:val="18"/>
                      <w:highlight w:val="none"/>
                      <w:vertAlign w:val="baseline"/>
                      <w:lang w:eastAsia="zh-CN"/>
                    </w:rPr>
                  </w:pPr>
                  <w:r>
                    <w:rPr>
                      <w:rFonts w:hint="default" w:ascii="Times New Roman" w:hAnsi="Times New Roman" w:eastAsia="宋体" w:cs="Times New Roman"/>
                      <w:color w:val="auto"/>
                      <w:kern w:val="0"/>
                      <w:sz w:val="18"/>
                      <w:szCs w:val="18"/>
                      <w:highlight w:val="none"/>
                      <w:vertAlign w:val="baseline"/>
                      <w:lang w:eastAsia="zh-CN"/>
                    </w:rPr>
                    <w:t>油气、液体化工码头：全部；</w:t>
                  </w:r>
                </w:p>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 w:val="18"/>
                      <w:szCs w:val="18"/>
                      <w:highlight w:val="none"/>
                      <w:vertAlign w:val="baseline"/>
                      <w:lang w:eastAsia="zh-CN"/>
                    </w:rPr>
                  </w:pPr>
                  <w:r>
                    <w:rPr>
                      <w:rFonts w:hint="default" w:ascii="Times New Roman" w:hAnsi="Times New Roman" w:eastAsia="宋体" w:cs="Times New Roman"/>
                      <w:color w:val="auto"/>
                      <w:kern w:val="0"/>
                      <w:sz w:val="18"/>
                      <w:szCs w:val="18"/>
                      <w:highlight w:val="none"/>
                      <w:vertAlign w:val="baseline"/>
                      <w:lang w:eastAsia="zh-CN"/>
                    </w:rPr>
                    <w:t>原油、成品油、天然气管线（不含城镇天然气管线、企业厂区内管线），危险化学品输送管线（不含企业厂区内管线）：全部</w:t>
                  </w:r>
                </w:p>
              </w:tc>
              <w:tc>
                <w:tcPr>
                  <w:tcW w:w="208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 w:val="18"/>
                      <w:szCs w:val="18"/>
                      <w:highlight w:val="none"/>
                      <w:vertAlign w:val="baseline"/>
                      <w:lang w:eastAsia="zh-CN"/>
                    </w:rPr>
                  </w:pPr>
                  <w:r>
                    <w:rPr>
                      <w:rFonts w:hint="default" w:ascii="Times New Roman" w:hAnsi="Times New Roman" w:eastAsia="宋体" w:cs="Times New Roman"/>
                      <w:color w:val="auto"/>
                      <w:kern w:val="0"/>
                      <w:sz w:val="18"/>
                      <w:szCs w:val="18"/>
                      <w:highlight w:val="none"/>
                      <w:vertAlign w:val="baseline"/>
                      <w:lang w:eastAsia="zh-CN"/>
                    </w:rPr>
                    <w:t>本项目</w:t>
                  </w:r>
                  <w:r>
                    <w:rPr>
                      <w:rFonts w:hint="eastAsia" w:ascii="Times New Roman" w:hAnsi="Times New Roman" w:eastAsia="宋体" w:cs="Times New Roman"/>
                      <w:color w:val="auto"/>
                      <w:kern w:val="0"/>
                      <w:sz w:val="18"/>
                      <w:szCs w:val="18"/>
                      <w:highlight w:val="none"/>
                      <w:vertAlign w:val="baseline"/>
                      <w:lang w:eastAsia="zh-CN"/>
                    </w:rPr>
                    <w:t>属于</w:t>
                  </w:r>
                  <w:r>
                    <w:rPr>
                      <w:rFonts w:hint="eastAsia" w:ascii="Times New Roman" w:hAnsi="Times New Roman" w:eastAsia="宋体" w:cs="Times New Roman"/>
                      <w:color w:val="auto"/>
                      <w:kern w:val="0"/>
                      <w:sz w:val="18"/>
                      <w:szCs w:val="18"/>
                      <w:highlight w:val="none"/>
                      <w:vertAlign w:val="baseline"/>
                      <w:lang w:val="en-US" w:eastAsia="zh-CN"/>
                    </w:rPr>
                    <w:t>水库</w:t>
                  </w:r>
                  <w:r>
                    <w:rPr>
                      <w:rFonts w:hint="eastAsia" w:ascii="Times New Roman" w:hAnsi="Times New Roman" w:eastAsia="宋体" w:cs="Times New Roman"/>
                      <w:color w:val="auto"/>
                      <w:kern w:val="0"/>
                      <w:sz w:val="18"/>
                      <w:szCs w:val="18"/>
                      <w:highlight w:val="none"/>
                      <w:vertAlign w:val="baseline"/>
                      <w:lang w:eastAsia="zh-CN"/>
                    </w:rPr>
                    <w:t>项目</w:t>
                  </w:r>
                  <w:r>
                    <w:rPr>
                      <w:rFonts w:hint="default" w:ascii="Times New Roman" w:hAnsi="Times New Roman" w:eastAsia="宋体" w:cs="Times New Roman"/>
                      <w:color w:val="auto"/>
                      <w:kern w:val="0"/>
                      <w:sz w:val="18"/>
                      <w:szCs w:val="18"/>
                      <w:highlight w:val="none"/>
                      <w:vertAlign w:val="baseline"/>
                      <w:lang w:eastAsia="zh-CN"/>
                    </w:rPr>
                    <w:t>，不属于左述类别项目，故本项目无需开展</w:t>
                  </w:r>
                  <w:r>
                    <w:rPr>
                      <w:rFonts w:hint="eastAsia" w:ascii="Times New Roman" w:hAnsi="Times New Roman" w:eastAsia="宋体" w:cs="Times New Roman"/>
                      <w:color w:val="auto"/>
                      <w:kern w:val="0"/>
                      <w:sz w:val="18"/>
                      <w:szCs w:val="18"/>
                      <w:highlight w:val="none"/>
                      <w:vertAlign w:val="baseline"/>
                      <w:lang w:eastAsia="zh-CN"/>
                    </w:rPr>
                    <w:t>环境风险</w:t>
                  </w:r>
                  <w:r>
                    <w:rPr>
                      <w:rFonts w:hint="default" w:ascii="Times New Roman" w:hAnsi="Times New Roman" w:eastAsia="宋体" w:cs="Times New Roman"/>
                      <w:color w:val="auto"/>
                      <w:kern w:val="0"/>
                      <w:sz w:val="18"/>
                      <w:szCs w:val="18"/>
                      <w:highlight w:val="none"/>
                      <w:vertAlign w:val="baseline"/>
                      <w:lang w:eastAsia="zh-CN"/>
                    </w:rPr>
                    <w:t>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4"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 w:val="18"/>
                      <w:szCs w:val="18"/>
                      <w:highlight w:val="none"/>
                      <w:vertAlign w:val="baseline"/>
                      <w:lang w:eastAsia="zh-CN"/>
                    </w:rPr>
                  </w:pPr>
                  <w:r>
                    <w:rPr>
                      <w:rFonts w:hint="eastAsia" w:ascii="Times New Roman" w:hAnsi="Times New Roman" w:eastAsia="宋体" w:cs="Times New Roman"/>
                      <w:color w:val="auto"/>
                      <w:kern w:val="0"/>
                      <w:sz w:val="18"/>
                      <w:szCs w:val="18"/>
                      <w:highlight w:val="none"/>
                      <w:vertAlign w:val="baseline"/>
                      <w:lang w:eastAsia="zh-CN"/>
                    </w:rPr>
                    <w:t>注：“涉及环境敏感区”是指建设项目位于、穿（跨）越（无害化通过的除外）环境敏感区，或环境影响范围涵盖环境敏感区。环境敏感区是指《建设项目环境影响评价分类管理名录》中针对该类项目所列的敏感区。</w:t>
                  </w:r>
                </w:p>
              </w:tc>
            </w:tr>
          </w:tbl>
          <w:p>
            <w:pPr>
              <w:adjustRightInd w:val="0"/>
              <w:snapToGrid w:val="0"/>
              <w:spacing w:line="360" w:lineRule="auto"/>
              <w:ind w:firstLine="92"/>
              <w:jc w:val="left"/>
              <w:rPr>
                <w:rFonts w:hint="default" w:ascii="Times New Roman" w:hAnsi="Times New Roman" w:eastAsia="宋体"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760" w:type="dxa"/>
            <w:tcMar>
              <w:top w:w="16" w:type="dxa"/>
              <w:left w:w="16" w:type="dxa"/>
              <w:right w:w="16" w:type="dxa"/>
            </w:tcMar>
            <w:vAlign w:val="center"/>
          </w:tcPr>
          <w:p>
            <w:pPr>
              <w:autoSpaceDE w:val="0"/>
              <w:autoSpaceDN w:val="0"/>
              <w:adjustRightInd w:val="0"/>
              <w:snapToGrid w:val="0"/>
              <w:spacing w:line="36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规划情况</w:t>
            </w:r>
          </w:p>
        </w:tc>
        <w:tc>
          <w:tcPr>
            <w:tcW w:w="7279" w:type="dxa"/>
            <w:gridSpan w:val="3"/>
            <w:tcMar>
              <w:top w:w="16" w:type="dxa"/>
              <w:left w:w="16" w:type="dxa"/>
              <w:right w:w="16" w:type="dxa"/>
            </w:tcMar>
            <w:vAlign w:val="center"/>
          </w:tcPr>
          <w:p>
            <w:pPr>
              <w:keepNext w:val="0"/>
              <w:keepLines w:val="0"/>
              <w:widowControl/>
              <w:suppressLineNumbers w:val="0"/>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规划文件名称：《达州市“十四五”水安全保障规划》； </w:t>
            </w:r>
          </w:p>
          <w:p>
            <w:pPr>
              <w:keepNext w:val="0"/>
              <w:keepLines w:val="0"/>
              <w:widowControl/>
              <w:suppressLineNumbers w:val="0"/>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审查机关：达州市人民政府；</w:t>
            </w:r>
          </w:p>
          <w:p>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审查文件名称及文号：达州市人民政府关于印发《达州市“十四五”水安全保障规划》的通知（</w:t>
            </w:r>
            <w:r>
              <w:rPr>
                <w:rFonts w:hint="default" w:ascii="Times New Roman" w:hAnsi="Times New Roman" w:eastAsia="宋体" w:cs="Times New Roman"/>
                <w:color w:val="auto"/>
                <w:kern w:val="0"/>
                <w:sz w:val="21"/>
                <w:szCs w:val="21"/>
                <w:highlight w:val="none"/>
                <w:lang w:val="en-US" w:eastAsia="zh-CN" w:bidi="ar"/>
              </w:rPr>
              <w:t>达市府发〔2022〕6 号）</w:t>
            </w:r>
          </w:p>
          <w:p>
            <w:pPr>
              <w:keepNext w:val="0"/>
              <w:keepLines w:val="0"/>
              <w:widowControl/>
              <w:suppressLineNumbers w:val="0"/>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规划文件名称：《</w:t>
            </w:r>
            <w:r>
              <w:rPr>
                <w:rFonts w:hint="eastAsia" w:ascii="宋体" w:hAnsi="宋体" w:cs="宋体"/>
                <w:color w:val="auto"/>
                <w:kern w:val="0"/>
                <w:sz w:val="21"/>
                <w:szCs w:val="21"/>
                <w:highlight w:val="none"/>
                <w:lang w:val="en-US" w:eastAsia="zh-CN" w:bidi="ar"/>
              </w:rPr>
              <w:t>宣汉县</w:t>
            </w:r>
            <w:r>
              <w:rPr>
                <w:rFonts w:hint="eastAsia" w:ascii="宋体" w:hAnsi="宋体" w:eastAsia="宋体" w:cs="宋体"/>
                <w:color w:val="auto"/>
                <w:kern w:val="0"/>
                <w:sz w:val="21"/>
                <w:szCs w:val="21"/>
                <w:highlight w:val="none"/>
                <w:lang w:val="en-US" w:eastAsia="zh-CN" w:bidi="ar"/>
              </w:rPr>
              <w:t xml:space="preserve">“十四五”水安全保障规划》； </w:t>
            </w:r>
          </w:p>
          <w:p>
            <w:pPr>
              <w:keepNext w:val="0"/>
              <w:keepLines w:val="0"/>
              <w:widowControl/>
              <w:suppressLineNumbers w:val="0"/>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审查机关：</w:t>
            </w:r>
            <w:r>
              <w:rPr>
                <w:rFonts w:hint="eastAsia" w:ascii="宋体" w:hAnsi="宋体" w:cs="宋体"/>
                <w:color w:val="auto"/>
                <w:kern w:val="0"/>
                <w:sz w:val="21"/>
                <w:szCs w:val="21"/>
                <w:highlight w:val="none"/>
                <w:lang w:val="en-US" w:eastAsia="zh-CN" w:bidi="ar"/>
              </w:rPr>
              <w:t>宣汉县</w:t>
            </w:r>
            <w:r>
              <w:rPr>
                <w:rFonts w:hint="eastAsia" w:ascii="宋体" w:hAnsi="宋体" w:eastAsia="宋体" w:cs="宋体"/>
                <w:color w:val="auto"/>
                <w:kern w:val="0"/>
                <w:sz w:val="21"/>
                <w:szCs w:val="21"/>
                <w:highlight w:val="none"/>
                <w:lang w:val="en-US" w:eastAsia="zh-CN" w:bidi="ar"/>
              </w:rPr>
              <w:t>人民政府；</w:t>
            </w:r>
          </w:p>
          <w:p>
            <w:pPr>
              <w:keepNext w:val="0"/>
              <w:keepLines w:val="0"/>
              <w:widowControl/>
              <w:suppressLineNumbers w:val="0"/>
              <w:jc w:val="left"/>
              <w:rPr>
                <w:rFonts w:hint="default"/>
                <w:color w:val="auto"/>
              </w:rPr>
            </w:pPr>
            <w:r>
              <w:rPr>
                <w:rFonts w:hint="eastAsia" w:ascii="宋体" w:hAnsi="宋体" w:eastAsia="宋体" w:cs="宋体"/>
                <w:color w:val="auto"/>
                <w:kern w:val="0"/>
                <w:sz w:val="21"/>
                <w:szCs w:val="21"/>
                <w:highlight w:val="none"/>
                <w:lang w:val="en-US" w:eastAsia="zh-CN" w:bidi="ar"/>
              </w:rPr>
              <w:t>审查文件名称及文号：</w:t>
            </w:r>
            <w:r>
              <w:rPr>
                <w:rFonts w:hint="eastAsia" w:ascii="宋体" w:hAnsi="宋体" w:cs="宋体"/>
                <w:color w:val="auto"/>
                <w:kern w:val="0"/>
                <w:sz w:val="21"/>
                <w:szCs w:val="21"/>
                <w:highlight w:val="none"/>
                <w:lang w:val="en-US" w:eastAsia="zh-CN" w:bidi="ar"/>
              </w:rPr>
              <w:t>宣汉县</w:t>
            </w:r>
            <w:r>
              <w:rPr>
                <w:rFonts w:hint="eastAsia" w:ascii="宋体" w:hAnsi="宋体" w:eastAsia="宋体" w:cs="宋体"/>
                <w:color w:val="auto"/>
                <w:kern w:val="0"/>
                <w:sz w:val="21"/>
                <w:szCs w:val="21"/>
                <w:highlight w:val="none"/>
                <w:lang w:val="en-US" w:eastAsia="zh-CN" w:bidi="ar"/>
              </w:rPr>
              <w:t>人民政府关于印发《</w:t>
            </w:r>
            <w:r>
              <w:rPr>
                <w:rFonts w:hint="eastAsia" w:ascii="宋体" w:hAnsi="宋体" w:cs="宋体"/>
                <w:color w:val="auto"/>
                <w:kern w:val="0"/>
                <w:sz w:val="21"/>
                <w:szCs w:val="21"/>
                <w:highlight w:val="none"/>
                <w:lang w:val="en-US" w:eastAsia="zh-CN" w:bidi="ar"/>
              </w:rPr>
              <w:t>宣汉县</w:t>
            </w:r>
            <w:r>
              <w:rPr>
                <w:rFonts w:hint="eastAsia" w:ascii="宋体" w:hAnsi="宋体" w:eastAsia="宋体" w:cs="宋体"/>
                <w:color w:val="auto"/>
                <w:kern w:val="0"/>
                <w:sz w:val="21"/>
                <w:szCs w:val="21"/>
                <w:highlight w:val="none"/>
                <w:lang w:val="en-US" w:eastAsia="zh-CN" w:bidi="ar"/>
              </w:rPr>
              <w:t>“十四五”水安全保障规划》的通知（</w:t>
            </w:r>
            <w:r>
              <w:rPr>
                <w:rFonts w:hint="default" w:ascii="Times New Roman" w:hAnsi="Times New Roman" w:eastAsia="宋体" w:cs="Times New Roman"/>
                <w:color w:val="auto"/>
                <w:kern w:val="0"/>
                <w:sz w:val="21"/>
                <w:szCs w:val="21"/>
                <w:highlight w:val="none"/>
                <w:lang w:val="en-US" w:eastAsia="zh-CN" w:bidi="ar"/>
              </w:rPr>
              <w:t>宣府发〔2022〕27 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8" w:hRule="atLeast"/>
        </w:trPr>
        <w:tc>
          <w:tcPr>
            <w:tcW w:w="1760" w:type="dxa"/>
            <w:tcMar>
              <w:top w:w="16" w:type="dxa"/>
              <w:left w:w="16" w:type="dxa"/>
              <w:right w:w="16" w:type="dxa"/>
            </w:tcMar>
            <w:vAlign w:val="center"/>
          </w:tcPr>
          <w:p>
            <w:pPr>
              <w:autoSpaceDE w:val="0"/>
              <w:autoSpaceDN w:val="0"/>
              <w:adjustRightInd w:val="0"/>
              <w:snapToGrid w:val="0"/>
              <w:spacing w:line="36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规划环境影响评价情况</w:t>
            </w:r>
          </w:p>
        </w:tc>
        <w:tc>
          <w:tcPr>
            <w:tcW w:w="7279" w:type="dxa"/>
            <w:gridSpan w:val="3"/>
            <w:tcMar>
              <w:top w:w="16" w:type="dxa"/>
              <w:left w:w="16" w:type="dxa"/>
              <w:right w:w="16" w:type="dxa"/>
            </w:tcMar>
            <w:vAlign w:val="center"/>
          </w:tcPr>
          <w:p>
            <w:pPr>
              <w:widowControl/>
              <w:spacing w:line="440" w:lineRule="exact"/>
              <w:jc w:val="left"/>
              <w:rPr>
                <w:rFonts w:hint="default" w:ascii="Times New Roman" w:hAnsi="Times New Roman" w:eastAsia="宋体" w:cs="Times New Roman"/>
                <w:color w:val="auto"/>
                <w:kern w:val="0"/>
                <w:sz w:val="21"/>
                <w:szCs w:val="21"/>
                <w:highlight w:val="none"/>
              </w:rPr>
            </w:pPr>
            <w:r>
              <w:rPr>
                <w:rFonts w:hint="eastAsia" w:ascii="宋体" w:hAnsi="宋体" w:cs="宋体"/>
                <w:color w:val="auto"/>
                <w:kern w:val="0"/>
                <w:szCs w:val="21"/>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79" w:hRule="atLeast"/>
        </w:trPr>
        <w:tc>
          <w:tcPr>
            <w:tcW w:w="1760" w:type="dxa"/>
            <w:tcMar>
              <w:top w:w="16" w:type="dxa"/>
              <w:left w:w="16" w:type="dxa"/>
              <w:right w:w="16" w:type="dxa"/>
            </w:tcMar>
            <w:vAlign w:val="center"/>
          </w:tcPr>
          <w:p>
            <w:pPr>
              <w:autoSpaceDE w:val="0"/>
              <w:autoSpaceDN w:val="0"/>
              <w:adjustRightInd w:val="0"/>
              <w:snapToGrid w:val="0"/>
              <w:spacing w:line="36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规划及</w:t>
            </w:r>
            <w:r>
              <w:rPr>
                <w:rFonts w:hint="default" w:ascii="Times New Roman" w:hAnsi="Times New Roman" w:eastAsia="宋体" w:cs="Times New Roman"/>
                <w:color w:val="auto"/>
                <w:sz w:val="21"/>
                <w:szCs w:val="21"/>
                <w:highlight w:val="none"/>
              </w:rPr>
              <w:t>规划环境影响评价</w:t>
            </w:r>
            <w:r>
              <w:rPr>
                <w:rFonts w:hint="default" w:ascii="Times New Roman" w:hAnsi="Times New Roman" w:eastAsia="宋体" w:cs="Times New Roman"/>
                <w:color w:val="auto"/>
                <w:kern w:val="0"/>
                <w:sz w:val="21"/>
                <w:szCs w:val="21"/>
                <w:highlight w:val="none"/>
              </w:rPr>
              <w:t>符合性分析</w:t>
            </w:r>
          </w:p>
        </w:tc>
        <w:tc>
          <w:tcPr>
            <w:tcW w:w="7279" w:type="dxa"/>
            <w:gridSpan w:val="3"/>
            <w:tcMar>
              <w:top w:w="16" w:type="dxa"/>
              <w:left w:w="16" w:type="dxa"/>
              <w:right w:w="16" w:type="dxa"/>
            </w:tcMar>
            <w:vAlign w:val="top"/>
          </w:tcPr>
          <w:p>
            <w:pPr>
              <w:numPr>
                <w:ilvl w:val="0"/>
                <w:numId w:val="0"/>
              </w:numPr>
              <w:autoSpaceDE w:val="0"/>
              <w:autoSpaceDN w:val="0"/>
              <w:adjustRightInd w:val="0"/>
              <w:snapToGrid w:val="0"/>
              <w:spacing w:line="360" w:lineRule="auto"/>
              <w:rPr>
                <w:rFonts w:hint="eastAsia" w:ascii="宋体" w:hAnsi="宋体" w:cs="宋体"/>
                <w:b/>
                <w:bCs/>
                <w:color w:val="auto"/>
                <w:kern w:val="0"/>
                <w:sz w:val="21"/>
                <w:szCs w:val="21"/>
                <w:highlight w:val="none"/>
                <w:lang w:val="en-US" w:eastAsia="zh-CN" w:bidi="ar"/>
              </w:rPr>
            </w:pPr>
            <w:r>
              <w:rPr>
                <w:rFonts w:hint="eastAsia"/>
                <w:b/>
                <w:bCs/>
                <w:color w:val="auto"/>
                <w:kern w:val="0"/>
                <w:sz w:val="21"/>
                <w:szCs w:val="21"/>
                <w:highlight w:val="none"/>
                <w:lang w:val="en-US" w:eastAsia="zh-CN"/>
              </w:rPr>
              <w:t>1.1.1 与</w:t>
            </w:r>
            <w:r>
              <w:rPr>
                <w:rFonts w:hint="eastAsia" w:ascii="宋体" w:hAnsi="宋体" w:eastAsia="宋体" w:cs="宋体"/>
                <w:b/>
                <w:bCs/>
                <w:color w:val="auto"/>
                <w:kern w:val="0"/>
                <w:sz w:val="21"/>
                <w:szCs w:val="21"/>
                <w:highlight w:val="none"/>
                <w:lang w:val="en-US" w:eastAsia="zh-CN" w:bidi="ar"/>
              </w:rPr>
              <w:t>《达州市“十四五”水安全保障规划</w:t>
            </w:r>
            <w:r>
              <w:rPr>
                <w:rFonts w:hint="default" w:ascii="Times New Roman" w:hAnsi="Times New Roman" w:eastAsia="宋体" w:cs="Times New Roman"/>
                <w:b/>
                <w:bCs/>
                <w:color w:val="auto"/>
                <w:kern w:val="0"/>
                <w:sz w:val="21"/>
                <w:szCs w:val="21"/>
                <w:highlight w:val="none"/>
                <w:lang w:val="en-US" w:eastAsia="zh-CN" w:bidi="ar"/>
              </w:rPr>
              <w:t>》</w:t>
            </w:r>
            <w:r>
              <w:rPr>
                <w:rFonts w:hint="default" w:ascii="Times New Roman" w:hAnsi="Times New Roman" w:cs="Times New Roman"/>
                <w:b/>
                <w:bCs/>
                <w:color w:val="auto"/>
                <w:kern w:val="0"/>
                <w:sz w:val="21"/>
                <w:szCs w:val="21"/>
                <w:highlight w:val="none"/>
                <w:lang w:val="en-US" w:eastAsia="zh-CN" w:bidi="ar"/>
              </w:rPr>
              <w:t>（</w:t>
            </w:r>
            <w:r>
              <w:rPr>
                <w:rFonts w:hint="default" w:ascii="Times New Roman" w:hAnsi="Times New Roman" w:eastAsia="宋体" w:cs="Times New Roman"/>
                <w:b/>
                <w:bCs/>
                <w:color w:val="auto"/>
                <w:kern w:val="0"/>
                <w:sz w:val="21"/>
                <w:szCs w:val="21"/>
                <w:highlight w:val="none"/>
                <w:lang w:val="en-US" w:eastAsia="zh-CN" w:bidi="ar"/>
              </w:rPr>
              <w:t>达市府发〔2022〕6 号</w:t>
            </w:r>
            <w:r>
              <w:rPr>
                <w:rFonts w:hint="default" w:ascii="Times New Roman" w:hAnsi="Times New Roman" w:cs="Times New Roman"/>
                <w:b/>
                <w:bCs/>
                <w:color w:val="auto"/>
                <w:kern w:val="0"/>
                <w:sz w:val="21"/>
                <w:szCs w:val="21"/>
                <w:highlight w:val="none"/>
                <w:lang w:val="en-US" w:eastAsia="zh-CN" w:bidi="ar"/>
              </w:rPr>
              <w:t>）的</w:t>
            </w:r>
            <w:r>
              <w:rPr>
                <w:rFonts w:hint="eastAsia" w:ascii="宋体" w:hAnsi="宋体" w:cs="宋体"/>
                <w:b/>
                <w:bCs/>
                <w:color w:val="auto"/>
                <w:kern w:val="0"/>
                <w:sz w:val="21"/>
                <w:szCs w:val="21"/>
                <w:highlight w:val="none"/>
                <w:lang w:val="en-US" w:eastAsia="zh-CN" w:bidi="ar"/>
              </w:rPr>
              <w:t>符合性分析</w:t>
            </w:r>
          </w:p>
          <w:p>
            <w:pPr>
              <w:pStyle w:val="2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0" w:firstLineChars="200"/>
              <w:textAlignment w:val="auto"/>
              <w:rPr>
                <w:rFonts w:hint="eastAsia"/>
                <w:color w:val="auto"/>
                <w:highlight w:val="none"/>
                <w:lang w:val="en-US" w:eastAsia="zh-CN"/>
              </w:rPr>
            </w:pPr>
            <w:r>
              <w:rPr>
                <w:rFonts w:hint="eastAsia" w:cs="宋体"/>
                <w:color w:val="auto"/>
                <w:kern w:val="0"/>
                <w:sz w:val="21"/>
                <w:szCs w:val="21"/>
                <w:highlight w:val="none"/>
                <w:lang w:val="en-US" w:eastAsia="zh-CN" w:bidi="ar"/>
              </w:rPr>
              <w:t>根据</w:t>
            </w:r>
            <w:r>
              <w:rPr>
                <w:rFonts w:hint="eastAsia" w:ascii="宋体" w:hAnsi="宋体" w:eastAsia="宋体" w:cs="宋体"/>
                <w:color w:val="auto"/>
                <w:kern w:val="0"/>
                <w:sz w:val="21"/>
                <w:szCs w:val="21"/>
                <w:highlight w:val="none"/>
                <w:lang w:val="en-US" w:eastAsia="zh-CN" w:bidi="ar"/>
              </w:rPr>
              <w:t>《达州市“十四五”水安全保障规划</w:t>
            </w:r>
            <w:r>
              <w:rPr>
                <w:rFonts w:hint="default" w:ascii="Times New Roman" w:hAnsi="Times New Roman" w:eastAsia="宋体" w:cs="Times New Roman"/>
                <w:color w:val="auto"/>
                <w:kern w:val="0"/>
                <w:sz w:val="21"/>
                <w:szCs w:val="21"/>
                <w:highlight w:val="none"/>
                <w:lang w:val="en-US" w:eastAsia="zh-CN" w:bidi="ar"/>
              </w:rPr>
              <w:t>》（达市府发〔2022〕6 号）</w:t>
            </w:r>
            <w:r>
              <w:rPr>
                <w:rFonts w:hint="default"/>
                <w:color w:val="auto"/>
                <w:highlight w:val="none"/>
                <w:lang w:val="en-US" w:eastAsia="zh-CN"/>
              </w:rPr>
              <w:t>第五章 主要任务</w:t>
            </w:r>
            <w:r>
              <w:rPr>
                <w:rFonts w:hint="eastAsia"/>
                <w:color w:val="auto"/>
                <w:highlight w:val="none"/>
                <w:lang w:val="en-US" w:eastAsia="zh-CN"/>
              </w:rPr>
              <w:t>，第二节 围绕协调发展，构建支撑社会用水需要的供给体系：（六）实施农村小型水源工程建设。围绕乡村振兴战略，以全面保障农村地区生产生活用水为目标，加快推进黑宝山、龙形山、</w:t>
            </w:r>
            <w:r>
              <w:rPr>
                <w:rFonts w:hint="eastAsia"/>
                <w:b/>
                <w:bCs/>
                <w:color w:val="auto"/>
                <w:highlight w:val="none"/>
                <w:lang w:val="en-US" w:eastAsia="zh-CN"/>
              </w:rPr>
              <w:t>堰沟</w:t>
            </w:r>
            <w:r>
              <w:rPr>
                <w:rFonts w:hint="eastAsia"/>
                <w:color w:val="auto"/>
                <w:highlight w:val="none"/>
                <w:lang w:val="en-US" w:eastAsia="zh-CN"/>
              </w:rPr>
              <w:t>、徐家堡、三清庙等一批小型水库建设和抗旱应急备用水域工程建设。会同农业农村等部门，开展山坪塘、石河堰、水池、水窖等微水工程建设和病害治理，持续开展渠道清淤与维修养护。</w:t>
            </w:r>
          </w:p>
          <w:p>
            <w:pPr>
              <w:pStyle w:val="2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cs="Times New Roman"/>
                <w:color w:val="auto"/>
                <w:kern w:val="0"/>
                <w:sz w:val="21"/>
                <w:szCs w:val="21"/>
                <w:highlight w:val="none"/>
                <w:lang w:val="en-US" w:eastAsia="zh-CN" w:bidi="ar"/>
              </w:rPr>
            </w:pPr>
            <w:r>
              <w:rPr>
                <w:rFonts w:hint="eastAsia"/>
                <w:color w:val="auto"/>
                <w:highlight w:val="none"/>
                <w:lang w:val="en-US" w:eastAsia="zh-CN"/>
              </w:rPr>
              <w:t>本项目为堰沟水库，属于规划中的小型水库，项目建设有利于全面保障农村地区生产生活用水，符合</w:t>
            </w:r>
            <w:r>
              <w:rPr>
                <w:rFonts w:hint="eastAsia" w:ascii="宋体" w:hAnsi="宋体" w:eastAsia="宋体" w:cs="宋体"/>
                <w:color w:val="auto"/>
                <w:kern w:val="0"/>
                <w:sz w:val="21"/>
                <w:szCs w:val="21"/>
                <w:highlight w:val="none"/>
                <w:lang w:val="en-US" w:eastAsia="zh-CN" w:bidi="ar"/>
              </w:rPr>
              <w:t>《达州市“十四五”水安全保障规划》（达市府发〔2022〕6 号）</w:t>
            </w:r>
            <w:r>
              <w:rPr>
                <w:rFonts w:hint="default" w:ascii="Times New Roman" w:hAnsi="Times New Roman" w:cs="Times New Roman"/>
                <w:color w:val="auto"/>
                <w:kern w:val="0"/>
                <w:sz w:val="21"/>
                <w:szCs w:val="21"/>
                <w:highlight w:val="none"/>
                <w:lang w:val="en-US" w:eastAsia="zh-CN" w:bidi="ar"/>
              </w:rPr>
              <w:t>的要求，且本项目已取得了《宣汉县发展和改革委员会关于达州市宣汉县堰沟水库工程可行性研究的批复》</w:t>
            </w:r>
            <w:r>
              <w:rPr>
                <w:rFonts w:hint="eastAsia" w:ascii="Times New Roman" w:hAnsi="Times New Roman" w:cs="Times New Roman"/>
                <w:color w:val="auto"/>
                <w:kern w:val="0"/>
                <w:sz w:val="21"/>
                <w:szCs w:val="21"/>
                <w:highlight w:val="none"/>
                <w:lang w:val="en-US" w:eastAsia="zh-CN" w:bidi="ar"/>
              </w:rPr>
              <w:t>（</w:t>
            </w:r>
            <w:r>
              <w:rPr>
                <w:rFonts w:hint="default" w:ascii="Times New Roman" w:hAnsi="Times New Roman" w:cs="Times New Roman"/>
                <w:color w:val="auto"/>
                <w:kern w:val="0"/>
                <w:sz w:val="21"/>
                <w:szCs w:val="21"/>
                <w:highlight w:val="none"/>
                <w:lang w:val="en-US" w:eastAsia="zh-CN" w:bidi="ar"/>
              </w:rPr>
              <w:t>宣发改审〔2022〕239号</w:t>
            </w:r>
            <w:r>
              <w:rPr>
                <w:rFonts w:hint="eastAsia" w:ascii="Times New Roman" w:hAnsi="Times New Roman" w:cs="Times New Roman"/>
                <w:color w:val="auto"/>
                <w:kern w:val="0"/>
                <w:sz w:val="21"/>
                <w:szCs w:val="21"/>
                <w:highlight w:val="none"/>
                <w:lang w:val="en-US" w:eastAsia="zh-CN" w:bidi="ar"/>
              </w:rPr>
              <w:t>）</w:t>
            </w:r>
            <w:r>
              <w:rPr>
                <w:rFonts w:hint="default" w:ascii="Times New Roman" w:hAnsi="Times New Roman" w:cs="Times New Roman"/>
                <w:color w:val="auto"/>
                <w:kern w:val="0"/>
                <w:sz w:val="21"/>
                <w:szCs w:val="21"/>
                <w:highlight w:val="none"/>
                <w:lang w:val="en-US" w:eastAsia="zh-CN" w:bidi="ar"/>
              </w:rPr>
              <w:t>，项目代码：2107-511722-19-01-245020。</w:t>
            </w:r>
          </w:p>
          <w:p>
            <w:pPr>
              <w:numPr>
                <w:ilvl w:val="0"/>
                <w:numId w:val="0"/>
              </w:numPr>
              <w:autoSpaceDE w:val="0"/>
              <w:autoSpaceDN w:val="0"/>
              <w:adjustRightInd w:val="0"/>
              <w:snapToGrid w:val="0"/>
              <w:spacing w:line="360" w:lineRule="auto"/>
              <w:rPr>
                <w:rFonts w:hint="default" w:ascii="Times New Roman" w:hAnsi="Times New Roman" w:cs="Times New Roman"/>
                <w:b/>
                <w:bCs/>
                <w:color w:val="auto"/>
                <w:kern w:val="0"/>
                <w:sz w:val="21"/>
                <w:szCs w:val="21"/>
                <w:highlight w:val="none"/>
                <w:lang w:val="en-US" w:eastAsia="zh-CN" w:bidi="ar"/>
              </w:rPr>
            </w:pPr>
            <w:r>
              <w:rPr>
                <w:rFonts w:hint="eastAsia"/>
                <w:b/>
                <w:bCs/>
                <w:color w:val="auto"/>
                <w:kern w:val="0"/>
                <w:sz w:val="21"/>
                <w:szCs w:val="21"/>
                <w:highlight w:val="none"/>
                <w:lang w:val="en-US" w:eastAsia="zh-CN"/>
              </w:rPr>
              <w:t>1.1.2 与</w:t>
            </w:r>
            <w:r>
              <w:rPr>
                <w:rFonts w:hint="eastAsia" w:ascii="宋体" w:hAnsi="宋体" w:eastAsia="宋体" w:cs="宋体"/>
                <w:b/>
                <w:bCs/>
                <w:color w:val="auto"/>
                <w:kern w:val="0"/>
                <w:sz w:val="21"/>
                <w:szCs w:val="21"/>
                <w:highlight w:val="none"/>
                <w:lang w:val="en-US" w:eastAsia="zh-CN" w:bidi="ar"/>
              </w:rPr>
              <w:t>《</w:t>
            </w:r>
            <w:r>
              <w:rPr>
                <w:rFonts w:hint="eastAsia" w:ascii="宋体" w:hAnsi="宋体" w:cs="宋体"/>
                <w:b/>
                <w:bCs/>
                <w:color w:val="auto"/>
                <w:kern w:val="0"/>
                <w:sz w:val="21"/>
                <w:szCs w:val="21"/>
                <w:highlight w:val="none"/>
                <w:lang w:val="en-US" w:eastAsia="zh-CN" w:bidi="ar"/>
              </w:rPr>
              <w:t>宣汉县</w:t>
            </w:r>
            <w:r>
              <w:rPr>
                <w:rFonts w:hint="eastAsia" w:ascii="宋体" w:hAnsi="宋体" w:eastAsia="宋体" w:cs="宋体"/>
                <w:b/>
                <w:bCs/>
                <w:color w:val="auto"/>
                <w:kern w:val="0"/>
                <w:sz w:val="21"/>
                <w:szCs w:val="21"/>
                <w:highlight w:val="none"/>
                <w:lang w:val="en-US" w:eastAsia="zh-CN" w:bidi="ar"/>
              </w:rPr>
              <w:t>“十四五”水</w:t>
            </w:r>
            <w:r>
              <w:rPr>
                <w:rFonts w:hint="default" w:ascii="Times New Roman" w:hAnsi="Times New Roman" w:eastAsia="宋体" w:cs="Times New Roman"/>
                <w:b/>
                <w:bCs/>
                <w:color w:val="auto"/>
                <w:kern w:val="0"/>
                <w:sz w:val="21"/>
                <w:szCs w:val="21"/>
                <w:highlight w:val="none"/>
                <w:lang w:val="en-US" w:eastAsia="zh-CN" w:bidi="ar"/>
              </w:rPr>
              <w:t>安全保障规划》</w:t>
            </w:r>
            <w:r>
              <w:rPr>
                <w:rFonts w:hint="default" w:ascii="Times New Roman" w:hAnsi="Times New Roman" w:cs="Times New Roman"/>
                <w:b/>
                <w:bCs/>
                <w:color w:val="auto"/>
                <w:kern w:val="0"/>
                <w:sz w:val="21"/>
                <w:szCs w:val="21"/>
                <w:highlight w:val="none"/>
                <w:lang w:val="en-US" w:eastAsia="zh-CN" w:bidi="ar"/>
              </w:rPr>
              <w:t>（</w:t>
            </w:r>
            <w:r>
              <w:rPr>
                <w:rFonts w:hint="default" w:ascii="Times New Roman" w:hAnsi="Times New Roman" w:eastAsia="宋体" w:cs="Times New Roman"/>
                <w:b/>
                <w:bCs/>
                <w:color w:val="auto"/>
                <w:kern w:val="0"/>
                <w:sz w:val="21"/>
                <w:szCs w:val="21"/>
                <w:highlight w:val="none"/>
                <w:lang w:val="en-US" w:eastAsia="zh-CN" w:bidi="ar"/>
              </w:rPr>
              <w:t>宣府发〔2022〕27 号</w:t>
            </w:r>
            <w:r>
              <w:rPr>
                <w:rFonts w:hint="default" w:ascii="Times New Roman" w:hAnsi="Times New Roman" w:cs="Times New Roman"/>
                <w:b/>
                <w:bCs/>
                <w:color w:val="auto"/>
                <w:kern w:val="0"/>
                <w:sz w:val="21"/>
                <w:szCs w:val="21"/>
                <w:highlight w:val="none"/>
                <w:lang w:val="en-US" w:eastAsia="zh-CN" w:bidi="ar"/>
              </w:rPr>
              <w:t>）的符合性分析</w:t>
            </w:r>
          </w:p>
          <w:p>
            <w:pPr>
              <w:pStyle w:val="2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0" w:firstLineChars="200"/>
              <w:textAlignment w:val="auto"/>
              <w:rPr>
                <w:rFonts w:hint="eastAsia"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根据</w:t>
            </w:r>
            <w:r>
              <w:rPr>
                <w:rFonts w:hint="default" w:ascii="Times New Roman" w:hAnsi="Times New Roman" w:eastAsia="宋体" w:cs="Times New Roman"/>
                <w:color w:val="auto"/>
                <w:kern w:val="0"/>
                <w:sz w:val="21"/>
                <w:szCs w:val="21"/>
                <w:highlight w:val="none"/>
                <w:lang w:val="en-US" w:eastAsia="zh-CN" w:bidi="ar"/>
              </w:rPr>
              <w:t>《宣汉</w:t>
            </w:r>
            <w:r>
              <w:rPr>
                <w:rFonts w:hint="eastAsia" w:ascii="宋体" w:hAnsi="宋体" w:eastAsia="宋体" w:cs="宋体"/>
                <w:color w:val="auto"/>
                <w:kern w:val="0"/>
                <w:sz w:val="21"/>
                <w:szCs w:val="21"/>
                <w:highlight w:val="none"/>
                <w:lang w:val="en-US" w:eastAsia="zh-CN" w:bidi="ar"/>
              </w:rPr>
              <w:t>县“十四五”水安全</w:t>
            </w:r>
            <w:r>
              <w:rPr>
                <w:rFonts w:hint="default" w:ascii="Times New Roman" w:hAnsi="Times New Roman" w:eastAsia="宋体" w:cs="Times New Roman"/>
                <w:color w:val="auto"/>
                <w:kern w:val="0"/>
                <w:sz w:val="21"/>
                <w:szCs w:val="21"/>
                <w:highlight w:val="none"/>
                <w:lang w:val="en-US" w:eastAsia="zh-CN" w:bidi="ar"/>
              </w:rPr>
              <w:t>保障规划》（宣府发〔2022〕27 号</w:t>
            </w:r>
            <w:r>
              <w:rPr>
                <w:rFonts w:hint="eastAsia" w:ascii="宋体" w:hAnsi="宋体" w:eastAsia="宋体" w:cs="宋体"/>
                <w:color w:val="auto"/>
                <w:kern w:val="0"/>
                <w:sz w:val="21"/>
                <w:szCs w:val="21"/>
                <w:highlight w:val="none"/>
                <w:lang w:val="en-US" w:eastAsia="zh-CN" w:bidi="ar"/>
              </w:rPr>
              <w:t>）第五章 加快完善水利基础设施网络</w:t>
            </w:r>
            <w:r>
              <w:rPr>
                <w:rFonts w:hint="eastAsia" w:cs="宋体"/>
                <w:color w:val="auto"/>
                <w:kern w:val="0"/>
                <w:sz w:val="21"/>
                <w:szCs w:val="21"/>
                <w:highlight w:val="none"/>
                <w:lang w:val="en-US" w:eastAsia="zh-CN" w:bidi="ar"/>
              </w:rPr>
              <w:t>，第二节 优化水资源配置格局，五、其他水源工程建设：根据当地水源条件、地形地质</w:t>
            </w:r>
            <w:r>
              <w:rPr>
                <w:rFonts w:hint="default" w:ascii="Times New Roman" w:hAnsi="Times New Roman" w:cs="Times New Roman"/>
                <w:color w:val="auto"/>
                <w:kern w:val="0"/>
                <w:sz w:val="21"/>
                <w:szCs w:val="21"/>
                <w:highlight w:val="none"/>
                <w:lang w:val="en-US" w:eastAsia="zh-CN" w:bidi="ar"/>
              </w:rPr>
              <w:t>条件，集中用水需求和缺水状况，开展重点水源工程建设，逐步改善缺水地区生产生活用水，同时优化水资源配置。规划新建小（1）型</w:t>
            </w:r>
            <w:r>
              <w:rPr>
                <w:rFonts w:hint="default" w:ascii="Times New Roman" w:hAnsi="Times New Roman" w:cs="Times New Roman"/>
                <w:b/>
                <w:bCs/>
                <w:color w:val="auto"/>
                <w:kern w:val="0"/>
                <w:sz w:val="21"/>
                <w:szCs w:val="21"/>
                <w:highlight w:val="none"/>
                <w:lang w:val="en-US" w:eastAsia="zh-CN" w:bidi="ar"/>
              </w:rPr>
              <w:t>堰沟水库</w:t>
            </w:r>
            <w:r>
              <w:rPr>
                <w:rFonts w:hint="default" w:ascii="Times New Roman" w:hAnsi="Times New Roman" w:cs="Times New Roman"/>
                <w:color w:val="auto"/>
                <w:kern w:val="0"/>
                <w:sz w:val="21"/>
                <w:szCs w:val="21"/>
                <w:highlight w:val="none"/>
                <w:lang w:val="en-US" w:eastAsia="zh-CN" w:bidi="ar"/>
              </w:rPr>
              <w:t>，控制流域面积 13.5 平方公里，总库容 220 万立方米，设计总供水量 204万立方米，设计供水人口 5.2 万人，新增有效灌溉面积 0.56 万亩，建设补水渠 1.48 公里、输水干管 7.26 公里及支管 0.96 公里。第八章 巩固水利</w:t>
            </w:r>
            <w:r>
              <w:rPr>
                <w:rFonts w:hint="eastAsia" w:ascii="Times New Roman" w:hAnsi="Times New Roman" w:cs="Times New Roman"/>
                <w:color w:val="auto"/>
                <w:kern w:val="0"/>
                <w:sz w:val="21"/>
                <w:szCs w:val="21"/>
                <w:highlight w:val="none"/>
                <w:lang w:val="en-US" w:eastAsia="zh-CN" w:bidi="ar"/>
              </w:rPr>
              <w:t>脱贫攻坚</w:t>
            </w:r>
            <w:r>
              <w:rPr>
                <w:rFonts w:hint="default" w:ascii="Times New Roman" w:hAnsi="Times New Roman" w:cs="Times New Roman"/>
                <w:color w:val="auto"/>
                <w:kern w:val="0"/>
                <w:sz w:val="21"/>
                <w:szCs w:val="21"/>
                <w:highlight w:val="none"/>
                <w:lang w:val="en-US" w:eastAsia="zh-CN" w:bidi="ar"/>
              </w:rPr>
              <w:t>成果</w:t>
            </w:r>
            <w:r>
              <w:rPr>
                <w:rFonts w:hint="eastAsia" w:ascii="Times New Roman" w:hAnsi="Times New Roman" w:cs="Times New Roman"/>
                <w:color w:val="auto"/>
                <w:kern w:val="0"/>
                <w:sz w:val="21"/>
                <w:szCs w:val="21"/>
                <w:highlight w:val="none"/>
                <w:lang w:val="en-US" w:eastAsia="zh-CN" w:bidi="ar"/>
              </w:rPr>
              <w:t>，二、坚持骨干带动，突破“因水不兴”发展瓶颈：加快大中型水库建设，积极开展长滩河、肖家沟、</w:t>
            </w:r>
            <w:r>
              <w:rPr>
                <w:rFonts w:hint="eastAsia" w:ascii="Times New Roman" w:hAnsi="Times New Roman" w:cs="Times New Roman"/>
                <w:b/>
                <w:bCs/>
                <w:color w:val="auto"/>
                <w:kern w:val="0"/>
                <w:sz w:val="21"/>
                <w:szCs w:val="21"/>
                <w:highlight w:val="none"/>
                <w:lang w:val="en-US" w:eastAsia="zh-CN" w:bidi="ar"/>
              </w:rPr>
              <w:t>堰沟</w:t>
            </w:r>
            <w:r>
              <w:rPr>
                <w:rFonts w:hint="eastAsia" w:ascii="Times New Roman" w:hAnsi="Times New Roman" w:cs="Times New Roman"/>
                <w:color w:val="auto"/>
                <w:kern w:val="0"/>
                <w:sz w:val="21"/>
                <w:szCs w:val="21"/>
                <w:highlight w:val="none"/>
                <w:lang w:val="en-US" w:eastAsia="zh-CN" w:bidi="ar"/>
              </w:rPr>
              <w:t>等水库前期工作，争取早日开工建设，加快推进土溪口水库和白岩滩水库建设进度。</w:t>
            </w:r>
          </w:p>
          <w:p>
            <w:pPr>
              <w:pStyle w:val="2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0" w:firstLineChars="200"/>
              <w:textAlignment w:val="auto"/>
              <w:rPr>
                <w:rFonts w:hint="default"/>
                <w:color w:val="auto"/>
              </w:rPr>
            </w:pPr>
            <w:r>
              <w:rPr>
                <w:rFonts w:hint="eastAsia"/>
                <w:color w:val="auto"/>
                <w:highlight w:val="none"/>
                <w:lang w:val="en-US" w:eastAsia="zh-CN"/>
              </w:rPr>
              <w:t>本项目为堰沟水库，属于规划中的小型水库，项目建设有利于优化水资源配置格局，</w:t>
            </w:r>
            <w:r>
              <w:rPr>
                <w:rFonts w:hint="eastAsia" w:ascii="宋体" w:hAnsi="宋体" w:eastAsia="宋体" w:cs="宋体"/>
                <w:color w:val="auto"/>
                <w:kern w:val="0"/>
                <w:sz w:val="21"/>
                <w:szCs w:val="21"/>
                <w:highlight w:val="none"/>
                <w:lang w:val="en-US" w:eastAsia="zh-CN" w:bidi="ar"/>
              </w:rPr>
              <w:t>加快完善水利基础设施网络</w:t>
            </w:r>
            <w:r>
              <w:rPr>
                <w:rFonts w:hint="eastAsia"/>
                <w:color w:val="auto"/>
                <w:highlight w:val="none"/>
                <w:lang w:val="en-US" w:eastAsia="zh-CN"/>
              </w:rPr>
              <w:t>，符合</w:t>
            </w:r>
            <w:r>
              <w:rPr>
                <w:rFonts w:hint="eastAsia" w:ascii="宋体" w:hAnsi="宋体" w:eastAsia="宋体" w:cs="宋体"/>
                <w:color w:val="auto"/>
                <w:kern w:val="0"/>
                <w:sz w:val="21"/>
                <w:szCs w:val="21"/>
                <w:highlight w:val="none"/>
                <w:lang w:val="en-US" w:eastAsia="zh-CN" w:bidi="ar"/>
              </w:rPr>
              <w:t>《宣汉县“十四五”水安全保障规划》</w:t>
            </w:r>
            <w:r>
              <w:rPr>
                <w:rFonts w:hint="default" w:ascii="Times New Roman" w:hAnsi="Times New Roman" w:eastAsia="宋体" w:cs="Times New Roman"/>
                <w:color w:val="auto"/>
                <w:kern w:val="0"/>
                <w:sz w:val="21"/>
                <w:szCs w:val="21"/>
                <w:highlight w:val="none"/>
                <w:lang w:val="en-US" w:eastAsia="zh-CN" w:bidi="ar"/>
              </w:rPr>
              <w:t>（宣府发〔2022〕27 号）</w:t>
            </w:r>
            <w:r>
              <w:rPr>
                <w:rFonts w:hint="default" w:ascii="Times New Roman" w:hAnsi="Times New Roman" w:cs="Times New Roman"/>
                <w:color w:val="auto"/>
                <w:kern w:val="0"/>
                <w:sz w:val="21"/>
                <w:szCs w:val="21"/>
                <w:highlight w:val="none"/>
                <w:lang w:val="en-US" w:eastAsia="zh-CN" w:bidi="ar"/>
              </w:rPr>
              <w:t>的要求，且本项目已取得了《宣汉县发展和改革委员会关于达州市宣汉县堰沟水库工程可行性研究的批复》</w:t>
            </w:r>
            <w:r>
              <w:rPr>
                <w:rFonts w:hint="eastAsia" w:ascii="Times New Roman" w:hAnsi="Times New Roman" w:cs="Times New Roman"/>
                <w:color w:val="auto"/>
                <w:kern w:val="0"/>
                <w:sz w:val="21"/>
                <w:szCs w:val="21"/>
                <w:highlight w:val="none"/>
                <w:lang w:val="en-US" w:eastAsia="zh-CN" w:bidi="ar"/>
              </w:rPr>
              <w:t>（</w:t>
            </w:r>
            <w:r>
              <w:rPr>
                <w:rFonts w:hint="default" w:ascii="Times New Roman" w:hAnsi="Times New Roman" w:cs="Times New Roman"/>
                <w:color w:val="auto"/>
                <w:kern w:val="0"/>
                <w:sz w:val="21"/>
                <w:szCs w:val="21"/>
                <w:highlight w:val="none"/>
                <w:lang w:val="en-US" w:eastAsia="zh-CN" w:bidi="ar"/>
              </w:rPr>
              <w:t>宣发改审〔2022〕239号</w:t>
            </w:r>
            <w:r>
              <w:rPr>
                <w:rFonts w:hint="eastAsia" w:ascii="Times New Roman" w:hAnsi="Times New Roman" w:cs="Times New Roman"/>
                <w:color w:val="auto"/>
                <w:kern w:val="0"/>
                <w:sz w:val="21"/>
                <w:szCs w:val="21"/>
                <w:highlight w:val="none"/>
                <w:lang w:val="en-US" w:eastAsia="zh-CN" w:bidi="ar"/>
              </w:rPr>
              <w:t>）</w:t>
            </w:r>
            <w:r>
              <w:rPr>
                <w:rFonts w:hint="default" w:ascii="Times New Roman" w:hAnsi="Times New Roman" w:cs="Times New Roman"/>
                <w:color w:val="auto"/>
                <w:kern w:val="0"/>
                <w:sz w:val="21"/>
                <w:szCs w:val="21"/>
                <w:highlight w:val="none"/>
                <w:lang w:val="en-US" w:eastAsia="zh-CN" w:bidi="ar"/>
              </w:rPr>
              <w:t>，项目代码：2107-511722-19-01-245020。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2" w:hRule="atLeast"/>
        </w:trPr>
        <w:tc>
          <w:tcPr>
            <w:tcW w:w="1760" w:type="dxa"/>
            <w:tcMar>
              <w:top w:w="16" w:type="dxa"/>
              <w:left w:w="16" w:type="dxa"/>
              <w:right w:w="16" w:type="dxa"/>
            </w:tcMar>
            <w:vAlign w:val="center"/>
          </w:tcPr>
          <w:p>
            <w:pPr>
              <w:autoSpaceDE w:val="0"/>
              <w:autoSpaceDN w:val="0"/>
              <w:adjustRightInd w:val="0"/>
              <w:snapToGrid w:val="0"/>
              <w:spacing w:line="360" w:lineRule="auto"/>
              <w:jc w:val="center"/>
              <w:rPr>
                <w:rFonts w:hint="default" w:ascii="Times New Roman" w:hAnsi="Times New Roman" w:eastAsia="宋体" w:cs="Times New Roman"/>
                <w:color w:val="auto"/>
                <w:kern w:val="0"/>
                <w:sz w:val="21"/>
                <w:szCs w:val="21"/>
                <w:highlight w:val="none"/>
              </w:rPr>
            </w:pPr>
            <w:bookmarkStart w:id="2" w:name="_Hlk56690880"/>
            <w:r>
              <w:rPr>
                <w:rFonts w:hint="default" w:ascii="Times New Roman" w:hAnsi="Times New Roman" w:eastAsia="宋体" w:cs="Times New Roman"/>
                <w:color w:val="auto"/>
                <w:kern w:val="0"/>
                <w:sz w:val="21"/>
                <w:szCs w:val="21"/>
                <w:highlight w:val="none"/>
              </w:rPr>
              <w:t>其他符合性分析</w:t>
            </w:r>
          </w:p>
        </w:tc>
        <w:tc>
          <w:tcPr>
            <w:tcW w:w="7279" w:type="dxa"/>
            <w:gridSpan w:val="3"/>
            <w:tcMar>
              <w:top w:w="16" w:type="dxa"/>
              <w:left w:w="16" w:type="dxa"/>
              <w:right w:w="16" w:type="dxa"/>
            </w:tcMar>
            <w:vAlign w:val="top"/>
          </w:tcPr>
          <w:p>
            <w:pPr>
              <w:numPr>
                <w:ilvl w:val="0"/>
                <w:numId w:val="0"/>
              </w:numPr>
              <w:autoSpaceDE w:val="0"/>
              <w:autoSpaceDN w:val="0"/>
              <w:adjustRightInd w:val="0"/>
              <w:snapToGrid w:val="0"/>
              <w:spacing w:line="360" w:lineRule="auto"/>
              <w:ind w:leftChars="0"/>
              <w:rPr>
                <w:rFonts w:hint="default"/>
                <w:b/>
                <w:bCs/>
                <w:color w:val="auto"/>
                <w:highlight w:val="none"/>
                <w:lang w:val="en-US" w:eastAsia="zh-CN"/>
              </w:rPr>
            </w:pPr>
            <w:r>
              <w:rPr>
                <w:rFonts w:hint="eastAsia"/>
                <w:b/>
                <w:bCs/>
                <w:color w:val="auto"/>
                <w:highlight w:val="none"/>
                <w:lang w:val="en-US" w:eastAsia="zh-CN"/>
              </w:rPr>
              <w:t>1.2.1与《产业结构调整指导目录（2024年本）》的符合性</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firstLine="420" w:firstLineChars="200"/>
              <w:textAlignment w:val="auto"/>
              <w:rPr>
                <w:rFonts w:hint="default"/>
                <w:b w:val="0"/>
                <w:bCs w:val="0"/>
                <w:color w:val="auto"/>
                <w:highlight w:val="none"/>
                <w:lang w:val="en-US" w:eastAsia="zh-CN"/>
              </w:rPr>
            </w:pPr>
            <w:r>
              <w:rPr>
                <w:rFonts w:hint="eastAsia"/>
                <w:color w:val="auto"/>
                <w:highlight w:val="none"/>
                <w:lang w:val="en-US" w:eastAsia="zh-CN"/>
              </w:rPr>
              <w:t>堰沟水库是一座乡村供水、农业灌溉等综合利用的小（1）型水利工程</w:t>
            </w:r>
            <w:r>
              <w:rPr>
                <w:rFonts w:hint="eastAsia"/>
                <w:color w:val="auto"/>
                <w:highlight w:val="none"/>
              </w:rPr>
              <w:t>，</w:t>
            </w:r>
            <w:r>
              <w:rPr>
                <w:color w:val="auto"/>
                <w:highlight w:val="none"/>
              </w:rPr>
              <w:t>根据《产业结构调整指导目录（20</w:t>
            </w:r>
            <w:r>
              <w:rPr>
                <w:rFonts w:hint="eastAsia"/>
                <w:color w:val="auto"/>
                <w:highlight w:val="none"/>
                <w:lang w:val="en-US" w:eastAsia="zh-CN"/>
              </w:rPr>
              <w:t>24</w:t>
            </w:r>
            <w:r>
              <w:rPr>
                <w:color w:val="auto"/>
                <w:highlight w:val="none"/>
              </w:rPr>
              <w:t>年本）》</w:t>
            </w:r>
            <w:r>
              <w:rPr>
                <w:rFonts w:hint="eastAsia"/>
                <w:color w:val="auto"/>
                <w:highlight w:val="none"/>
                <w:lang w:val="en-US" w:eastAsia="zh-CN"/>
              </w:rPr>
              <w:t>，</w:t>
            </w:r>
            <w:r>
              <w:rPr>
                <w:rFonts w:hint="eastAsia"/>
                <w:b w:val="0"/>
                <w:bCs w:val="0"/>
                <w:color w:val="auto"/>
                <w:highlight w:val="none"/>
                <w:lang w:val="en-US" w:eastAsia="zh-CN"/>
              </w:rPr>
              <w:t>本项目属于“鼓励类”中的“二、水利”中的“2、节水供水工程”。同时，项目已取得了</w:t>
            </w:r>
            <w:r>
              <w:rPr>
                <w:rFonts w:hint="default" w:ascii="Times New Roman" w:hAnsi="Times New Roman" w:cs="Times New Roman"/>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宣汉</w:t>
            </w:r>
            <w:r>
              <w:rPr>
                <w:rFonts w:hint="default" w:ascii="Times New Roman" w:hAnsi="Times New Roman" w:cs="Times New Roman"/>
                <w:color w:val="auto"/>
                <w:kern w:val="0"/>
                <w:sz w:val="21"/>
                <w:szCs w:val="21"/>
                <w:highlight w:val="none"/>
                <w:lang w:val="en-US" w:eastAsia="zh-CN" w:bidi="ar"/>
              </w:rPr>
              <w:t>县发展和改革委员会关于</w:t>
            </w:r>
            <w:r>
              <w:rPr>
                <w:rFonts w:hint="eastAsia" w:cs="Times New Roman"/>
                <w:color w:val="auto"/>
                <w:kern w:val="0"/>
                <w:sz w:val="21"/>
                <w:szCs w:val="21"/>
                <w:highlight w:val="none"/>
                <w:lang w:val="en-US" w:eastAsia="zh-CN" w:bidi="ar"/>
              </w:rPr>
              <w:t>达州市宣汉县堰沟水库</w:t>
            </w:r>
            <w:r>
              <w:rPr>
                <w:rFonts w:hint="default" w:ascii="Times New Roman" w:hAnsi="Times New Roman" w:cs="Times New Roman"/>
                <w:color w:val="auto"/>
                <w:kern w:val="0"/>
                <w:sz w:val="21"/>
                <w:szCs w:val="21"/>
                <w:highlight w:val="none"/>
                <w:lang w:val="en-US" w:eastAsia="zh-CN" w:bidi="ar"/>
              </w:rPr>
              <w:t>工程</w:t>
            </w:r>
            <w:r>
              <w:rPr>
                <w:rFonts w:hint="eastAsia" w:cs="Times New Roman"/>
                <w:color w:val="auto"/>
                <w:kern w:val="0"/>
                <w:sz w:val="21"/>
                <w:szCs w:val="21"/>
                <w:highlight w:val="none"/>
                <w:lang w:val="en-US" w:eastAsia="zh-CN" w:bidi="ar"/>
              </w:rPr>
              <w:t>可行性研究</w:t>
            </w:r>
            <w:r>
              <w:rPr>
                <w:rFonts w:hint="default" w:ascii="Times New Roman" w:hAnsi="Times New Roman" w:cs="Times New Roman"/>
                <w:color w:val="auto"/>
                <w:kern w:val="0"/>
                <w:sz w:val="21"/>
                <w:szCs w:val="21"/>
                <w:highlight w:val="none"/>
                <w:lang w:val="en-US" w:eastAsia="zh-CN" w:bidi="ar"/>
              </w:rPr>
              <w:t>的批复》</w:t>
            </w:r>
            <w:r>
              <w:rPr>
                <w:rFonts w:hint="eastAsia" w:cs="Times New Roman"/>
                <w:color w:val="auto"/>
                <w:kern w:val="0"/>
                <w:sz w:val="21"/>
                <w:szCs w:val="21"/>
                <w:highlight w:val="none"/>
                <w:lang w:val="en-US" w:eastAsia="zh-CN" w:bidi="ar"/>
              </w:rPr>
              <w:t>（</w:t>
            </w:r>
            <w:r>
              <w:rPr>
                <w:rFonts w:hint="default" w:ascii="Times New Roman" w:hAnsi="Times New Roman" w:cs="Times New Roman"/>
                <w:color w:val="auto"/>
                <w:kern w:val="0"/>
                <w:sz w:val="21"/>
                <w:szCs w:val="21"/>
                <w:highlight w:val="none"/>
                <w:lang w:val="en-US" w:eastAsia="zh-CN" w:bidi="ar"/>
              </w:rPr>
              <w:t>宣发改审〔2022〕239号</w:t>
            </w:r>
            <w:r>
              <w:rPr>
                <w:rFonts w:hint="eastAsia" w:cs="Times New Roman"/>
                <w:color w:val="auto"/>
                <w:kern w:val="0"/>
                <w:sz w:val="21"/>
                <w:szCs w:val="21"/>
                <w:highlight w:val="none"/>
                <w:lang w:val="en-US" w:eastAsia="zh-CN" w:bidi="ar"/>
              </w:rPr>
              <w:t>）</w:t>
            </w:r>
            <w:r>
              <w:rPr>
                <w:rFonts w:hint="default" w:ascii="Times New Roman" w:hAnsi="Times New Roman" w:cs="Times New Roman"/>
                <w:color w:val="auto"/>
                <w:kern w:val="0"/>
                <w:sz w:val="21"/>
                <w:szCs w:val="21"/>
                <w:highlight w:val="none"/>
                <w:lang w:val="en-US" w:eastAsia="zh-CN" w:bidi="ar"/>
              </w:rPr>
              <w:t>，项目代码</w:t>
            </w:r>
            <w:r>
              <w:rPr>
                <w:rFonts w:hint="eastAsia" w:ascii="Times New Roman" w:hAnsi="Times New Roman" w:cs="Times New Roman"/>
                <w:color w:val="auto"/>
                <w:kern w:val="0"/>
                <w:sz w:val="21"/>
                <w:szCs w:val="21"/>
                <w:highlight w:val="none"/>
                <w:lang w:val="en-US" w:eastAsia="zh-CN" w:bidi="ar"/>
              </w:rPr>
              <w:t>：</w:t>
            </w:r>
            <w:r>
              <w:rPr>
                <w:rFonts w:hint="default" w:ascii="Times New Roman" w:hAnsi="Times New Roman" w:cs="Times New Roman"/>
                <w:color w:val="auto"/>
                <w:kern w:val="0"/>
                <w:sz w:val="21"/>
                <w:szCs w:val="21"/>
                <w:highlight w:val="none"/>
                <w:lang w:val="en-US" w:eastAsia="zh-CN" w:bidi="ar"/>
              </w:rPr>
              <w:t>2107-511722-19-01-245020。</w:t>
            </w:r>
            <w:r>
              <w:rPr>
                <w:rFonts w:hint="eastAsia" w:ascii="Times New Roman" w:hAnsi="Times New Roman" w:cs="Times New Roman"/>
                <w:color w:val="auto"/>
                <w:kern w:val="0"/>
                <w:sz w:val="21"/>
                <w:szCs w:val="21"/>
                <w:highlight w:val="none"/>
                <w:lang w:val="en-US" w:eastAsia="zh-CN" w:bidi="ar"/>
              </w:rPr>
              <w:t>符合国家产业政策。</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textAlignment w:val="auto"/>
              <w:rPr>
                <w:rFonts w:hint="eastAsia"/>
                <w:b/>
                <w:bCs/>
                <w:color w:val="auto"/>
                <w:highlight w:val="none"/>
                <w:lang w:eastAsia="zh-CN"/>
              </w:rPr>
            </w:pPr>
            <w:r>
              <w:rPr>
                <w:rFonts w:hint="eastAsia"/>
                <w:b/>
                <w:bCs/>
                <w:color w:val="auto"/>
                <w:highlight w:val="none"/>
                <w:lang w:val="en-US" w:eastAsia="zh-CN"/>
              </w:rPr>
              <w:t>1.2.2</w:t>
            </w:r>
            <w:r>
              <w:rPr>
                <w:rFonts w:hint="eastAsia"/>
                <w:b/>
                <w:bCs/>
                <w:color w:val="auto"/>
                <w:highlight w:val="none"/>
                <w:lang w:eastAsia="zh-CN"/>
              </w:rPr>
              <w:t>“三线一单”符合性分析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b/>
                <w:bCs/>
                <w:color w:val="auto"/>
                <w:kern w:val="0"/>
                <w:szCs w:val="21"/>
                <w:highlight w:val="none"/>
              </w:rPr>
            </w:pPr>
            <w:r>
              <w:rPr>
                <w:rFonts w:hint="eastAsia"/>
                <w:b/>
                <w:bCs/>
                <w:color w:val="auto"/>
                <w:kern w:val="0"/>
                <w:szCs w:val="21"/>
                <w:highlight w:val="none"/>
              </w:rPr>
              <w:t>（1）与《关于印发四川省生态保护红线方案的通知》的符合性分析</w:t>
            </w:r>
          </w:p>
          <w:p>
            <w:pPr>
              <w:autoSpaceDE w:val="0"/>
              <w:autoSpaceDN w:val="0"/>
              <w:adjustRightInd w:val="0"/>
              <w:snapToGrid w:val="0"/>
              <w:spacing w:line="440" w:lineRule="exact"/>
              <w:ind w:firstLine="420" w:firstLineChars="200"/>
              <w:rPr>
                <w:color w:val="auto"/>
                <w:kern w:val="0"/>
                <w:szCs w:val="21"/>
                <w:highlight w:val="none"/>
              </w:rPr>
            </w:pPr>
            <w:r>
              <w:rPr>
                <w:color w:val="auto"/>
                <w:kern w:val="0"/>
                <w:szCs w:val="21"/>
                <w:highlight w:val="none"/>
              </w:rPr>
              <w:t>根据四川省人民政府《关于印发四川省生态保护红线方案的通知》（川府发</w:t>
            </w:r>
            <w:r>
              <w:rPr>
                <w:rFonts w:hint="eastAsia"/>
                <w:color w:val="auto"/>
                <w:kern w:val="0"/>
                <w:szCs w:val="21"/>
                <w:highlight w:val="none"/>
              </w:rPr>
              <w:t>〔</w:t>
            </w:r>
            <w:r>
              <w:rPr>
                <w:color w:val="auto"/>
                <w:kern w:val="0"/>
                <w:szCs w:val="21"/>
                <w:highlight w:val="none"/>
              </w:rPr>
              <w:t>2018</w:t>
            </w:r>
            <w:r>
              <w:rPr>
                <w:rFonts w:hint="eastAsia"/>
                <w:color w:val="auto"/>
                <w:kern w:val="0"/>
                <w:szCs w:val="21"/>
                <w:highlight w:val="none"/>
              </w:rPr>
              <w:t>〕</w:t>
            </w:r>
            <w:r>
              <w:rPr>
                <w:color w:val="auto"/>
                <w:kern w:val="0"/>
                <w:szCs w:val="21"/>
                <w:highlight w:val="none"/>
              </w:rPr>
              <w:t>24号），四川省生态保护红线总面积14.80万平方公里，占全省</w:t>
            </w:r>
            <w:r>
              <w:rPr>
                <w:rFonts w:hint="eastAsia"/>
                <w:color w:val="auto"/>
                <w:kern w:val="0"/>
                <w:szCs w:val="21"/>
                <w:highlight w:val="none"/>
                <w:lang w:eastAsia="zh-CN"/>
              </w:rPr>
              <w:t>辖区面积</w:t>
            </w:r>
            <w:r>
              <w:rPr>
                <w:color w:val="auto"/>
                <w:kern w:val="0"/>
                <w:szCs w:val="21"/>
                <w:highlight w:val="none"/>
              </w:rPr>
              <w:t>的30.45</w:t>
            </w:r>
            <w:r>
              <w:rPr>
                <w:rFonts w:hint="eastAsia"/>
                <w:color w:val="auto"/>
                <w:kern w:val="0"/>
                <w:szCs w:val="21"/>
                <w:highlight w:val="none"/>
              </w:rPr>
              <w:t>%</w:t>
            </w:r>
            <w:r>
              <w:rPr>
                <w:color w:val="auto"/>
                <w:kern w:val="0"/>
                <w:szCs w:val="21"/>
                <w:highlight w:val="none"/>
              </w:rPr>
              <w:t>。空间分布格局</w:t>
            </w:r>
            <w:r>
              <w:rPr>
                <w:rFonts w:hint="eastAsia" w:ascii="宋体" w:hAnsi="宋体" w:cs="宋体"/>
                <w:color w:val="auto"/>
                <w:kern w:val="0"/>
                <w:szCs w:val="21"/>
                <w:highlight w:val="none"/>
              </w:rPr>
              <w:t>呈“四轴九核”，</w:t>
            </w:r>
            <w:r>
              <w:rPr>
                <w:color w:val="auto"/>
                <w:kern w:val="0"/>
                <w:szCs w:val="21"/>
                <w:highlight w:val="none"/>
              </w:rPr>
              <w:t>分为5大类13个区块，主要分布在川西高原山地、盆周山地的水源涵养、生物多样性维护、水土保持生态功能富集区和金沙江下游水土流失敏感区、川东南石漠化敏感区。</w:t>
            </w:r>
          </w:p>
          <w:p>
            <w:pPr>
              <w:autoSpaceDE w:val="0"/>
              <w:autoSpaceDN w:val="0"/>
              <w:adjustRightInd w:val="0"/>
              <w:snapToGrid w:val="0"/>
              <w:spacing w:line="440" w:lineRule="exact"/>
              <w:ind w:firstLine="420" w:firstLineChars="200"/>
              <w:rPr>
                <w:rFonts w:hint="eastAsia" w:eastAsia="宋体"/>
                <w:color w:val="auto"/>
                <w:kern w:val="0"/>
                <w:szCs w:val="21"/>
                <w:highlight w:val="none"/>
                <w:lang w:eastAsia="zh-CN"/>
              </w:rPr>
            </w:pPr>
            <w:r>
              <w:rPr>
                <w:color w:val="auto"/>
                <w:kern w:val="0"/>
                <w:szCs w:val="21"/>
                <w:highlight w:val="none"/>
              </w:rPr>
              <w:t>其中，</w:t>
            </w:r>
            <w:r>
              <w:rPr>
                <w:rFonts w:hint="eastAsia"/>
                <w:color w:val="auto"/>
                <w:kern w:val="0"/>
                <w:szCs w:val="21"/>
                <w:highlight w:val="none"/>
                <w:lang w:val="en-US" w:eastAsia="zh-CN"/>
              </w:rPr>
              <w:t>达州市宣汉县</w:t>
            </w:r>
            <w:r>
              <w:rPr>
                <w:color w:val="auto"/>
                <w:kern w:val="0"/>
                <w:szCs w:val="21"/>
                <w:highlight w:val="none"/>
              </w:rPr>
              <w:t>所属的生态红线为</w:t>
            </w:r>
            <w:r>
              <w:rPr>
                <w:rFonts w:hint="eastAsia"/>
                <w:color w:val="auto"/>
                <w:kern w:val="0"/>
                <w:szCs w:val="21"/>
                <w:highlight w:val="none"/>
              </w:rPr>
              <w:t>盆中城市饮用水源—水土保持生态保护红线</w:t>
            </w:r>
            <w:r>
              <w:rPr>
                <w:color w:val="auto"/>
                <w:kern w:val="0"/>
                <w:szCs w:val="21"/>
                <w:highlight w:val="none"/>
              </w:rPr>
              <w:t>，</w:t>
            </w:r>
            <w:r>
              <w:rPr>
                <w:rFonts w:hint="eastAsia"/>
                <w:color w:val="auto"/>
                <w:kern w:val="0"/>
                <w:szCs w:val="21"/>
                <w:highlight w:val="none"/>
              </w:rPr>
              <w:t>该区主体功能区定位为重点开发区域和农产品主产区</w:t>
            </w:r>
            <w:r>
              <w:rPr>
                <w:rFonts w:hint="eastAsia"/>
                <w:color w:val="auto"/>
                <w:kern w:val="0"/>
                <w:szCs w:val="21"/>
                <w:highlight w:val="none"/>
                <w:lang w:eastAsia="zh-CN"/>
              </w:rPr>
              <w:t>，生态保护红线主要以保障城市饮水安全的饮用水水源保护区为主，还有零散分布于四川盆地及成都平原区自然保护区、风景名胜区、湿地公园、地质公园等各类生态保护重要区域。</w:t>
            </w:r>
          </w:p>
          <w:p>
            <w:pPr>
              <w:autoSpaceDE w:val="0"/>
              <w:autoSpaceDN w:val="0"/>
              <w:adjustRightInd w:val="0"/>
              <w:snapToGrid w:val="0"/>
              <w:spacing w:line="440" w:lineRule="exact"/>
              <w:ind w:firstLine="420" w:firstLineChars="200"/>
              <w:rPr>
                <w:color w:val="auto"/>
                <w:kern w:val="0"/>
                <w:szCs w:val="21"/>
                <w:highlight w:val="none"/>
              </w:rPr>
            </w:pPr>
            <w:r>
              <w:rPr>
                <w:color w:val="auto"/>
                <w:kern w:val="0"/>
                <w:szCs w:val="21"/>
                <w:highlight w:val="none"/>
              </w:rPr>
              <w:t>重要保护地：本区域</w:t>
            </w:r>
            <w:r>
              <w:rPr>
                <w:rFonts w:hint="eastAsia"/>
                <w:color w:val="auto"/>
                <w:kern w:val="0"/>
                <w:szCs w:val="21"/>
                <w:highlight w:val="none"/>
              </w:rPr>
              <w:t>分布有32处饮用水水源保护区、6个省级自然保护区、3个国家级风景名胜区、10个省级风景名胜区、1个世界地质公园、5个国家地质公园、1个省级地质公园、2个国家湿地公园、4个省级湿地公园、14个国家级水产种质资源保护区、1个省级水产种质资源保护区、1处世界文化与自然遗产地的部分或全部区域。</w:t>
            </w:r>
          </w:p>
          <w:p>
            <w:pPr>
              <w:autoSpaceDE w:val="0"/>
              <w:autoSpaceDN w:val="0"/>
              <w:adjustRightInd w:val="0"/>
              <w:snapToGrid w:val="0"/>
              <w:spacing w:line="440" w:lineRule="exact"/>
              <w:ind w:firstLine="420" w:firstLineChars="200"/>
              <w:rPr>
                <w:color w:val="auto"/>
                <w:kern w:val="0"/>
                <w:szCs w:val="21"/>
                <w:highlight w:val="none"/>
              </w:rPr>
            </w:pPr>
            <w:r>
              <w:rPr>
                <w:color w:val="auto"/>
                <w:kern w:val="0"/>
                <w:szCs w:val="21"/>
                <w:highlight w:val="none"/>
              </w:rPr>
              <w:t>保护重点：</w:t>
            </w:r>
            <w:r>
              <w:rPr>
                <w:rFonts w:hint="eastAsia"/>
                <w:color w:val="auto"/>
                <w:kern w:val="0"/>
                <w:szCs w:val="21"/>
                <w:highlight w:val="none"/>
              </w:rPr>
              <w:t>严格按照现有相关法律法规对禁止开发区域的管理要求，对生态保护红线实施严格保护，严格控制人为因素对区内自然生态的干扰。</w:t>
            </w:r>
          </w:p>
          <w:p>
            <w:pPr>
              <w:autoSpaceDE w:val="0"/>
              <w:autoSpaceDN w:val="0"/>
              <w:adjustRightInd w:val="0"/>
              <w:snapToGrid w:val="0"/>
              <w:spacing w:line="440" w:lineRule="exact"/>
              <w:ind w:firstLine="420" w:firstLineChars="200"/>
              <w:rPr>
                <w:color w:val="auto"/>
                <w:kern w:val="0"/>
                <w:szCs w:val="21"/>
                <w:highlight w:val="none"/>
              </w:rPr>
            </w:pPr>
            <w:r>
              <w:rPr>
                <w:rFonts w:hint="eastAsia"/>
                <w:color w:val="auto"/>
                <w:kern w:val="0"/>
                <w:szCs w:val="21"/>
                <w:highlight w:val="none"/>
              </w:rPr>
              <w:t>拟建</w:t>
            </w:r>
            <w:r>
              <w:rPr>
                <w:color w:val="auto"/>
                <w:kern w:val="0"/>
                <w:szCs w:val="21"/>
                <w:highlight w:val="none"/>
              </w:rPr>
              <w:t>项目位于</w:t>
            </w:r>
            <w:r>
              <w:rPr>
                <w:rFonts w:hint="eastAsia"/>
                <w:color w:val="auto"/>
                <w:kern w:val="0"/>
                <w:szCs w:val="21"/>
                <w:highlight w:val="none"/>
                <w:lang w:val="en-US" w:eastAsia="zh-CN"/>
              </w:rPr>
              <w:t>达州市宣汉县胡家镇花池社区</w:t>
            </w:r>
            <w:r>
              <w:rPr>
                <w:color w:val="auto"/>
                <w:kern w:val="0"/>
                <w:szCs w:val="21"/>
                <w:highlight w:val="none"/>
              </w:rPr>
              <w:t>，不涉及生态保护红线区域。</w:t>
            </w:r>
          </w:p>
          <w:p>
            <w:pPr>
              <w:autoSpaceDE w:val="0"/>
              <w:autoSpaceDN w:val="0"/>
              <w:adjustRightInd w:val="0"/>
              <w:snapToGrid w:val="0"/>
              <w:spacing w:line="440" w:lineRule="exact"/>
              <w:rPr>
                <w:b/>
                <w:bCs/>
                <w:color w:val="auto"/>
                <w:kern w:val="0"/>
                <w:szCs w:val="21"/>
                <w:highlight w:val="none"/>
              </w:rPr>
            </w:pPr>
            <w:r>
              <w:rPr>
                <w:rFonts w:hint="eastAsia"/>
                <w:b/>
                <w:bCs/>
                <w:color w:val="auto"/>
                <w:kern w:val="0"/>
                <w:szCs w:val="21"/>
                <w:highlight w:val="none"/>
              </w:rPr>
              <w:t>（2）与《四川省人民政府关于落实生态保护红线、环境质量底线、资源利用上线制定生态环境准入清单实施生态环境分区管控的通知》的符合性</w:t>
            </w:r>
          </w:p>
          <w:p>
            <w:pPr>
              <w:autoSpaceDE w:val="0"/>
              <w:autoSpaceDN w:val="0"/>
              <w:adjustRightInd w:val="0"/>
              <w:snapToGrid w:val="0"/>
              <w:spacing w:line="440" w:lineRule="exact"/>
              <w:ind w:firstLine="420" w:firstLineChars="200"/>
              <w:rPr>
                <w:color w:val="auto"/>
                <w:kern w:val="0"/>
                <w:szCs w:val="21"/>
                <w:highlight w:val="none"/>
              </w:rPr>
            </w:pPr>
            <w:r>
              <w:rPr>
                <w:color w:val="auto"/>
                <w:kern w:val="0"/>
                <w:szCs w:val="21"/>
                <w:highlight w:val="none"/>
              </w:rPr>
              <w:t>根据《四川省人民政府关于落实生态保护红线、环境质量底线、资源利用上线制定生态环境准入清单实施生态环境分区管控的通知》（川府发</w:t>
            </w:r>
            <w:r>
              <w:rPr>
                <w:rFonts w:hint="eastAsia"/>
                <w:color w:val="auto"/>
                <w:kern w:val="0"/>
                <w:szCs w:val="21"/>
                <w:highlight w:val="none"/>
              </w:rPr>
              <w:t>〔</w:t>
            </w:r>
            <w:r>
              <w:rPr>
                <w:color w:val="auto"/>
                <w:kern w:val="0"/>
                <w:szCs w:val="21"/>
                <w:highlight w:val="none"/>
              </w:rPr>
              <w:t>2020</w:t>
            </w:r>
            <w:r>
              <w:rPr>
                <w:rFonts w:hint="eastAsia"/>
                <w:color w:val="auto"/>
                <w:kern w:val="0"/>
                <w:szCs w:val="21"/>
                <w:highlight w:val="none"/>
              </w:rPr>
              <w:t>〕</w:t>
            </w:r>
            <w:r>
              <w:rPr>
                <w:color w:val="auto"/>
                <w:kern w:val="0"/>
                <w:szCs w:val="21"/>
                <w:highlight w:val="none"/>
              </w:rPr>
              <w:t>9号），四川省行政区域从生态环境保护角度划分为优先保护、重点管控和一般管控三类环境管控单元。</w:t>
            </w:r>
          </w:p>
          <w:p>
            <w:pPr>
              <w:autoSpaceDE w:val="0"/>
              <w:autoSpaceDN w:val="0"/>
              <w:adjustRightInd w:val="0"/>
              <w:snapToGrid w:val="0"/>
              <w:spacing w:line="440" w:lineRule="exact"/>
              <w:ind w:firstLine="420" w:firstLineChars="200"/>
              <w:rPr>
                <w:rFonts w:hint="default" w:eastAsia="宋体"/>
                <w:color w:val="auto"/>
                <w:kern w:val="0"/>
                <w:szCs w:val="21"/>
                <w:highlight w:val="none"/>
                <w:lang w:val="en-US" w:eastAsia="zh-CN"/>
              </w:rPr>
            </w:pPr>
            <w:r>
              <w:rPr>
                <w:rFonts w:hint="eastAsia"/>
                <w:color w:val="auto"/>
                <w:kern w:val="0"/>
                <w:szCs w:val="21"/>
                <w:highlight w:val="none"/>
                <w:lang w:val="en-US" w:eastAsia="zh-CN"/>
              </w:rPr>
              <w:t>根据四川省“三线一单”符合性分析系统查询结果</w:t>
            </w:r>
          </w:p>
          <w:p>
            <w:pPr>
              <w:autoSpaceDE w:val="0"/>
              <w:autoSpaceDN w:val="0"/>
              <w:adjustRightInd w:val="0"/>
              <w:snapToGrid w:val="0"/>
              <w:spacing w:line="440" w:lineRule="exact"/>
              <w:ind w:firstLine="420" w:firstLineChars="200"/>
              <w:rPr>
                <w:color w:val="auto"/>
                <w:kern w:val="0"/>
                <w:szCs w:val="21"/>
                <w:highlight w:val="none"/>
              </w:rPr>
            </w:pPr>
            <w:r>
              <w:rPr>
                <w:rFonts w:hint="eastAsia" w:eastAsia="宋体"/>
                <w:color w:val="auto"/>
                <w:szCs w:val="21"/>
                <w:highlight w:val="none"/>
                <w:lang w:eastAsia="zh-CN"/>
              </w:rPr>
              <w:drawing>
                <wp:anchor distT="0" distB="0" distL="114300" distR="114300" simplePos="0" relativeHeight="251666432" behindDoc="0" locked="0" layoutInCell="1" allowOverlap="1">
                  <wp:simplePos x="0" y="0"/>
                  <wp:positionH relativeFrom="column">
                    <wp:posOffset>325755</wp:posOffset>
                  </wp:positionH>
                  <wp:positionV relativeFrom="paragraph">
                    <wp:posOffset>145415</wp:posOffset>
                  </wp:positionV>
                  <wp:extent cx="4244975" cy="3159760"/>
                  <wp:effectExtent l="0" t="0" r="3175" b="2540"/>
                  <wp:wrapTopAndBottom/>
                  <wp:docPr id="1" name="图片 1" descr="170601728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06017282124"/>
                          <pic:cNvPicPr>
                            <a:picLocks noChangeAspect="1"/>
                          </pic:cNvPicPr>
                        </pic:nvPicPr>
                        <pic:blipFill>
                          <a:blip r:embed="rId6"/>
                          <a:stretch>
                            <a:fillRect/>
                          </a:stretch>
                        </pic:blipFill>
                        <pic:spPr>
                          <a:xfrm>
                            <a:off x="0" y="0"/>
                            <a:ext cx="4244975" cy="3159760"/>
                          </a:xfrm>
                          <a:prstGeom prst="rect">
                            <a:avLst/>
                          </a:prstGeom>
                        </pic:spPr>
                      </pic:pic>
                    </a:graphicData>
                  </a:graphic>
                </wp:anchor>
              </w:drawing>
            </w:r>
            <w:r>
              <w:rPr>
                <w:color w:val="auto"/>
                <w:kern w:val="0"/>
                <w:szCs w:val="21"/>
                <w:highlight w:val="none"/>
              </w:rPr>
              <w:t>项目位于</w:t>
            </w:r>
            <w:r>
              <w:rPr>
                <w:rFonts w:hint="eastAsia"/>
                <w:color w:val="auto"/>
                <w:kern w:val="0"/>
                <w:szCs w:val="21"/>
                <w:highlight w:val="none"/>
              </w:rPr>
              <w:t>达州市宣汉县环境综合管控单元一般管控单元（管控单元名称：宣汉县一般管控单元，管控单元编号：ZH51172230001）</w:t>
            </w:r>
            <w:r>
              <w:rPr>
                <w:rFonts w:hint="eastAsia"/>
                <w:color w:val="auto"/>
                <w:kern w:val="0"/>
                <w:szCs w:val="21"/>
                <w:highlight w:val="none"/>
                <w:lang w:eastAsia="zh-CN"/>
              </w:rPr>
              <w:t>，</w:t>
            </w:r>
            <w:r>
              <w:rPr>
                <w:color w:val="auto"/>
                <w:kern w:val="0"/>
                <w:szCs w:val="21"/>
                <w:highlight w:val="none"/>
              </w:rPr>
              <w:t>项目与管控单元相对位置如下图所示：（图中▼表示项目位置）</w:t>
            </w:r>
            <w:r>
              <w:rPr>
                <w:rFonts w:hint="eastAsia"/>
                <w:color w:val="auto"/>
                <w:kern w:val="0"/>
                <w:szCs w:val="21"/>
                <w:highlight w:val="none"/>
              </w:rPr>
              <w:t>。</w:t>
            </w:r>
          </w:p>
          <w:p>
            <w:pPr>
              <w:autoSpaceDE w:val="0"/>
              <w:autoSpaceDN w:val="0"/>
              <w:adjustRightInd w:val="0"/>
              <w:snapToGrid w:val="0"/>
              <w:jc w:val="center"/>
              <w:rPr>
                <w:color w:val="auto"/>
                <w:kern w:val="0"/>
                <w:szCs w:val="21"/>
                <w:highlight w:val="none"/>
              </w:rPr>
            </w:pPr>
            <w:r>
              <w:rPr>
                <w:rFonts w:hint="default" w:ascii="Helvetica" w:hAnsi="Helvetica" w:eastAsia="Helvetica"/>
                <w:color w:val="auto"/>
                <w:sz w:val="28"/>
                <w:szCs w:val="24"/>
                <w:highlight w:val="none"/>
              </w:rPr>
              <w:drawing>
                <wp:inline distT="0" distB="0" distL="114300" distR="114300">
                  <wp:extent cx="4004310" cy="2402840"/>
                  <wp:effectExtent l="0" t="0" r="15240" b="1651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4004310" cy="2402840"/>
                          </a:xfrm>
                          <a:prstGeom prst="rect">
                            <a:avLst/>
                          </a:prstGeom>
                          <a:noFill/>
                          <a:ln>
                            <a:noFill/>
                          </a:ln>
                        </pic:spPr>
                      </pic:pic>
                    </a:graphicData>
                  </a:graphic>
                </wp:inline>
              </w:drawing>
            </w:r>
          </w:p>
          <w:p>
            <w:pPr>
              <w:pStyle w:val="15"/>
              <w:spacing w:after="0" w:line="360" w:lineRule="auto"/>
              <w:ind w:left="0" w:leftChars="0" w:firstLine="422"/>
              <w:jc w:val="center"/>
              <w:rPr>
                <w:b/>
                <w:bCs/>
                <w:color w:val="auto"/>
                <w:sz w:val="21"/>
                <w:szCs w:val="21"/>
                <w:highlight w:val="none"/>
              </w:rPr>
            </w:pPr>
            <w:r>
              <w:rPr>
                <w:b/>
                <w:bCs/>
                <w:color w:val="auto"/>
                <w:sz w:val="21"/>
                <w:szCs w:val="21"/>
                <w:highlight w:val="none"/>
              </w:rPr>
              <w:t>图1-1 项目与环境综合管控单元的位置关系图</w:t>
            </w:r>
          </w:p>
          <w:p>
            <w:pPr>
              <w:autoSpaceDE w:val="0"/>
              <w:autoSpaceDN w:val="0"/>
              <w:adjustRightInd w:val="0"/>
              <w:snapToGrid w:val="0"/>
              <w:spacing w:line="440" w:lineRule="exact"/>
              <w:ind w:firstLine="420" w:firstLineChars="200"/>
              <w:rPr>
                <w:rFonts w:hint="eastAsia"/>
                <w:color w:val="auto"/>
                <w:highlight w:val="none"/>
                <w:lang w:val="en-US" w:eastAsia="zh-CN"/>
              </w:rPr>
            </w:pPr>
            <w:r>
              <w:rPr>
                <w:rFonts w:hint="eastAsia"/>
                <w:color w:val="auto"/>
                <w:kern w:val="0"/>
                <w:szCs w:val="21"/>
                <w:highlight w:val="none"/>
              </w:rPr>
              <w:t>拟建项目</w:t>
            </w:r>
            <w:r>
              <w:rPr>
                <w:rFonts w:hint="eastAsia"/>
                <w:color w:val="auto"/>
                <w:kern w:val="0"/>
                <w:szCs w:val="21"/>
                <w:highlight w:val="none"/>
                <w:lang w:eastAsia="zh-CN"/>
              </w:rPr>
              <w:t>涉及</w:t>
            </w:r>
            <w:r>
              <w:rPr>
                <w:rFonts w:hint="eastAsia"/>
                <w:color w:val="auto"/>
                <w:kern w:val="0"/>
                <w:szCs w:val="21"/>
                <w:highlight w:val="none"/>
              </w:rPr>
              <w:t>环境管控单元</w:t>
            </w:r>
            <w:r>
              <w:rPr>
                <w:rFonts w:hint="eastAsia"/>
                <w:color w:val="auto"/>
                <w:kern w:val="0"/>
                <w:szCs w:val="21"/>
                <w:highlight w:val="none"/>
                <w:lang w:val="en-US" w:eastAsia="zh-CN"/>
              </w:rPr>
              <w:t>4</w:t>
            </w:r>
            <w:r>
              <w:rPr>
                <w:rFonts w:hint="eastAsia"/>
                <w:color w:val="auto"/>
                <w:kern w:val="0"/>
                <w:szCs w:val="21"/>
                <w:highlight w:val="none"/>
              </w:rPr>
              <w:t>个，详见下表：</w:t>
            </w:r>
          </w:p>
        </w:tc>
      </w:tr>
    </w:tbl>
    <w:p>
      <w:pPr>
        <w:autoSpaceDE w:val="0"/>
        <w:autoSpaceDN w:val="0"/>
        <w:adjustRightInd w:val="0"/>
        <w:snapToGrid w:val="0"/>
        <w:spacing w:line="360" w:lineRule="auto"/>
        <w:jc w:val="center"/>
        <w:rPr>
          <w:rFonts w:hint="default" w:ascii="Times New Roman" w:hAnsi="Times New Roman" w:eastAsia="宋体" w:cs="Times New Roman"/>
          <w:color w:val="auto"/>
          <w:kern w:val="0"/>
          <w:sz w:val="21"/>
          <w:szCs w:val="21"/>
          <w:highlight w:val="none"/>
        </w:rPr>
        <w:sectPr>
          <w:footerReference r:id="rId4" w:type="default"/>
          <w:pgSz w:w="11906" w:h="16838"/>
          <w:pgMar w:top="1701" w:right="1531" w:bottom="1701" w:left="1531" w:header="851" w:footer="1077" w:gutter="0"/>
          <w:pgNumType w:fmt="numberInDash" w:start="1"/>
          <w:cols w:space="720" w:num="1"/>
          <w:docGrid w:linePitch="312" w:charSpace="0"/>
        </w:sectPr>
      </w:pPr>
    </w:p>
    <w:tbl>
      <w:tblPr>
        <w:tblStyle w:val="29"/>
        <w:tblW w:w="13459" w:type="dxa"/>
        <w:tblInd w:w="17"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08"/>
        <w:gridCol w:w="126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4" w:hRule="atLeast"/>
        </w:trPr>
        <w:tc>
          <w:tcPr>
            <w:tcW w:w="808" w:type="dxa"/>
            <w:tcMar>
              <w:top w:w="16" w:type="dxa"/>
              <w:left w:w="16" w:type="dxa"/>
              <w:right w:w="16" w:type="dxa"/>
            </w:tcMar>
            <w:vAlign w:val="center"/>
          </w:tcPr>
          <w:p>
            <w:pPr>
              <w:autoSpaceDE w:val="0"/>
              <w:autoSpaceDN w:val="0"/>
              <w:adjustRightInd w:val="0"/>
              <w:snapToGrid w:val="0"/>
              <w:spacing w:line="360" w:lineRule="auto"/>
              <w:jc w:val="center"/>
              <w:rPr>
                <w:rFonts w:hint="default" w:ascii="Times New Roman" w:hAnsi="Times New Roman" w:eastAsia="宋体" w:cs="Times New Roman"/>
                <w:color w:val="auto"/>
                <w:kern w:val="0"/>
                <w:sz w:val="21"/>
                <w:szCs w:val="21"/>
                <w:highlight w:val="none"/>
              </w:rPr>
            </w:pPr>
          </w:p>
        </w:tc>
        <w:tc>
          <w:tcPr>
            <w:tcW w:w="12651" w:type="dxa"/>
            <w:tcMar>
              <w:top w:w="16" w:type="dxa"/>
              <w:left w:w="16" w:type="dxa"/>
              <w:right w:w="16" w:type="dxa"/>
            </w:tcMar>
            <w:vAlign w:val="top"/>
          </w:tcPr>
          <w:p>
            <w:pPr>
              <w:autoSpaceDE w:val="0"/>
              <w:autoSpaceDN w:val="0"/>
              <w:adjustRightInd w:val="0"/>
              <w:snapToGrid w:val="0"/>
              <w:spacing w:line="440" w:lineRule="exact"/>
              <w:ind w:firstLine="420" w:firstLineChars="200"/>
              <w:jc w:val="center"/>
              <w:rPr>
                <w:b w:val="0"/>
                <w:bCs w:val="0"/>
                <w:color w:val="auto"/>
                <w:kern w:val="0"/>
                <w:szCs w:val="21"/>
                <w:highlight w:val="none"/>
              </w:rPr>
            </w:pPr>
            <w:r>
              <w:rPr>
                <w:rFonts w:hint="eastAsia"/>
                <w:b w:val="0"/>
                <w:bCs w:val="0"/>
                <w:color w:val="auto"/>
                <w:kern w:val="0"/>
                <w:szCs w:val="21"/>
                <w:highlight w:val="none"/>
              </w:rPr>
              <w:t>表</w:t>
            </w:r>
            <w:r>
              <w:rPr>
                <w:rFonts w:hint="eastAsia"/>
                <w:b w:val="0"/>
                <w:bCs w:val="0"/>
                <w:color w:val="auto"/>
                <w:kern w:val="0"/>
                <w:szCs w:val="21"/>
                <w:highlight w:val="none"/>
                <w:lang w:val="en-US" w:eastAsia="zh-CN"/>
              </w:rPr>
              <w:t>1.2-1</w:t>
            </w:r>
            <w:r>
              <w:rPr>
                <w:rFonts w:hint="eastAsia"/>
                <w:b w:val="0"/>
                <w:bCs w:val="0"/>
                <w:color w:val="auto"/>
                <w:kern w:val="0"/>
                <w:szCs w:val="21"/>
                <w:highlight w:val="none"/>
              </w:rPr>
              <w:t xml:space="preserve"> 拟建项目</w:t>
            </w:r>
            <w:r>
              <w:rPr>
                <w:rFonts w:hint="eastAsia"/>
                <w:b w:val="0"/>
                <w:bCs w:val="0"/>
                <w:color w:val="auto"/>
                <w:kern w:val="0"/>
                <w:szCs w:val="21"/>
                <w:highlight w:val="none"/>
                <w:lang w:eastAsia="zh-CN"/>
              </w:rPr>
              <w:t>涉及</w:t>
            </w:r>
            <w:r>
              <w:rPr>
                <w:rFonts w:hint="eastAsia"/>
                <w:b w:val="0"/>
                <w:bCs w:val="0"/>
                <w:color w:val="auto"/>
                <w:kern w:val="0"/>
                <w:szCs w:val="21"/>
                <w:highlight w:val="none"/>
              </w:rPr>
              <w:t>环境管控单元一览表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5"/>
              <w:gridCol w:w="2460"/>
              <w:gridCol w:w="1410"/>
              <w:gridCol w:w="1185"/>
              <w:gridCol w:w="2385"/>
              <w:gridCol w:w="3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12" w:hRule="atLeast"/>
                <w:tblHeader/>
              </w:trPr>
              <w:tc>
                <w:tcPr>
                  <w:tcW w:w="771" w:type="pct"/>
                  <w:noWrap w:val="0"/>
                  <w:vAlign w:val="center"/>
                </w:tcPr>
                <w:p>
                  <w:pPr>
                    <w:widowControl/>
                    <w:spacing w:line="240" w:lineRule="auto"/>
                    <w:ind w:firstLine="0" w:firstLineChars="0"/>
                    <w:jc w:val="center"/>
                    <w:rPr>
                      <w:rStyle w:val="31"/>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环境管控单元编码</w:t>
                  </w:r>
                </w:p>
              </w:tc>
              <w:tc>
                <w:tcPr>
                  <w:tcW w:w="975" w:type="pct"/>
                  <w:noWrap w:val="0"/>
                  <w:vAlign w:val="center"/>
                </w:tcPr>
                <w:p>
                  <w:pPr>
                    <w:widowControl/>
                    <w:spacing w:line="240" w:lineRule="auto"/>
                    <w:ind w:firstLine="0" w:firstLineChars="0"/>
                    <w:jc w:val="center"/>
                    <w:rPr>
                      <w:rStyle w:val="31"/>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环境管控单元名称</w:t>
                  </w:r>
                </w:p>
              </w:tc>
              <w:tc>
                <w:tcPr>
                  <w:tcW w:w="559" w:type="pct"/>
                  <w:noWrap w:val="0"/>
                  <w:vAlign w:val="center"/>
                </w:tcPr>
                <w:p>
                  <w:pPr>
                    <w:widowControl/>
                    <w:spacing w:line="240" w:lineRule="auto"/>
                    <w:ind w:firstLine="0" w:firstLineChars="0"/>
                    <w:jc w:val="center"/>
                    <w:rPr>
                      <w:rStyle w:val="31"/>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所属市（州）</w:t>
                  </w:r>
                </w:p>
              </w:tc>
              <w:tc>
                <w:tcPr>
                  <w:tcW w:w="469" w:type="pct"/>
                  <w:noWrap w:val="0"/>
                  <w:vAlign w:val="center"/>
                </w:tcPr>
                <w:p>
                  <w:pPr>
                    <w:widowControl/>
                    <w:spacing w:line="240" w:lineRule="auto"/>
                    <w:ind w:firstLine="0" w:firstLineChars="0"/>
                    <w:jc w:val="center"/>
                    <w:rPr>
                      <w:rStyle w:val="31"/>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所属区县</w:t>
                  </w:r>
                </w:p>
              </w:tc>
              <w:tc>
                <w:tcPr>
                  <w:tcW w:w="945" w:type="pct"/>
                  <w:noWrap w:val="0"/>
                  <w:vAlign w:val="center"/>
                </w:tcPr>
                <w:p>
                  <w:pPr>
                    <w:widowControl/>
                    <w:spacing w:line="240" w:lineRule="auto"/>
                    <w:ind w:firstLine="0" w:firstLineChars="0"/>
                    <w:jc w:val="center"/>
                    <w:rPr>
                      <w:rStyle w:val="31"/>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准入清单类型</w:t>
                  </w:r>
                </w:p>
              </w:tc>
              <w:tc>
                <w:tcPr>
                  <w:tcW w:w="1278" w:type="pct"/>
                  <w:noWrap w:val="0"/>
                  <w:vAlign w:val="center"/>
                </w:tcPr>
                <w:p>
                  <w:pPr>
                    <w:widowControl/>
                    <w:spacing w:line="240" w:lineRule="auto"/>
                    <w:ind w:firstLine="0" w:firstLineChars="0"/>
                    <w:jc w:val="center"/>
                    <w:rPr>
                      <w:rStyle w:val="31"/>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71" w:type="pct"/>
                  <w:noWrap w:val="0"/>
                  <w:vAlign w:val="center"/>
                </w:tcPr>
                <w:p>
                  <w:pPr>
                    <w:pStyle w:val="97"/>
                    <w:widowControl/>
                    <w:spacing w:line="240" w:lineRule="auto"/>
                    <w:ind w:firstLine="0" w:firstLineChars="0"/>
                    <w:jc w:val="center"/>
                    <w:rPr>
                      <w:rStyle w:val="31"/>
                      <w:rFonts w:hint="default" w:ascii="Times New Roman" w:hAnsi="Times New Roman" w:eastAsia="宋体" w:cs="Times New Roman"/>
                      <w:color w:val="auto"/>
                      <w:kern w:val="2"/>
                      <w:sz w:val="21"/>
                      <w:szCs w:val="21"/>
                      <w:highlight w:val="none"/>
                      <w:lang w:val="en-US" w:eastAsia="zh-CN" w:bidi="ar-SA"/>
                    </w:rPr>
                  </w:pPr>
                  <w:r>
                    <w:rPr>
                      <w:rStyle w:val="31"/>
                      <w:rFonts w:hint="default" w:ascii="Times New Roman" w:hAnsi="Times New Roman" w:eastAsia="宋体" w:cs="Times New Roman"/>
                      <w:color w:val="auto"/>
                      <w:kern w:val="2"/>
                      <w:sz w:val="21"/>
                      <w:szCs w:val="21"/>
                      <w:highlight w:val="none"/>
                      <w:lang w:val="en-US" w:eastAsia="zh-CN" w:bidi="ar-SA"/>
                    </w:rPr>
                    <w:t>ZH51172230001</w:t>
                  </w:r>
                </w:p>
              </w:tc>
              <w:tc>
                <w:tcPr>
                  <w:tcW w:w="975" w:type="pct"/>
                  <w:noWrap w:val="0"/>
                  <w:vAlign w:val="center"/>
                </w:tcPr>
                <w:p>
                  <w:pPr>
                    <w:pStyle w:val="97"/>
                    <w:widowControl/>
                    <w:spacing w:line="240" w:lineRule="auto"/>
                    <w:ind w:firstLine="0" w:firstLineChars="0"/>
                    <w:jc w:val="center"/>
                    <w:rPr>
                      <w:rStyle w:val="31"/>
                      <w:rFonts w:hint="default" w:ascii="Times New Roman" w:hAnsi="Times New Roman" w:eastAsia="宋体" w:cs="Times New Roman"/>
                      <w:color w:val="auto"/>
                      <w:kern w:val="2"/>
                      <w:sz w:val="21"/>
                      <w:szCs w:val="21"/>
                      <w:highlight w:val="none"/>
                      <w:lang w:val="en-US" w:eastAsia="zh-CN" w:bidi="ar-SA"/>
                    </w:rPr>
                  </w:pPr>
                  <w:r>
                    <w:rPr>
                      <w:rStyle w:val="31"/>
                      <w:rFonts w:hint="default" w:ascii="Times New Roman" w:hAnsi="Times New Roman" w:eastAsia="宋体" w:cs="Times New Roman"/>
                      <w:color w:val="auto"/>
                      <w:kern w:val="2"/>
                      <w:sz w:val="21"/>
                      <w:szCs w:val="21"/>
                      <w:highlight w:val="none"/>
                      <w:lang w:val="en-US" w:eastAsia="zh-CN" w:bidi="ar-SA"/>
                    </w:rPr>
                    <w:t>宣汉县一般管控单元</w:t>
                  </w:r>
                </w:p>
              </w:tc>
              <w:tc>
                <w:tcPr>
                  <w:tcW w:w="559" w:type="pct"/>
                  <w:noWrap w:val="0"/>
                  <w:vAlign w:val="center"/>
                </w:tcPr>
                <w:p>
                  <w:pPr>
                    <w:pStyle w:val="97"/>
                    <w:widowControl/>
                    <w:spacing w:line="240" w:lineRule="auto"/>
                    <w:ind w:firstLine="0" w:firstLineChars="0"/>
                    <w:jc w:val="center"/>
                    <w:rPr>
                      <w:rStyle w:val="31"/>
                      <w:rFonts w:hint="default" w:ascii="Times New Roman" w:hAnsi="Times New Roman" w:eastAsia="宋体" w:cs="Times New Roman"/>
                      <w:color w:val="auto"/>
                      <w:kern w:val="2"/>
                      <w:sz w:val="21"/>
                      <w:szCs w:val="21"/>
                      <w:highlight w:val="none"/>
                      <w:lang w:val="en-US" w:eastAsia="zh-CN" w:bidi="ar-SA"/>
                    </w:rPr>
                  </w:pPr>
                  <w:r>
                    <w:rPr>
                      <w:rStyle w:val="31"/>
                      <w:rFonts w:hint="default" w:ascii="Times New Roman" w:hAnsi="Times New Roman" w:eastAsia="宋体" w:cs="Times New Roman"/>
                      <w:color w:val="auto"/>
                      <w:kern w:val="2"/>
                      <w:sz w:val="21"/>
                      <w:szCs w:val="21"/>
                      <w:highlight w:val="none"/>
                      <w:lang w:val="en-US" w:eastAsia="zh-CN" w:bidi="ar-SA"/>
                    </w:rPr>
                    <w:t>达州市</w:t>
                  </w:r>
                </w:p>
              </w:tc>
              <w:tc>
                <w:tcPr>
                  <w:tcW w:w="469" w:type="pct"/>
                  <w:noWrap w:val="0"/>
                  <w:vAlign w:val="center"/>
                </w:tcPr>
                <w:p>
                  <w:pPr>
                    <w:pStyle w:val="97"/>
                    <w:widowControl/>
                    <w:spacing w:line="240" w:lineRule="auto"/>
                    <w:ind w:firstLine="0" w:firstLineChars="0"/>
                    <w:jc w:val="center"/>
                    <w:rPr>
                      <w:rStyle w:val="31"/>
                      <w:rFonts w:hint="default" w:ascii="Times New Roman" w:hAnsi="Times New Roman" w:eastAsia="宋体" w:cs="Times New Roman"/>
                      <w:color w:val="auto"/>
                      <w:kern w:val="2"/>
                      <w:sz w:val="21"/>
                      <w:szCs w:val="21"/>
                      <w:highlight w:val="none"/>
                      <w:lang w:val="en-US" w:eastAsia="zh-CN" w:bidi="ar-SA"/>
                    </w:rPr>
                  </w:pPr>
                  <w:r>
                    <w:rPr>
                      <w:rStyle w:val="31"/>
                      <w:rFonts w:hint="default" w:ascii="Times New Roman" w:hAnsi="Times New Roman" w:eastAsia="宋体" w:cs="Times New Roman"/>
                      <w:color w:val="auto"/>
                      <w:kern w:val="2"/>
                      <w:sz w:val="21"/>
                      <w:szCs w:val="21"/>
                      <w:highlight w:val="none"/>
                      <w:lang w:val="en-US" w:eastAsia="zh-CN" w:bidi="ar-SA"/>
                    </w:rPr>
                    <w:t>宣汉县</w:t>
                  </w:r>
                </w:p>
              </w:tc>
              <w:tc>
                <w:tcPr>
                  <w:tcW w:w="945" w:type="pct"/>
                  <w:noWrap w:val="0"/>
                  <w:vAlign w:val="center"/>
                </w:tcPr>
                <w:p>
                  <w:pPr>
                    <w:pStyle w:val="97"/>
                    <w:widowControl/>
                    <w:spacing w:line="240" w:lineRule="auto"/>
                    <w:ind w:firstLine="0" w:firstLineChars="0"/>
                    <w:jc w:val="center"/>
                    <w:rPr>
                      <w:rStyle w:val="31"/>
                      <w:rFonts w:hint="default" w:ascii="Times New Roman" w:hAnsi="Times New Roman" w:eastAsia="宋体" w:cs="Times New Roman"/>
                      <w:color w:val="auto"/>
                      <w:kern w:val="2"/>
                      <w:sz w:val="21"/>
                      <w:szCs w:val="21"/>
                      <w:highlight w:val="none"/>
                      <w:lang w:val="en-US" w:eastAsia="zh-CN" w:bidi="ar-SA"/>
                    </w:rPr>
                  </w:pPr>
                  <w:r>
                    <w:rPr>
                      <w:rStyle w:val="31"/>
                      <w:rFonts w:hint="default" w:ascii="Times New Roman" w:hAnsi="Times New Roman" w:eastAsia="宋体" w:cs="Times New Roman"/>
                      <w:color w:val="auto"/>
                      <w:kern w:val="2"/>
                      <w:sz w:val="21"/>
                      <w:szCs w:val="21"/>
                      <w:highlight w:val="none"/>
                      <w:lang w:val="en-US" w:eastAsia="zh-CN" w:bidi="ar-SA"/>
                    </w:rPr>
                    <w:t>环境管控单元</w:t>
                  </w:r>
                </w:p>
              </w:tc>
              <w:tc>
                <w:tcPr>
                  <w:tcW w:w="1278" w:type="pct"/>
                  <w:noWrap w:val="0"/>
                  <w:vAlign w:val="center"/>
                </w:tcPr>
                <w:p>
                  <w:pPr>
                    <w:pStyle w:val="97"/>
                    <w:widowControl/>
                    <w:spacing w:line="240" w:lineRule="auto"/>
                    <w:ind w:firstLine="0" w:firstLineChars="0"/>
                    <w:jc w:val="center"/>
                    <w:rPr>
                      <w:rStyle w:val="31"/>
                      <w:rFonts w:hint="default" w:ascii="Times New Roman" w:hAnsi="Times New Roman" w:eastAsia="宋体" w:cs="Times New Roman"/>
                      <w:color w:val="auto"/>
                      <w:kern w:val="2"/>
                      <w:sz w:val="21"/>
                      <w:szCs w:val="21"/>
                      <w:highlight w:val="none"/>
                      <w:lang w:val="en-US" w:eastAsia="zh-CN" w:bidi="ar-SA"/>
                    </w:rPr>
                  </w:pPr>
                  <w:r>
                    <w:rPr>
                      <w:rStyle w:val="31"/>
                      <w:rFonts w:hint="default" w:ascii="Times New Roman" w:hAnsi="Times New Roman" w:eastAsia="宋体" w:cs="Times New Roman"/>
                      <w:color w:val="auto"/>
                      <w:kern w:val="2"/>
                      <w:sz w:val="21"/>
                      <w:szCs w:val="21"/>
                      <w:highlight w:val="none"/>
                      <w:lang w:val="en-US" w:eastAsia="zh-CN" w:bidi="ar-SA"/>
                    </w:rPr>
                    <w:t>环境综合管控单元一般管控单元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71" w:type="pct"/>
                  <w:noWrap w:val="0"/>
                  <w:vAlign w:val="center"/>
                </w:tcPr>
                <w:p>
                  <w:pPr>
                    <w:pStyle w:val="97"/>
                    <w:widowControl/>
                    <w:spacing w:line="240" w:lineRule="auto"/>
                    <w:ind w:firstLine="0" w:firstLineChars="0"/>
                    <w:jc w:val="center"/>
                    <w:rPr>
                      <w:rStyle w:val="31"/>
                      <w:rFonts w:hint="default" w:ascii="Times New Roman" w:hAnsi="Times New Roman" w:eastAsia="宋体" w:cs="Times New Roman"/>
                      <w:color w:val="auto"/>
                      <w:kern w:val="2"/>
                      <w:sz w:val="21"/>
                      <w:szCs w:val="21"/>
                      <w:highlight w:val="none"/>
                      <w:lang w:val="en-US" w:eastAsia="zh-CN" w:bidi="ar-SA"/>
                    </w:rPr>
                  </w:pPr>
                  <w:r>
                    <w:rPr>
                      <w:rStyle w:val="31"/>
                      <w:rFonts w:hint="default" w:ascii="Times New Roman" w:hAnsi="Times New Roman" w:eastAsia="宋体" w:cs="Times New Roman"/>
                      <w:color w:val="auto"/>
                      <w:kern w:val="2"/>
                      <w:sz w:val="21"/>
                      <w:szCs w:val="21"/>
                      <w:highlight w:val="none"/>
                      <w:lang w:val="en-US" w:eastAsia="zh-CN" w:bidi="ar-SA"/>
                    </w:rPr>
                    <w:t>YS5117223210004</w:t>
                  </w:r>
                </w:p>
              </w:tc>
              <w:tc>
                <w:tcPr>
                  <w:tcW w:w="975" w:type="pct"/>
                  <w:noWrap w:val="0"/>
                  <w:vAlign w:val="center"/>
                </w:tcPr>
                <w:p>
                  <w:pPr>
                    <w:pStyle w:val="97"/>
                    <w:widowControl/>
                    <w:spacing w:line="240" w:lineRule="auto"/>
                    <w:ind w:firstLine="0" w:firstLineChars="0"/>
                    <w:jc w:val="center"/>
                    <w:rPr>
                      <w:rStyle w:val="31"/>
                      <w:rFonts w:hint="default" w:ascii="Times New Roman" w:hAnsi="Times New Roman" w:eastAsia="宋体" w:cs="Times New Roman"/>
                      <w:color w:val="auto"/>
                      <w:kern w:val="2"/>
                      <w:sz w:val="21"/>
                      <w:szCs w:val="21"/>
                      <w:highlight w:val="none"/>
                      <w:lang w:val="en-US" w:eastAsia="zh-CN" w:bidi="ar-SA"/>
                    </w:rPr>
                  </w:pPr>
                  <w:r>
                    <w:rPr>
                      <w:rStyle w:val="31"/>
                      <w:rFonts w:hint="default" w:ascii="Times New Roman" w:hAnsi="Times New Roman" w:eastAsia="宋体" w:cs="Times New Roman"/>
                      <w:color w:val="auto"/>
                      <w:kern w:val="2"/>
                      <w:sz w:val="21"/>
                      <w:szCs w:val="21"/>
                      <w:highlight w:val="none"/>
                      <w:lang w:val="en-US" w:eastAsia="zh-CN" w:bidi="ar-SA"/>
                    </w:rPr>
                    <w:t>长滩河宣汉县控制单元</w:t>
                  </w:r>
                </w:p>
              </w:tc>
              <w:tc>
                <w:tcPr>
                  <w:tcW w:w="559" w:type="pct"/>
                  <w:noWrap w:val="0"/>
                  <w:vAlign w:val="center"/>
                </w:tcPr>
                <w:p>
                  <w:pPr>
                    <w:pStyle w:val="97"/>
                    <w:widowControl/>
                    <w:spacing w:line="240" w:lineRule="auto"/>
                    <w:ind w:firstLine="0" w:firstLineChars="0"/>
                    <w:jc w:val="center"/>
                    <w:rPr>
                      <w:rStyle w:val="31"/>
                      <w:rFonts w:hint="default" w:ascii="Times New Roman" w:hAnsi="Times New Roman" w:eastAsia="宋体" w:cs="Times New Roman"/>
                      <w:color w:val="auto"/>
                      <w:kern w:val="2"/>
                      <w:sz w:val="21"/>
                      <w:szCs w:val="21"/>
                      <w:highlight w:val="none"/>
                      <w:lang w:val="en-US" w:eastAsia="zh-CN" w:bidi="ar-SA"/>
                    </w:rPr>
                  </w:pPr>
                  <w:r>
                    <w:rPr>
                      <w:rStyle w:val="31"/>
                      <w:rFonts w:hint="default" w:ascii="Times New Roman" w:hAnsi="Times New Roman" w:eastAsia="宋体" w:cs="Times New Roman"/>
                      <w:color w:val="auto"/>
                      <w:kern w:val="2"/>
                      <w:sz w:val="21"/>
                      <w:szCs w:val="21"/>
                      <w:highlight w:val="none"/>
                      <w:lang w:val="en-US" w:eastAsia="zh-CN" w:bidi="ar-SA"/>
                    </w:rPr>
                    <w:t>达州市</w:t>
                  </w:r>
                </w:p>
              </w:tc>
              <w:tc>
                <w:tcPr>
                  <w:tcW w:w="469" w:type="pct"/>
                  <w:noWrap w:val="0"/>
                  <w:vAlign w:val="center"/>
                </w:tcPr>
                <w:p>
                  <w:pPr>
                    <w:pStyle w:val="97"/>
                    <w:widowControl/>
                    <w:spacing w:line="240" w:lineRule="auto"/>
                    <w:ind w:firstLine="0" w:firstLineChars="0"/>
                    <w:jc w:val="center"/>
                    <w:rPr>
                      <w:rStyle w:val="31"/>
                      <w:rFonts w:hint="default" w:ascii="Times New Roman" w:hAnsi="Times New Roman" w:eastAsia="宋体" w:cs="Times New Roman"/>
                      <w:color w:val="auto"/>
                      <w:kern w:val="2"/>
                      <w:sz w:val="21"/>
                      <w:szCs w:val="21"/>
                      <w:highlight w:val="none"/>
                      <w:lang w:val="en-US" w:eastAsia="zh-CN" w:bidi="ar-SA"/>
                    </w:rPr>
                  </w:pPr>
                  <w:r>
                    <w:rPr>
                      <w:rStyle w:val="31"/>
                      <w:rFonts w:hint="default" w:ascii="Times New Roman" w:hAnsi="Times New Roman" w:eastAsia="宋体" w:cs="Times New Roman"/>
                      <w:color w:val="auto"/>
                      <w:kern w:val="2"/>
                      <w:sz w:val="21"/>
                      <w:szCs w:val="21"/>
                      <w:highlight w:val="none"/>
                      <w:lang w:val="en-US" w:eastAsia="zh-CN" w:bidi="ar-SA"/>
                    </w:rPr>
                    <w:t>宣汉县</w:t>
                  </w:r>
                </w:p>
              </w:tc>
              <w:tc>
                <w:tcPr>
                  <w:tcW w:w="945" w:type="pct"/>
                  <w:noWrap w:val="0"/>
                  <w:vAlign w:val="center"/>
                </w:tcPr>
                <w:p>
                  <w:pPr>
                    <w:pStyle w:val="97"/>
                    <w:widowControl/>
                    <w:spacing w:line="240" w:lineRule="auto"/>
                    <w:ind w:firstLine="0" w:firstLineChars="0"/>
                    <w:jc w:val="center"/>
                    <w:rPr>
                      <w:rStyle w:val="31"/>
                      <w:rFonts w:hint="default" w:ascii="Times New Roman" w:hAnsi="Times New Roman" w:eastAsia="宋体" w:cs="Times New Roman"/>
                      <w:color w:val="auto"/>
                      <w:kern w:val="2"/>
                      <w:sz w:val="21"/>
                      <w:szCs w:val="21"/>
                      <w:highlight w:val="none"/>
                      <w:lang w:val="en-US" w:eastAsia="zh-CN" w:bidi="ar-SA"/>
                    </w:rPr>
                  </w:pPr>
                  <w:r>
                    <w:rPr>
                      <w:rStyle w:val="31"/>
                      <w:rFonts w:hint="default" w:ascii="Times New Roman" w:hAnsi="Times New Roman" w:eastAsia="宋体" w:cs="Times New Roman"/>
                      <w:color w:val="auto"/>
                      <w:kern w:val="2"/>
                      <w:sz w:val="21"/>
                      <w:szCs w:val="21"/>
                      <w:highlight w:val="none"/>
                      <w:lang w:val="en-US" w:eastAsia="zh-CN" w:bidi="ar-SA"/>
                    </w:rPr>
                    <w:t>水环境管控分区</w:t>
                  </w:r>
                </w:p>
              </w:tc>
              <w:tc>
                <w:tcPr>
                  <w:tcW w:w="1278" w:type="pct"/>
                  <w:noWrap w:val="0"/>
                  <w:vAlign w:val="center"/>
                </w:tcPr>
                <w:p>
                  <w:pPr>
                    <w:pStyle w:val="97"/>
                    <w:widowControl/>
                    <w:spacing w:line="240" w:lineRule="auto"/>
                    <w:ind w:firstLine="0" w:firstLineChars="0"/>
                    <w:jc w:val="center"/>
                    <w:rPr>
                      <w:rStyle w:val="31"/>
                      <w:rFonts w:hint="default" w:ascii="Times New Roman" w:hAnsi="Times New Roman" w:eastAsia="宋体" w:cs="Times New Roman"/>
                      <w:color w:val="auto"/>
                      <w:kern w:val="2"/>
                      <w:sz w:val="21"/>
                      <w:szCs w:val="21"/>
                      <w:highlight w:val="none"/>
                      <w:lang w:val="en-US" w:eastAsia="zh-CN" w:bidi="ar-SA"/>
                    </w:rPr>
                  </w:pPr>
                  <w:r>
                    <w:rPr>
                      <w:rStyle w:val="31"/>
                      <w:rFonts w:hint="default" w:ascii="Times New Roman" w:hAnsi="Times New Roman" w:eastAsia="宋体" w:cs="Times New Roman"/>
                      <w:color w:val="auto"/>
                      <w:kern w:val="2"/>
                      <w:sz w:val="21"/>
                      <w:szCs w:val="21"/>
                      <w:highlight w:val="none"/>
                      <w:lang w:val="en-US" w:eastAsia="zh-CN" w:bidi="ar-SA"/>
                    </w:rPr>
                    <w:t>水环境一般管控区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71" w:type="pct"/>
                  <w:noWrap w:val="0"/>
                  <w:vAlign w:val="center"/>
                </w:tcPr>
                <w:p>
                  <w:pPr>
                    <w:pStyle w:val="97"/>
                    <w:widowControl/>
                    <w:spacing w:line="240" w:lineRule="auto"/>
                    <w:ind w:firstLine="0" w:firstLineChars="0"/>
                    <w:jc w:val="center"/>
                    <w:rPr>
                      <w:rStyle w:val="31"/>
                      <w:rFonts w:hint="default" w:ascii="Times New Roman" w:hAnsi="Times New Roman" w:eastAsia="宋体" w:cs="Times New Roman"/>
                      <w:color w:val="auto"/>
                      <w:kern w:val="2"/>
                      <w:sz w:val="21"/>
                      <w:szCs w:val="21"/>
                      <w:highlight w:val="none"/>
                      <w:lang w:val="en-US" w:eastAsia="zh-CN" w:bidi="ar-SA"/>
                    </w:rPr>
                  </w:pPr>
                  <w:r>
                    <w:rPr>
                      <w:rStyle w:val="31"/>
                      <w:rFonts w:hint="default" w:ascii="Times New Roman" w:hAnsi="Times New Roman" w:eastAsia="宋体" w:cs="Times New Roman"/>
                      <w:color w:val="auto"/>
                      <w:kern w:val="2"/>
                      <w:sz w:val="21"/>
                      <w:szCs w:val="21"/>
                      <w:highlight w:val="none"/>
                      <w:lang w:val="en-US" w:eastAsia="zh-CN" w:bidi="ar-SA"/>
                    </w:rPr>
                    <w:t>YS5117223310001</w:t>
                  </w:r>
                </w:p>
              </w:tc>
              <w:tc>
                <w:tcPr>
                  <w:tcW w:w="975" w:type="pct"/>
                  <w:noWrap w:val="0"/>
                  <w:vAlign w:val="center"/>
                </w:tcPr>
                <w:p>
                  <w:pPr>
                    <w:pStyle w:val="97"/>
                    <w:widowControl/>
                    <w:spacing w:line="240" w:lineRule="auto"/>
                    <w:ind w:firstLine="0" w:firstLineChars="0"/>
                    <w:jc w:val="center"/>
                    <w:rPr>
                      <w:rStyle w:val="31"/>
                      <w:rFonts w:hint="default" w:ascii="Times New Roman" w:hAnsi="Times New Roman" w:eastAsia="宋体" w:cs="Times New Roman"/>
                      <w:color w:val="auto"/>
                      <w:kern w:val="2"/>
                      <w:sz w:val="21"/>
                      <w:szCs w:val="21"/>
                      <w:highlight w:val="none"/>
                      <w:lang w:val="en-US" w:eastAsia="zh-CN" w:bidi="ar-SA"/>
                    </w:rPr>
                  </w:pPr>
                  <w:r>
                    <w:rPr>
                      <w:rStyle w:val="31"/>
                      <w:rFonts w:hint="default" w:ascii="Times New Roman" w:hAnsi="Times New Roman" w:eastAsia="宋体" w:cs="Times New Roman"/>
                      <w:color w:val="auto"/>
                      <w:kern w:val="2"/>
                      <w:sz w:val="21"/>
                      <w:szCs w:val="21"/>
                      <w:highlight w:val="none"/>
                      <w:lang w:val="en-US" w:eastAsia="zh-CN" w:bidi="ar-SA"/>
                    </w:rPr>
                    <w:t>宣汉县大气环境一般管控区</w:t>
                  </w:r>
                </w:p>
              </w:tc>
              <w:tc>
                <w:tcPr>
                  <w:tcW w:w="559" w:type="pct"/>
                  <w:noWrap w:val="0"/>
                  <w:vAlign w:val="center"/>
                </w:tcPr>
                <w:p>
                  <w:pPr>
                    <w:pStyle w:val="97"/>
                    <w:widowControl/>
                    <w:spacing w:line="240" w:lineRule="auto"/>
                    <w:ind w:firstLine="0" w:firstLineChars="0"/>
                    <w:jc w:val="center"/>
                    <w:rPr>
                      <w:rStyle w:val="31"/>
                      <w:rFonts w:hint="default" w:ascii="Times New Roman" w:hAnsi="Times New Roman" w:eastAsia="宋体" w:cs="Times New Roman"/>
                      <w:color w:val="auto"/>
                      <w:kern w:val="2"/>
                      <w:sz w:val="21"/>
                      <w:szCs w:val="21"/>
                      <w:highlight w:val="none"/>
                      <w:lang w:val="en-US" w:eastAsia="zh-CN" w:bidi="ar-SA"/>
                    </w:rPr>
                  </w:pPr>
                  <w:r>
                    <w:rPr>
                      <w:rStyle w:val="31"/>
                      <w:rFonts w:hint="default" w:ascii="Times New Roman" w:hAnsi="Times New Roman" w:eastAsia="宋体" w:cs="Times New Roman"/>
                      <w:color w:val="auto"/>
                      <w:kern w:val="2"/>
                      <w:sz w:val="21"/>
                      <w:szCs w:val="21"/>
                      <w:highlight w:val="none"/>
                      <w:lang w:val="en-US" w:eastAsia="zh-CN" w:bidi="ar-SA"/>
                    </w:rPr>
                    <w:t>达州市</w:t>
                  </w:r>
                </w:p>
              </w:tc>
              <w:tc>
                <w:tcPr>
                  <w:tcW w:w="469" w:type="pct"/>
                  <w:noWrap w:val="0"/>
                  <w:vAlign w:val="center"/>
                </w:tcPr>
                <w:p>
                  <w:pPr>
                    <w:pStyle w:val="97"/>
                    <w:widowControl/>
                    <w:spacing w:line="240" w:lineRule="auto"/>
                    <w:ind w:firstLine="0" w:firstLineChars="0"/>
                    <w:jc w:val="center"/>
                    <w:rPr>
                      <w:rStyle w:val="31"/>
                      <w:rFonts w:hint="default" w:ascii="Times New Roman" w:hAnsi="Times New Roman" w:eastAsia="宋体" w:cs="Times New Roman"/>
                      <w:color w:val="auto"/>
                      <w:kern w:val="2"/>
                      <w:sz w:val="21"/>
                      <w:szCs w:val="21"/>
                      <w:highlight w:val="none"/>
                      <w:lang w:val="en-US" w:eastAsia="zh-CN" w:bidi="ar-SA"/>
                    </w:rPr>
                  </w:pPr>
                  <w:r>
                    <w:rPr>
                      <w:rStyle w:val="31"/>
                      <w:rFonts w:hint="default" w:ascii="Times New Roman" w:hAnsi="Times New Roman" w:eastAsia="宋体" w:cs="Times New Roman"/>
                      <w:color w:val="auto"/>
                      <w:kern w:val="2"/>
                      <w:sz w:val="21"/>
                      <w:szCs w:val="21"/>
                      <w:highlight w:val="none"/>
                      <w:lang w:val="en-US" w:eastAsia="zh-CN" w:bidi="ar-SA"/>
                    </w:rPr>
                    <w:t>宣汉县</w:t>
                  </w:r>
                </w:p>
              </w:tc>
              <w:tc>
                <w:tcPr>
                  <w:tcW w:w="945" w:type="pct"/>
                  <w:noWrap w:val="0"/>
                  <w:vAlign w:val="center"/>
                </w:tcPr>
                <w:p>
                  <w:pPr>
                    <w:pStyle w:val="97"/>
                    <w:widowControl/>
                    <w:spacing w:line="240" w:lineRule="auto"/>
                    <w:ind w:firstLine="0" w:firstLineChars="0"/>
                    <w:jc w:val="center"/>
                    <w:rPr>
                      <w:rStyle w:val="31"/>
                      <w:rFonts w:hint="default" w:ascii="Times New Roman" w:hAnsi="Times New Roman" w:eastAsia="宋体" w:cs="Times New Roman"/>
                      <w:color w:val="auto"/>
                      <w:kern w:val="2"/>
                      <w:sz w:val="21"/>
                      <w:szCs w:val="21"/>
                      <w:highlight w:val="none"/>
                      <w:lang w:val="en-US" w:eastAsia="zh-CN" w:bidi="ar-SA"/>
                    </w:rPr>
                  </w:pPr>
                  <w:r>
                    <w:rPr>
                      <w:rStyle w:val="31"/>
                      <w:rFonts w:hint="default" w:ascii="Times New Roman" w:hAnsi="Times New Roman" w:eastAsia="宋体" w:cs="Times New Roman"/>
                      <w:color w:val="auto"/>
                      <w:kern w:val="2"/>
                      <w:sz w:val="21"/>
                      <w:szCs w:val="21"/>
                      <w:highlight w:val="none"/>
                      <w:lang w:val="en-US" w:eastAsia="zh-CN" w:bidi="ar-SA"/>
                    </w:rPr>
                    <w:t>大气环境管控分区</w:t>
                  </w:r>
                </w:p>
              </w:tc>
              <w:tc>
                <w:tcPr>
                  <w:tcW w:w="1278" w:type="pct"/>
                  <w:noWrap w:val="0"/>
                  <w:vAlign w:val="center"/>
                </w:tcPr>
                <w:p>
                  <w:pPr>
                    <w:pStyle w:val="97"/>
                    <w:widowControl/>
                    <w:spacing w:line="240" w:lineRule="auto"/>
                    <w:ind w:firstLine="0" w:firstLineChars="0"/>
                    <w:jc w:val="center"/>
                    <w:rPr>
                      <w:rStyle w:val="31"/>
                      <w:rFonts w:hint="default" w:ascii="Times New Roman" w:hAnsi="Times New Roman" w:eastAsia="宋体" w:cs="Times New Roman"/>
                      <w:color w:val="auto"/>
                      <w:kern w:val="2"/>
                      <w:sz w:val="21"/>
                      <w:szCs w:val="21"/>
                      <w:highlight w:val="none"/>
                      <w:lang w:val="en-US" w:eastAsia="zh-CN" w:bidi="ar-SA"/>
                    </w:rPr>
                  </w:pPr>
                  <w:r>
                    <w:rPr>
                      <w:rStyle w:val="31"/>
                      <w:rFonts w:hint="default" w:ascii="Times New Roman" w:hAnsi="Times New Roman" w:eastAsia="宋体" w:cs="Times New Roman"/>
                      <w:color w:val="auto"/>
                      <w:kern w:val="2"/>
                      <w:sz w:val="21"/>
                      <w:szCs w:val="21"/>
                      <w:highlight w:val="none"/>
                      <w:lang w:val="en-US" w:eastAsia="zh-CN" w:bidi="ar-SA"/>
                    </w:rPr>
                    <w:t>大气环境一般管控区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71" w:type="pct"/>
                  <w:noWrap w:val="0"/>
                  <w:vAlign w:val="center"/>
                </w:tcPr>
                <w:p>
                  <w:pPr>
                    <w:pStyle w:val="97"/>
                    <w:widowControl/>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Style w:val="31"/>
                      <w:rFonts w:hint="default" w:ascii="Times New Roman" w:hAnsi="Times New Roman" w:eastAsia="宋体" w:cs="Times New Roman"/>
                      <w:kern w:val="2"/>
                      <w:sz w:val="21"/>
                      <w:szCs w:val="21"/>
                      <w:lang w:val="en-US" w:eastAsia="zh-CN" w:bidi="ar-SA"/>
                    </w:rPr>
                    <w:t>YS5117221410003</w:t>
                  </w:r>
                </w:p>
              </w:tc>
              <w:tc>
                <w:tcPr>
                  <w:tcW w:w="975" w:type="pct"/>
                  <w:noWrap w:val="0"/>
                  <w:vAlign w:val="center"/>
                </w:tcPr>
                <w:p>
                  <w:pPr>
                    <w:pStyle w:val="97"/>
                    <w:widowControl/>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Style w:val="31"/>
                      <w:rFonts w:hint="default" w:ascii="Times New Roman" w:hAnsi="Times New Roman" w:eastAsia="宋体" w:cs="Times New Roman"/>
                      <w:kern w:val="2"/>
                      <w:sz w:val="21"/>
                      <w:szCs w:val="21"/>
                      <w:lang w:val="en-US" w:eastAsia="zh-CN" w:bidi="ar-SA"/>
                    </w:rPr>
                    <w:t>宣汉县土壤优先保护区</w:t>
                  </w:r>
                </w:p>
              </w:tc>
              <w:tc>
                <w:tcPr>
                  <w:tcW w:w="559" w:type="pct"/>
                  <w:noWrap w:val="0"/>
                  <w:vAlign w:val="center"/>
                </w:tcPr>
                <w:p>
                  <w:pPr>
                    <w:pStyle w:val="97"/>
                    <w:widowControl/>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Style w:val="31"/>
                      <w:rFonts w:hint="default" w:ascii="Times New Roman" w:hAnsi="Times New Roman" w:eastAsia="宋体" w:cs="Times New Roman"/>
                      <w:kern w:val="2"/>
                      <w:sz w:val="21"/>
                      <w:szCs w:val="21"/>
                      <w:lang w:val="en-US" w:eastAsia="zh-CN" w:bidi="ar-SA"/>
                    </w:rPr>
                    <w:t>达州市</w:t>
                  </w:r>
                </w:p>
              </w:tc>
              <w:tc>
                <w:tcPr>
                  <w:tcW w:w="469" w:type="pct"/>
                  <w:noWrap w:val="0"/>
                  <w:vAlign w:val="center"/>
                </w:tcPr>
                <w:p>
                  <w:pPr>
                    <w:pStyle w:val="97"/>
                    <w:widowControl/>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Style w:val="31"/>
                      <w:rFonts w:hint="default" w:ascii="Times New Roman" w:hAnsi="Times New Roman" w:eastAsia="宋体" w:cs="Times New Roman"/>
                      <w:kern w:val="2"/>
                      <w:sz w:val="21"/>
                      <w:szCs w:val="21"/>
                      <w:lang w:val="en-US" w:eastAsia="zh-CN" w:bidi="ar-SA"/>
                    </w:rPr>
                    <w:t>宣汉县</w:t>
                  </w:r>
                </w:p>
              </w:tc>
              <w:tc>
                <w:tcPr>
                  <w:tcW w:w="945" w:type="pct"/>
                  <w:noWrap w:val="0"/>
                  <w:vAlign w:val="center"/>
                </w:tcPr>
                <w:p>
                  <w:pPr>
                    <w:pStyle w:val="97"/>
                    <w:widowControl/>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Style w:val="31"/>
                      <w:rFonts w:hint="default" w:ascii="Times New Roman" w:hAnsi="Times New Roman" w:eastAsia="宋体" w:cs="Times New Roman"/>
                      <w:kern w:val="2"/>
                      <w:sz w:val="21"/>
                      <w:szCs w:val="21"/>
                      <w:lang w:val="en-US" w:eastAsia="zh-CN" w:bidi="ar-SA"/>
                    </w:rPr>
                    <w:t>土壤污染风险管控分区</w:t>
                  </w:r>
                </w:p>
              </w:tc>
              <w:tc>
                <w:tcPr>
                  <w:tcW w:w="1278" w:type="pct"/>
                  <w:noWrap w:val="0"/>
                  <w:vAlign w:val="center"/>
                </w:tcPr>
                <w:p>
                  <w:pPr>
                    <w:pStyle w:val="97"/>
                    <w:widowControl/>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Style w:val="31"/>
                      <w:rFonts w:hint="default" w:ascii="Times New Roman" w:hAnsi="Times New Roman" w:eastAsia="宋体" w:cs="Times New Roman"/>
                      <w:kern w:val="2"/>
                      <w:sz w:val="21"/>
                      <w:szCs w:val="21"/>
                      <w:lang w:val="en-US" w:eastAsia="zh-CN" w:bidi="ar-SA"/>
                    </w:rPr>
                    <w:t>农用地优先保护区</w:t>
                  </w:r>
                </w:p>
              </w:tc>
            </w:tr>
          </w:tbl>
          <w:p>
            <w:pPr>
              <w:spacing w:line="440" w:lineRule="exact"/>
              <w:ind w:firstLine="420" w:firstLineChars="200"/>
              <w:rPr>
                <w:bCs/>
                <w:color w:val="auto"/>
                <w:szCs w:val="21"/>
                <w:highlight w:val="none"/>
              </w:rPr>
            </w:pPr>
            <w:r>
              <w:rPr>
                <w:rFonts w:hint="eastAsia"/>
                <w:color w:val="auto"/>
                <w:szCs w:val="21"/>
                <w:highlight w:val="none"/>
              </w:rPr>
              <w:t>拟建</w:t>
            </w:r>
            <w:r>
              <w:rPr>
                <w:bCs/>
                <w:color w:val="auto"/>
                <w:szCs w:val="21"/>
                <w:highlight w:val="none"/>
              </w:rPr>
              <w:t>建设项目与</w:t>
            </w:r>
            <w:r>
              <w:rPr>
                <w:rFonts w:hint="eastAsia" w:ascii="宋体" w:hAnsi="宋体" w:cs="宋体"/>
                <w:bCs/>
                <w:color w:val="auto"/>
                <w:szCs w:val="21"/>
                <w:highlight w:val="none"/>
              </w:rPr>
              <w:t>“三线一单”相关要求</w:t>
            </w:r>
            <w:r>
              <w:rPr>
                <w:bCs/>
                <w:color w:val="auto"/>
                <w:szCs w:val="21"/>
                <w:highlight w:val="none"/>
              </w:rPr>
              <w:t>符合性分析见下表：</w:t>
            </w:r>
          </w:p>
          <w:p>
            <w:pPr>
              <w:autoSpaceDE w:val="0"/>
              <w:autoSpaceDN w:val="0"/>
              <w:spacing w:line="440" w:lineRule="exact"/>
              <w:contextualSpacing/>
              <w:jc w:val="center"/>
              <w:rPr>
                <w:b w:val="0"/>
                <w:bCs w:val="0"/>
                <w:color w:val="auto"/>
                <w:kern w:val="21"/>
                <w:szCs w:val="21"/>
                <w:highlight w:val="none"/>
              </w:rPr>
            </w:pPr>
            <w:r>
              <w:rPr>
                <w:b w:val="0"/>
                <w:bCs w:val="0"/>
                <w:color w:val="auto"/>
                <w:kern w:val="21"/>
                <w:szCs w:val="21"/>
                <w:highlight w:val="none"/>
              </w:rPr>
              <w:t>表</w:t>
            </w:r>
            <w:r>
              <w:rPr>
                <w:rFonts w:hint="eastAsia"/>
                <w:b w:val="0"/>
                <w:bCs w:val="0"/>
                <w:color w:val="auto"/>
                <w:kern w:val="21"/>
                <w:szCs w:val="21"/>
                <w:highlight w:val="none"/>
                <w:lang w:val="en-US" w:eastAsia="zh-CN"/>
              </w:rPr>
              <w:t>1.2-2</w:t>
            </w:r>
            <w:r>
              <w:rPr>
                <w:b w:val="0"/>
                <w:bCs w:val="0"/>
                <w:color w:val="auto"/>
                <w:kern w:val="21"/>
                <w:szCs w:val="21"/>
                <w:highlight w:val="none"/>
              </w:rPr>
              <w:t xml:space="preserve"> 生态环境准入符合性分析一览表</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6"/>
              <w:gridCol w:w="1010"/>
              <w:gridCol w:w="1401"/>
              <w:gridCol w:w="5989"/>
              <w:gridCol w:w="1794"/>
              <w:gridCol w:w="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625" w:type="pct"/>
                  <w:tcBorders>
                    <w:tl2br w:val="nil"/>
                    <w:tr2bl w:val="nil"/>
                  </w:tcBorders>
                  <w:tcMar>
                    <w:left w:w="28" w:type="dxa"/>
                    <w:right w:w="28" w:type="dxa"/>
                  </w:tcMar>
                  <w:vAlign w:val="center"/>
                </w:tcPr>
                <w:p>
                  <w:pPr>
                    <w:jc w:val="center"/>
                    <w:rPr>
                      <w:color w:val="auto"/>
                      <w:sz w:val="18"/>
                      <w:szCs w:val="18"/>
                      <w:highlight w:val="none"/>
                    </w:rPr>
                  </w:pPr>
                  <w:r>
                    <w:rPr>
                      <w:rFonts w:hint="eastAsia"/>
                      <w:color w:val="auto"/>
                      <w:sz w:val="18"/>
                      <w:szCs w:val="18"/>
                      <w:highlight w:val="none"/>
                    </w:rPr>
                    <w:t>环境管控单元编码及名称</w:t>
                  </w:r>
                </w:p>
              </w:tc>
              <w:tc>
                <w:tcPr>
                  <w:tcW w:w="400" w:type="pct"/>
                  <w:tcBorders>
                    <w:tl2br w:val="nil"/>
                    <w:tr2bl w:val="nil"/>
                  </w:tcBorders>
                  <w:tcMar>
                    <w:left w:w="28" w:type="dxa"/>
                    <w:right w:w="28" w:type="dxa"/>
                  </w:tcMar>
                  <w:vAlign w:val="center"/>
                </w:tcPr>
                <w:p>
                  <w:pPr>
                    <w:jc w:val="center"/>
                    <w:rPr>
                      <w:color w:val="auto"/>
                      <w:sz w:val="18"/>
                      <w:szCs w:val="18"/>
                      <w:highlight w:val="none"/>
                    </w:rPr>
                  </w:pPr>
                  <w:r>
                    <w:rPr>
                      <w:rFonts w:hint="eastAsia"/>
                      <w:color w:val="auto"/>
                      <w:sz w:val="18"/>
                      <w:szCs w:val="18"/>
                      <w:highlight w:val="none"/>
                    </w:rPr>
                    <w:t>管控类别</w:t>
                  </w:r>
                </w:p>
              </w:tc>
              <w:tc>
                <w:tcPr>
                  <w:tcW w:w="2932" w:type="pct"/>
                  <w:gridSpan w:val="2"/>
                  <w:tcBorders>
                    <w:tl2br w:val="nil"/>
                    <w:tr2bl w:val="nil"/>
                  </w:tcBorders>
                  <w:tcMar>
                    <w:left w:w="28" w:type="dxa"/>
                    <w:right w:w="28" w:type="dxa"/>
                  </w:tcMar>
                  <w:vAlign w:val="center"/>
                </w:tcPr>
                <w:p>
                  <w:pPr>
                    <w:jc w:val="center"/>
                    <w:rPr>
                      <w:color w:val="auto"/>
                      <w:sz w:val="18"/>
                      <w:szCs w:val="18"/>
                      <w:highlight w:val="none"/>
                    </w:rPr>
                  </w:pPr>
                  <w:r>
                    <w:rPr>
                      <w:rFonts w:hint="eastAsia"/>
                      <w:color w:val="auto"/>
                      <w:sz w:val="18"/>
                      <w:szCs w:val="18"/>
                      <w:highlight w:val="none"/>
                    </w:rPr>
                    <w:t xml:space="preserve"> 生态环境准入管控要求</w:t>
                  </w:r>
                </w:p>
              </w:tc>
              <w:tc>
                <w:tcPr>
                  <w:tcW w:w="711" w:type="pct"/>
                  <w:tcBorders>
                    <w:tl2br w:val="nil"/>
                    <w:tr2bl w:val="nil"/>
                  </w:tcBorders>
                  <w:tcMar>
                    <w:left w:w="28" w:type="dxa"/>
                    <w:right w:w="28" w:type="dxa"/>
                  </w:tcMar>
                  <w:vAlign w:val="center"/>
                </w:tcPr>
                <w:p>
                  <w:pPr>
                    <w:jc w:val="center"/>
                    <w:rPr>
                      <w:color w:val="auto"/>
                      <w:sz w:val="18"/>
                      <w:szCs w:val="18"/>
                      <w:highlight w:val="none"/>
                    </w:rPr>
                  </w:pPr>
                  <w:r>
                    <w:rPr>
                      <w:color w:val="auto"/>
                      <w:sz w:val="18"/>
                      <w:szCs w:val="18"/>
                      <w:highlight w:val="none"/>
                    </w:rPr>
                    <w:t>本项目</w:t>
                  </w:r>
                  <w:r>
                    <w:rPr>
                      <w:rFonts w:hint="eastAsia"/>
                      <w:color w:val="auto"/>
                      <w:sz w:val="18"/>
                      <w:szCs w:val="18"/>
                      <w:highlight w:val="none"/>
                    </w:rPr>
                    <w:t>情况</w:t>
                  </w:r>
                </w:p>
              </w:tc>
              <w:tc>
                <w:tcPr>
                  <w:tcW w:w="330" w:type="pct"/>
                  <w:tcBorders>
                    <w:tl2br w:val="nil"/>
                    <w:tr2bl w:val="nil"/>
                  </w:tcBorders>
                  <w:tcMar>
                    <w:left w:w="28" w:type="dxa"/>
                    <w:right w:w="28" w:type="dxa"/>
                  </w:tcMar>
                  <w:vAlign w:val="center"/>
                </w:tcPr>
                <w:p>
                  <w:pPr>
                    <w:jc w:val="center"/>
                    <w:rPr>
                      <w:color w:val="auto"/>
                      <w:sz w:val="18"/>
                      <w:szCs w:val="18"/>
                      <w:highlight w:val="none"/>
                    </w:rPr>
                  </w:pPr>
                  <w:r>
                    <w:rPr>
                      <w:color w:val="auto"/>
                      <w:sz w:val="18"/>
                      <w:szCs w:val="18"/>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625" w:type="pct"/>
                  <w:vMerge w:val="restart"/>
                  <w:tcBorders>
                    <w:tl2br w:val="nil"/>
                    <w:tr2bl w:val="nil"/>
                  </w:tcBorders>
                  <w:tcMar>
                    <w:left w:w="28" w:type="dxa"/>
                    <w:right w:w="28" w:type="dxa"/>
                  </w:tcMar>
                  <w:vAlign w:val="center"/>
                </w:tcPr>
                <w:p>
                  <w:pPr>
                    <w:autoSpaceDE w:val="0"/>
                    <w:autoSpaceDN w:val="0"/>
                    <w:adjustRightInd w:val="0"/>
                    <w:jc w:val="center"/>
                    <w:rPr>
                      <w:color w:val="auto"/>
                      <w:sz w:val="18"/>
                      <w:szCs w:val="18"/>
                      <w:highlight w:val="none"/>
                    </w:rPr>
                  </w:pPr>
                  <w:r>
                    <w:rPr>
                      <w:rFonts w:hint="eastAsia"/>
                      <w:color w:val="auto"/>
                      <w:sz w:val="18"/>
                      <w:szCs w:val="18"/>
                      <w:highlight w:val="none"/>
                    </w:rPr>
                    <w:t>ZH51172230001宣汉县一般管控单元</w:t>
                  </w:r>
                </w:p>
              </w:tc>
              <w:tc>
                <w:tcPr>
                  <w:tcW w:w="400" w:type="pct"/>
                  <w:vMerge w:val="restart"/>
                  <w:tcBorders>
                    <w:tl2br w:val="nil"/>
                    <w:tr2bl w:val="nil"/>
                  </w:tcBorders>
                  <w:tcMar>
                    <w:left w:w="28" w:type="dxa"/>
                    <w:right w:w="28" w:type="dxa"/>
                  </w:tcMar>
                  <w:vAlign w:val="center"/>
                </w:tcPr>
                <w:p>
                  <w:pPr>
                    <w:autoSpaceDE w:val="0"/>
                    <w:autoSpaceDN w:val="0"/>
                    <w:adjustRightInd w:val="0"/>
                    <w:jc w:val="center"/>
                    <w:rPr>
                      <w:color w:val="auto"/>
                      <w:kern w:val="0"/>
                      <w:sz w:val="18"/>
                      <w:szCs w:val="18"/>
                      <w:highlight w:val="none"/>
                    </w:rPr>
                  </w:pPr>
                  <w:r>
                    <w:rPr>
                      <w:color w:val="auto"/>
                      <w:sz w:val="18"/>
                      <w:szCs w:val="18"/>
                      <w:highlight w:val="none"/>
                    </w:rPr>
                    <w:t>空间布局约束</w:t>
                  </w:r>
                </w:p>
              </w:tc>
              <w:tc>
                <w:tcPr>
                  <w:tcW w:w="555" w:type="pct"/>
                  <w:tcBorders>
                    <w:tl2br w:val="nil"/>
                    <w:tr2bl w:val="nil"/>
                  </w:tcBorders>
                  <w:tcMar>
                    <w:left w:w="28" w:type="dxa"/>
                    <w:right w:w="28" w:type="dxa"/>
                  </w:tcMar>
                  <w:vAlign w:val="center"/>
                </w:tcPr>
                <w:p>
                  <w:pPr>
                    <w:autoSpaceDE w:val="0"/>
                    <w:autoSpaceDN w:val="0"/>
                    <w:adjustRightInd w:val="0"/>
                    <w:jc w:val="center"/>
                    <w:rPr>
                      <w:color w:val="auto"/>
                      <w:kern w:val="0"/>
                      <w:sz w:val="18"/>
                      <w:szCs w:val="18"/>
                      <w:highlight w:val="none"/>
                    </w:rPr>
                  </w:pPr>
                  <w:r>
                    <w:rPr>
                      <w:rFonts w:hint="eastAsia"/>
                      <w:color w:val="auto"/>
                      <w:kern w:val="0"/>
                      <w:sz w:val="18"/>
                      <w:szCs w:val="18"/>
                      <w:highlight w:val="none"/>
                    </w:rPr>
                    <w:t>禁止开发建设活动的要求</w:t>
                  </w:r>
                </w:p>
              </w:tc>
              <w:tc>
                <w:tcPr>
                  <w:tcW w:w="2376" w:type="pct"/>
                  <w:tcBorders>
                    <w:tl2br w:val="nil"/>
                    <w:tr2bl w:val="nil"/>
                  </w:tcBorders>
                  <w:tcMar>
                    <w:left w:w="28" w:type="dxa"/>
                    <w:right w:w="28" w:type="dxa"/>
                  </w:tcMar>
                  <w:vAlign w:val="center"/>
                </w:tcPr>
                <w:p>
                  <w:pPr>
                    <w:autoSpaceDE w:val="0"/>
                    <w:autoSpaceDN w:val="0"/>
                    <w:adjustRightInd w:val="0"/>
                    <w:rPr>
                      <w:rFonts w:hint="eastAsia"/>
                      <w:color w:val="auto"/>
                      <w:kern w:val="0"/>
                      <w:sz w:val="18"/>
                      <w:szCs w:val="18"/>
                      <w:highlight w:val="none"/>
                    </w:rPr>
                  </w:pPr>
                  <w:r>
                    <w:rPr>
                      <w:rFonts w:hint="eastAsia"/>
                      <w:color w:val="auto"/>
                      <w:kern w:val="0"/>
                      <w:sz w:val="18"/>
                      <w:szCs w:val="18"/>
                      <w:highlight w:val="none"/>
                      <w:lang w:val="en-US" w:eastAsia="zh-CN"/>
                    </w:rPr>
                    <w:t>1、</w:t>
                  </w:r>
                  <w:r>
                    <w:rPr>
                      <w:rFonts w:hint="eastAsia"/>
                      <w:color w:val="auto"/>
                      <w:kern w:val="0"/>
                      <w:sz w:val="18"/>
                      <w:szCs w:val="18"/>
                      <w:highlight w:val="none"/>
                    </w:rPr>
                    <w:t>禁止在长江干支流1公里范围内新建、扩建化工园区和化工项目。</w:t>
                  </w:r>
                </w:p>
                <w:p>
                  <w:pPr>
                    <w:autoSpaceDE w:val="0"/>
                    <w:autoSpaceDN w:val="0"/>
                    <w:adjustRightInd w:val="0"/>
                    <w:rPr>
                      <w:rFonts w:hint="eastAsia"/>
                      <w:color w:val="auto"/>
                      <w:kern w:val="0"/>
                      <w:sz w:val="18"/>
                      <w:szCs w:val="18"/>
                      <w:highlight w:val="none"/>
                    </w:rPr>
                  </w:pPr>
                  <w:r>
                    <w:rPr>
                      <w:rFonts w:hint="eastAsia"/>
                      <w:color w:val="auto"/>
                      <w:kern w:val="0"/>
                      <w:sz w:val="18"/>
                      <w:szCs w:val="18"/>
                      <w:highlight w:val="none"/>
                      <w:lang w:val="en-US" w:eastAsia="zh-CN"/>
                    </w:rPr>
                    <w:t>2、</w:t>
                  </w:r>
                  <w:r>
                    <w:rPr>
                      <w:rFonts w:hint="eastAsia"/>
                      <w:color w:val="auto"/>
                      <w:kern w:val="0"/>
                      <w:sz w:val="18"/>
                      <w:szCs w:val="18"/>
                      <w:highlight w:val="none"/>
                    </w:rPr>
                    <w:t>禁止在法律法规规定的禁采区内新建矿山；禁止</w:t>
                  </w:r>
                  <w:r>
                    <w:rPr>
                      <w:rFonts w:hint="eastAsia"/>
                      <w:color w:val="auto"/>
                      <w:kern w:val="0"/>
                      <w:sz w:val="18"/>
                      <w:szCs w:val="18"/>
                      <w:highlight w:val="none"/>
                      <w:lang w:eastAsia="zh-CN"/>
                    </w:rPr>
                    <w:t>非法</w:t>
                  </w:r>
                  <w:r>
                    <w:rPr>
                      <w:rFonts w:hint="eastAsia"/>
                      <w:color w:val="auto"/>
                      <w:kern w:val="0"/>
                      <w:sz w:val="18"/>
                      <w:szCs w:val="18"/>
                      <w:highlight w:val="none"/>
                    </w:rPr>
                    <w:t>采、选、冶严重污染环境的矿产资源。</w:t>
                  </w:r>
                </w:p>
                <w:p>
                  <w:pPr>
                    <w:autoSpaceDE w:val="0"/>
                    <w:autoSpaceDN w:val="0"/>
                    <w:adjustRightInd w:val="0"/>
                    <w:rPr>
                      <w:rFonts w:hint="eastAsia"/>
                      <w:color w:val="auto"/>
                      <w:kern w:val="0"/>
                      <w:sz w:val="18"/>
                      <w:szCs w:val="18"/>
                      <w:highlight w:val="none"/>
                    </w:rPr>
                  </w:pPr>
                  <w:r>
                    <w:rPr>
                      <w:rFonts w:hint="eastAsia"/>
                      <w:color w:val="auto"/>
                      <w:kern w:val="0"/>
                      <w:sz w:val="18"/>
                      <w:szCs w:val="18"/>
                      <w:highlight w:val="none"/>
                      <w:lang w:val="en-US" w:eastAsia="zh-CN"/>
                    </w:rPr>
                    <w:t>3、</w:t>
                  </w:r>
                  <w:r>
                    <w:rPr>
                      <w:rFonts w:hint="eastAsia"/>
                      <w:color w:val="auto"/>
                      <w:kern w:val="0"/>
                      <w:sz w:val="18"/>
                      <w:szCs w:val="18"/>
                      <w:highlight w:val="none"/>
                    </w:rPr>
                    <w:t>涉及永久基本农田的区域，除法律规定的重点建设项目选址确实无法避让外，其他任何建设不得占用。</w:t>
                  </w:r>
                </w:p>
                <w:p>
                  <w:pPr>
                    <w:autoSpaceDE w:val="0"/>
                    <w:autoSpaceDN w:val="0"/>
                    <w:adjustRightInd w:val="0"/>
                    <w:rPr>
                      <w:color w:val="auto"/>
                      <w:kern w:val="0"/>
                      <w:sz w:val="18"/>
                      <w:szCs w:val="18"/>
                      <w:highlight w:val="none"/>
                    </w:rPr>
                  </w:pPr>
                  <w:r>
                    <w:rPr>
                      <w:rFonts w:hint="eastAsia"/>
                      <w:color w:val="auto"/>
                      <w:kern w:val="0"/>
                      <w:sz w:val="18"/>
                      <w:szCs w:val="18"/>
                      <w:highlight w:val="none"/>
                      <w:lang w:val="en-US" w:eastAsia="zh-CN"/>
                    </w:rPr>
                    <w:t>4、</w:t>
                  </w:r>
                  <w:r>
                    <w:rPr>
                      <w:rFonts w:hint="eastAsia"/>
                      <w:color w:val="auto"/>
                      <w:kern w:val="0"/>
                      <w:sz w:val="18"/>
                      <w:szCs w:val="18"/>
                      <w:highlight w:val="none"/>
                    </w:rPr>
                    <w:t>禁止在长江流域河湖管理范围内倾倒、填埋、堆放、弃置、处理固体废物。</w:t>
                  </w:r>
                </w:p>
              </w:tc>
              <w:tc>
                <w:tcPr>
                  <w:tcW w:w="711" w:type="pct"/>
                  <w:vMerge w:val="restart"/>
                  <w:tcBorders>
                    <w:tl2br w:val="nil"/>
                    <w:tr2bl w:val="nil"/>
                  </w:tcBorders>
                  <w:tcMar>
                    <w:left w:w="28" w:type="dxa"/>
                    <w:right w:w="28" w:type="dxa"/>
                  </w:tcMar>
                  <w:vAlign w:val="center"/>
                </w:tcPr>
                <w:p>
                  <w:pPr>
                    <w:rPr>
                      <w:color w:val="auto"/>
                      <w:sz w:val="18"/>
                      <w:szCs w:val="18"/>
                      <w:highlight w:val="none"/>
                    </w:rPr>
                  </w:pPr>
                  <w:r>
                    <w:rPr>
                      <w:rFonts w:hint="eastAsia"/>
                      <w:color w:val="auto"/>
                      <w:sz w:val="18"/>
                      <w:szCs w:val="18"/>
                      <w:highlight w:val="none"/>
                    </w:rPr>
                    <w:t>拟建项目属于</w:t>
                  </w:r>
                  <w:r>
                    <w:rPr>
                      <w:rFonts w:hint="eastAsia"/>
                      <w:color w:val="auto"/>
                      <w:kern w:val="0"/>
                      <w:sz w:val="18"/>
                      <w:szCs w:val="18"/>
                      <w:highlight w:val="none"/>
                      <w:lang w:val="en-US" w:eastAsia="zh-CN"/>
                    </w:rPr>
                    <w:t>水库</w:t>
                  </w:r>
                  <w:r>
                    <w:rPr>
                      <w:rFonts w:hint="eastAsia"/>
                      <w:color w:val="auto"/>
                      <w:kern w:val="0"/>
                      <w:sz w:val="18"/>
                      <w:szCs w:val="18"/>
                      <w:highlight w:val="none"/>
                    </w:rPr>
                    <w:t>项目</w:t>
                  </w:r>
                  <w:r>
                    <w:rPr>
                      <w:rFonts w:hint="eastAsia"/>
                      <w:color w:val="auto"/>
                      <w:sz w:val="18"/>
                      <w:szCs w:val="18"/>
                      <w:highlight w:val="none"/>
                    </w:rPr>
                    <w:t>，不属于</w:t>
                  </w:r>
                  <w:r>
                    <w:rPr>
                      <w:rFonts w:hint="eastAsia"/>
                      <w:color w:val="auto"/>
                      <w:kern w:val="0"/>
                      <w:sz w:val="18"/>
                      <w:szCs w:val="18"/>
                      <w:highlight w:val="none"/>
                    </w:rPr>
                    <w:t>有色金属冶炼、石油加工、化工、焦化、电镀、制革</w:t>
                  </w:r>
                  <w:r>
                    <w:rPr>
                      <w:rFonts w:hint="eastAsia"/>
                      <w:color w:val="auto"/>
                      <w:sz w:val="18"/>
                      <w:szCs w:val="18"/>
                      <w:highlight w:val="none"/>
                    </w:rPr>
                    <w:t>项目、</w:t>
                  </w:r>
                  <w:r>
                    <w:rPr>
                      <w:rFonts w:hint="eastAsia"/>
                      <w:color w:val="auto"/>
                      <w:sz w:val="18"/>
                      <w:szCs w:val="18"/>
                      <w:highlight w:val="none"/>
                      <w:lang w:val="en-US" w:eastAsia="zh-CN"/>
                    </w:rPr>
                    <w:t>不涉及采矿、基本农田</w:t>
                  </w:r>
                  <w:r>
                    <w:rPr>
                      <w:rFonts w:hint="eastAsia"/>
                      <w:color w:val="auto"/>
                      <w:sz w:val="18"/>
                      <w:szCs w:val="18"/>
                      <w:highlight w:val="none"/>
                    </w:rPr>
                    <w:t>，项目产生的固体废物未随意处置。</w:t>
                  </w:r>
                </w:p>
              </w:tc>
              <w:tc>
                <w:tcPr>
                  <w:tcW w:w="330" w:type="pct"/>
                  <w:vMerge w:val="restart"/>
                  <w:tcBorders>
                    <w:tl2br w:val="nil"/>
                    <w:tr2bl w:val="nil"/>
                  </w:tcBorders>
                  <w:tcMar>
                    <w:left w:w="28" w:type="dxa"/>
                    <w:right w:w="28" w:type="dxa"/>
                  </w:tcMar>
                  <w:vAlign w:val="center"/>
                </w:tcPr>
                <w:p>
                  <w:pPr>
                    <w:jc w:val="center"/>
                    <w:rPr>
                      <w:color w:val="auto"/>
                      <w:sz w:val="18"/>
                      <w:szCs w:val="18"/>
                      <w:highlight w:val="none"/>
                    </w:rPr>
                  </w:pPr>
                  <w:r>
                    <w:rPr>
                      <w:rFonts w:hint="eastAsia"/>
                      <w:color w:val="auto"/>
                      <w:sz w:val="18"/>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5" w:type="pct"/>
                  <w:vMerge w:val="continue"/>
                  <w:tcBorders>
                    <w:tl2br w:val="nil"/>
                    <w:tr2bl w:val="nil"/>
                  </w:tcBorders>
                  <w:tcMar>
                    <w:left w:w="28" w:type="dxa"/>
                    <w:right w:w="28" w:type="dxa"/>
                  </w:tcMar>
                  <w:vAlign w:val="center"/>
                </w:tcPr>
                <w:p>
                  <w:pPr>
                    <w:autoSpaceDE w:val="0"/>
                    <w:autoSpaceDN w:val="0"/>
                    <w:adjustRightInd w:val="0"/>
                    <w:jc w:val="center"/>
                    <w:rPr>
                      <w:color w:val="auto"/>
                      <w:sz w:val="18"/>
                      <w:szCs w:val="18"/>
                      <w:highlight w:val="none"/>
                    </w:rPr>
                  </w:pPr>
                </w:p>
              </w:tc>
              <w:tc>
                <w:tcPr>
                  <w:tcW w:w="400" w:type="pct"/>
                  <w:vMerge w:val="continue"/>
                  <w:tcBorders>
                    <w:tl2br w:val="nil"/>
                    <w:tr2bl w:val="nil"/>
                  </w:tcBorders>
                  <w:tcMar>
                    <w:left w:w="28" w:type="dxa"/>
                    <w:right w:w="28" w:type="dxa"/>
                  </w:tcMar>
                  <w:vAlign w:val="center"/>
                </w:tcPr>
                <w:p>
                  <w:pPr>
                    <w:autoSpaceDE w:val="0"/>
                    <w:autoSpaceDN w:val="0"/>
                    <w:adjustRightInd w:val="0"/>
                    <w:jc w:val="center"/>
                    <w:rPr>
                      <w:color w:val="auto"/>
                      <w:sz w:val="18"/>
                      <w:szCs w:val="18"/>
                      <w:highlight w:val="none"/>
                    </w:rPr>
                  </w:pPr>
                </w:p>
              </w:tc>
              <w:tc>
                <w:tcPr>
                  <w:tcW w:w="555" w:type="pct"/>
                  <w:tcBorders>
                    <w:tl2br w:val="nil"/>
                    <w:tr2bl w:val="nil"/>
                  </w:tcBorders>
                  <w:tcMar>
                    <w:left w:w="28" w:type="dxa"/>
                    <w:right w:w="28" w:type="dxa"/>
                  </w:tcMar>
                  <w:vAlign w:val="center"/>
                </w:tcPr>
                <w:p>
                  <w:pPr>
                    <w:autoSpaceDE w:val="0"/>
                    <w:autoSpaceDN w:val="0"/>
                    <w:adjustRightInd w:val="0"/>
                    <w:jc w:val="center"/>
                    <w:rPr>
                      <w:color w:val="auto"/>
                      <w:kern w:val="0"/>
                      <w:sz w:val="18"/>
                      <w:szCs w:val="18"/>
                      <w:highlight w:val="none"/>
                    </w:rPr>
                  </w:pPr>
                  <w:r>
                    <w:rPr>
                      <w:rFonts w:hint="eastAsia"/>
                      <w:color w:val="auto"/>
                      <w:kern w:val="0"/>
                      <w:sz w:val="18"/>
                      <w:szCs w:val="18"/>
                      <w:highlight w:val="none"/>
                    </w:rPr>
                    <w:t>限制开发建设活动的要求</w:t>
                  </w:r>
                </w:p>
              </w:tc>
              <w:tc>
                <w:tcPr>
                  <w:tcW w:w="2376" w:type="pct"/>
                  <w:tcBorders>
                    <w:tl2br w:val="nil"/>
                    <w:tr2bl w:val="nil"/>
                  </w:tcBorders>
                  <w:tcMar>
                    <w:left w:w="28" w:type="dxa"/>
                    <w:right w:w="28" w:type="dxa"/>
                  </w:tcMar>
                  <w:vAlign w:val="center"/>
                </w:tcPr>
                <w:p>
                  <w:pPr>
                    <w:autoSpaceDE w:val="0"/>
                    <w:autoSpaceDN w:val="0"/>
                    <w:adjustRightInd w:val="0"/>
                    <w:rPr>
                      <w:color w:val="auto"/>
                      <w:kern w:val="0"/>
                      <w:sz w:val="18"/>
                      <w:szCs w:val="18"/>
                      <w:highlight w:val="none"/>
                    </w:rPr>
                  </w:pPr>
                  <w:r>
                    <w:rPr>
                      <w:rFonts w:hint="eastAsia"/>
                      <w:color w:val="auto"/>
                      <w:kern w:val="0"/>
                      <w:sz w:val="18"/>
                      <w:szCs w:val="18"/>
                      <w:highlight w:val="none"/>
                    </w:rPr>
                    <w:t>对四川省主体功能区划中的农产品主产区，应限制进行大规模高强度工业化城镇化开发，严格控制有色金属冶炼、石油加工、化工、焦化、电镀、制革等产能，原则上不增加产能</w:t>
                  </w:r>
                </w:p>
              </w:tc>
              <w:tc>
                <w:tcPr>
                  <w:tcW w:w="711" w:type="pct"/>
                  <w:vMerge w:val="continue"/>
                  <w:tcBorders>
                    <w:tl2br w:val="nil"/>
                    <w:tr2bl w:val="nil"/>
                  </w:tcBorders>
                  <w:tcMar>
                    <w:left w:w="28" w:type="dxa"/>
                    <w:right w:w="28" w:type="dxa"/>
                  </w:tcMar>
                  <w:vAlign w:val="center"/>
                </w:tcPr>
                <w:p>
                  <w:pPr>
                    <w:rPr>
                      <w:color w:val="auto"/>
                      <w:sz w:val="18"/>
                      <w:szCs w:val="18"/>
                      <w:highlight w:val="none"/>
                    </w:rPr>
                  </w:pPr>
                </w:p>
              </w:tc>
              <w:tc>
                <w:tcPr>
                  <w:tcW w:w="330" w:type="pct"/>
                  <w:vMerge w:val="continue"/>
                  <w:tcBorders>
                    <w:tl2br w:val="nil"/>
                    <w:tr2bl w:val="nil"/>
                  </w:tcBorders>
                  <w:tcMar>
                    <w:left w:w="28" w:type="dxa"/>
                    <w:right w:w="28" w:type="dxa"/>
                  </w:tcMar>
                  <w:vAlign w:val="center"/>
                </w:tcPr>
                <w:p>
                  <w:pPr>
                    <w:jc w:val="center"/>
                    <w:rPr>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25" w:type="pct"/>
                  <w:vMerge w:val="continue"/>
                  <w:tcBorders>
                    <w:tl2br w:val="nil"/>
                    <w:tr2bl w:val="nil"/>
                  </w:tcBorders>
                  <w:tcMar>
                    <w:left w:w="28" w:type="dxa"/>
                    <w:right w:w="28" w:type="dxa"/>
                  </w:tcMar>
                  <w:vAlign w:val="center"/>
                </w:tcPr>
                <w:p>
                  <w:pPr>
                    <w:autoSpaceDE w:val="0"/>
                    <w:autoSpaceDN w:val="0"/>
                    <w:adjustRightInd w:val="0"/>
                    <w:jc w:val="center"/>
                    <w:rPr>
                      <w:color w:val="auto"/>
                      <w:sz w:val="18"/>
                      <w:szCs w:val="18"/>
                      <w:highlight w:val="none"/>
                    </w:rPr>
                  </w:pPr>
                </w:p>
              </w:tc>
              <w:tc>
                <w:tcPr>
                  <w:tcW w:w="400" w:type="pct"/>
                  <w:vMerge w:val="continue"/>
                  <w:tcBorders>
                    <w:tl2br w:val="nil"/>
                    <w:tr2bl w:val="nil"/>
                  </w:tcBorders>
                  <w:tcMar>
                    <w:left w:w="28" w:type="dxa"/>
                    <w:right w:w="28" w:type="dxa"/>
                  </w:tcMar>
                  <w:vAlign w:val="center"/>
                </w:tcPr>
                <w:p>
                  <w:pPr>
                    <w:autoSpaceDE w:val="0"/>
                    <w:autoSpaceDN w:val="0"/>
                    <w:adjustRightInd w:val="0"/>
                    <w:jc w:val="center"/>
                    <w:rPr>
                      <w:color w:val="auto"/>
                      <w:sz w:val="18"/>
                      <w:szCs w:val="18"/>
                      <w:highlight w:val="none"/>
                    </w:rPr>
                  </w:pPr>
                </w:p>
              </w:tc>
              <w:tc>
                <w:tcPr>
                  <w:tcW w:w="555" w:type="pct"/>
                  <w:tcBorders>
                    <w:tl2br w:val="nil"/>
                    <w:tr2bl w:val="nil"/>
                  </w:tcBorders>
                  <w:tcMar>
                    <w:left w:w="28" w:type="dxa"/>
                    <w:right w:w="28" w:type="dxa"/>
                  </w:tcMar>
                  <w:vAlign w:val="center"/>
                </w:tcPr>
                <w:p>
                  <w:pPr>
                    <w:autoSpaceDE w:val="0"/>
                    <w:autoSpaceDN w:val="0"/>
                    <w:adjustRightInd w:val="0"/>
                    <w:jc w:val="center"/>
                    <w:rPr>
                      <w:color w:val="auto"/>
                      <w:kern w:val="0"/>
                      <w:sz w:val="18"/>
                      <w:szCs w:val="18"/>
                      <w:highlight w:val="none"/>
                    </w:rPr>
                  </w:pPr>
                  <w:r>
                    <w:rPr>
                      <w:rFonts w:hint="eastAsia"/>
                      <w:color w:val="auto"/>
                      <w:kern w:val="0"/>
                      <w:sz w:val="18"/>
                      <w:szCs w:val="18"/>
                      <w:highlight w:val="none"/>
                    </w:rPr>
                    <w:t>不符合空间布局要求活动的退出要求</w:t>
                  </w:r>
                </w:p>
              </w:tc>
              <w:tc>
                <w:tcPr>
                  <w:tcW w:w="2376" w:type="pct"/>
                  <w:tcBorders>
                    <w:tl2br w:val="nil"/>
                    <w:tr2bl w:val="nil"/>
                  </w:tcBorders>
                  <w:tcMar>
                    <w:left w:w="28" w:type="dxa"/>
                    <w:right w:w="28" w:type="dxa"/>
                  </w:tcMar>
                  <w:vAlign w:val="center"/>
                </w:tcPr>
                <w:p>
                  <w:pPr>
                    <w:autoSpaceDE w:val="0"/>
                    <w:autoSpaceDN w:val="0"/>
                    <w:adjustRightInd w:val="0"/>
                    <w:rPr>
                      <w:color w:val="auto"/>
                      <w:kern w:val="0"/>
                      <w:sz w:val="18"/>
                      <w:szCs w:val="18"/>
                      <w:highlight w:val="none"/>
                    </w:rPr>
                  </w:pPr>
                  <w:r>
                    <w:rPr>
                      <w:rFonts w:hint="eastAsia"/>
                      <w:color w:val="auto"/>
                      <w:kern w:val="0"/>
                      <w:sz w:val="18"/>
                      <w:szCs w:val="18"/>
                      <w:highlight w:val="none"/>
                    </w:rPr>
                    <w:t>区外企业：位于城镇空间外的工业园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w:t>
                  </w:r>
                </w:p>
              </w:tc>
              <w:tc>
                <w:tcPr>
                  <w:tcW w:w="711" w:type="pct"/>
                  <w:vMerge w:val="continue"/>
                  <w:tcBorders>
                    <w:tl2br w:val="nil"/>
                    <w:tr2bl w:val="nil"/>
                  </w:tcBorders>
                  <w:tcMar>
                    <w:left w:w="28" w:type="dxa"/>
                    <w:right w:w="28" w:type="dxa"/>
                  </w:tcMar>
                  <w:vAlign w:val="center"/>
                </w:tcPr>
                <w:p>
                  <w:pPr>
                    <w:rPr>
                      <w:color w:val="auto"/>
                      <w:sz w:val="18"/>
                      <w:szCs w:val="18"/>
                      <w:highlight w:val="none"/>
                    </w:rPr>
                  </w:pPr>
                </w:p>
              </w:tc>
              <w:tc>
                <w:tcPr>
                  <w:tcW w:w="330" w:type="pct"/>
                  <w:vMerge w:val="continue"/>
                  <w:tcBorders>
                    <w:tl2br w:val="nil"/>
                    <w:tr2bl w:val="nil"/>
                  </w:tcBorders>
                  <w:tcMar>
                    <w:left w:w="28" w:type="dxa"/>
                    <w:right w:w="28" w:type="dxa"/>
                  </w:tcMar>
                  <w:vAlign w:val="center"/>
                </w:tcPr>
                <w:p>
                  <w:pPr>
                    <w:jc w:val="center"/>
                    <w:rPr>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625" w:type="pct"/>
                  <w:vMerge w:val="continue"/>
                  <w:tcBorders>
                    <w:tl2br w:val="nil"/>
                    <w:tr2bl w:val="nil"/>
                  </w:tcBorders>
                  <w:tcMar>
                    <w:left w:w="28" w:type="dxa"/>
                    <w:right w:w="28" w:type="dxa"/>
                  </w:tcMar>
                  <w:vAlign w:val="center"/>
                </w:tcPr>
                <w:p>
                  <w:pPr>
                    <w:autoSpaceDE w:val="0"/>
                    <w:autoSpaceDN w:val="0"/>
                    <w:adjustRightInd w:val="0"/>
                    <w:jc w:val="center"/>
                    <w:rPr>
                      <w:color w:val="auto"/>
                      <w:kern w:val="0"/>
                      <w:sz w:val="18"/>
                      <w:szCs w:val="18"/>
                      <w:highlight w:val="none"/>
                    </w:rPr>
                  </w:pPr>
                </w:p>
              </w:tc>
              <w:tc>
                <w:tcPr>
                  <w:tcW w:w="400" w:type="pct"/>
                  <w:vMerge w:val="restart"/>
                  <w:tcBorders>
                    <w:tl2br w:val="nil"/>
                    <w:tr2bl w:val="nil"/>
                  </w:tcBorders>
                  <w:tcMar>
                    <w:left w:w="28" w:type="dxa"/>
                    <w:right w:w="28" w:type="dxa"/>
                  </w:tcMar>
                  <w:vAlign w:val="center"/>
                </w:tcPr>
                <w:p>
                  <w:pPr>
                    <w:widowControl/>
                    <w:jc w:val="center"/>
                    <w:rPr>
                      <w:color w:val="auto"/>
                      <w:kern w:val="0"/>
                      <w:sz w:val="18"/>
                      <w:szCs w:val="18"/>
                      <w:highlight w:val="none"/>
                    </w:rPr>
                  </w:pPr>
                  <w:r>
                    <w:rPr>
                      <w:color w:val="auto"/>
                      <w:kern w:val="0"/>
                      <w:sz w:val="18"/>
                      <w:szCs w:val="18"/>
                      <w:highlight w:val="none"/>
                    </w:rPr>
                    <w:t>污染物排放管</w:t>
                  </w:r>
                </w:p>
                <w:p>
                  <w:pPr>
                    <w:autoSpaceDE w:val="0"/>
                    <w:autoSpaceDN w:val="0"/>
                    <w:adjustRightInd w:val="0"/>
                    <w:jc w:val="center"/>
                    <w:rPr>
                      <w:color w:val="auto"/>
                      <w:sz w:val="18"/>
                      <w:szCs w:val="18"/>
                      <w:highlight w:val="none"/>
                    </w:rPr>
                  </w:pPr>
                  <w:r>
                    <w:rPr>
                      <w:color w:val="auto"/>
                      <w:kern w:val="0"/>
                      <w:sz w:val="18"/>
                      <w:szCs w:val="18"/>
                      <w:highlight w:val="none"/>
                    </w:rPr>
                    <w:t>控</w:t>
                  </w:r>
                </w:p>
              </w:tc>
              <w:tc>
                <w:tcPr>
                  <w:tcW w:w="555" w:type="pct"/>
                  <w:tcBorders>
                    <w:tl2br w:val="nil"/>
                    <w:tr2bl w:val="nil"/>
                  </w:tcBorders>
                  <w:tcMar>
                    <w:left w:w="28" w:type="dxa"/>
                    <w:right w:w="28" w:type="dxa"/>
                  </w:tcMar>
                  <w:vAlign w:val="center"/>
                </w:tcPr>
                <w:p>
                  <w:pPr>
                    <w:autoSpaceDE w:val="0"/>
                    <w:autoSpaceDN w:val="0"/>
                    <w:adjustRightInd w:val="0"/>
                    <w:jc w:val="center"/>
                    <w:rPr>
                      <w:color w:val="auto"/>
                      <w:kern w:val="0"/>
                      <w:sz w:val="18"/>
                      <w:szCs w:val="18"/>
                      <w:highlight w:val="none"/>
                    </w:rPr>
                  </w:pPr>
                  <w:r>
                    <w:rPr>
                      <w:color w:val="auto"/>
                      <w:kern w:val="0"/>
                      <w:sz w:val="18"/>
                      <w:szCs w:val="18"/>
                      <w:highlight w:val="none"/>
                    </w:rPr>
                    <w:t>现</w:t>
                  </w:r>
                  <w:r>
                    <w:rPr>
                      <w:rFonts w:hint="eastAsia"/>
                      <w:color w:val="auto"/>
                      <w:kern w:val="0"/>
                      <w:sz w:val="18"/>
                      <w:szCs w:val="18"/>
                      <w:highlight w:val="none"/>
                      <w:lang w:eastAsia="zh-CN"/>
                    </w:rPr>
                    <w:t>有资</w:t>
                  </w:r>
                  <w:r>
                    <w:rPr>
                      <w:color w:val="auto"/>
                      <w:kern w:val="0"/>
                      <w:sz w:val="18"/>
                      <w:szCs w:val="18"/>
                      <w:highlight w:val="none"/>
                    </w:rPr>
                    <w:t>源提标升级改造</w:t>
                  </w:r>
                </w:p>
              </w:tc>
              <w:tc>
                <w:tcPr>
                  <w:tcW w:w="2376" w:type="pct"/>
                  <w:tcBorders>
                    <w:tl2br w:val="nil"/>
                    <w:tr2bl w:val="nil"/>
                  </w:tcBorders>
                  <w:tcMar>
                    <w:left w:w="28" w:type="dxa"/>
                    <w:right w:w="28" w:type="dxa"/>
                  </w:tcMar>
                  <w:vAlign w:val="center"/>
                </w:tcPr>
                <w:p>
                  <w:pPr>
                    <w:autoSpaceDE w:val="0"/>
                    <w:autoSpaceDN w:val="0"/>
                    <w:adjustRightInd w:val="0"/>
                    <w:rPr>
                      <w:rFonts w:hint="eastAsia"/>
                      <w:color w:val="auto"/>
                      <w:kern w:val="0"/>
                      <w:sz w:val="18"/>
                      <w:szCs w:val="18"/>
                      <w:highlight w:val="none"/>
                    </w:rPr>
                  </w:pPr>
                  <w:r>
                    <w:rPr>
                      <w:rFonts w:hint="eastAsia"/>
                      <w:color w:val="auto"/>
                      <w:kern w:val="0"/>
                      <w:sz w:val="18"/>
                      <w:szCs w:val="18"/>
                      <w:highlight w:val="none"/>
                      <w:lang w:val="en-US" w:eastAsia="zh-CN"/>
                    </w:rPr>
                    <w:t>1、</w:t>
                  </w:r>
                  <w:r>
                    <w:rPr>
                      <w:rFonts w:hint="eastAsia"/>
                      <w:color w:val="auto"/>
                      <w:kern w:val="0"/>
                      <w:sz w:val="18"/>
                      <w:szCs w:val="18"/>
                      <w:highlight w:val="none"/>
                    </w:rPr>
                    <w:t>加快现有乡镇污水处理设施升级改造，按要求达《城镇污水处理厂污染物排放标准》一级A标后排放。</w:t>
                  </w:r>
                </w:p>
                <w:p>
                  <w:pPr>
                    <w:autoSpaceDE w:val="0"/>
                    <w:autoSpaceDN w:val="0"/>
                    <w:adjustRightInd w:val="0"/>
                    <w:rPr>
                      <w:rFonts w:hint="eastAsia"/>
                      <w:color w:val="auto"/>
                      <w:kern w:val="0"/>
                      <w:sz w:val="18"/>
                      <w:szCs w:val="18"/>
                      <w:highlight w:val="none"/>
                    </w:rPr>
                  </w:pPr>
                  <w:r>
                    <w:rPr>
                      <w:rFonts w:hint="eastAsia"/>
                      <w:color w:val="auto"/>
                      <w:kern w:val="0"/>
                      <w:sz w:val="18"/>
                      <w:szCs w:val="18"/>
                      <w:highlight w:val="none"/>
                      <w:lang w:val="en-US" w:eastAsia="zh-CN"/>
                    </w:rPr>
                    <w:t>2、</w:t>
                  </w:r>
                  <w:r>
                    <w:rPr>
                      <w:rFonts w:hint="eastAsia"/>
                      <w:color w:val="auto"/>
                      <w:kern w:val="0"/>
                      <w:sz w:val="18"/>
                      <w:szCs w:val="18"/>
                      <w:highlight w:val="none"/>
                    </w:rPr>
                    <w:t>在矿产资源开发活动集中区域，废水执行重金属污染物排放特别限值。</w:t>
                  </w:r>
                </w:p>
                <w:p>
                  <w:pPr>
                    <w:autoSpaceDE w:val="0"/>
                    <w:autoSpaceDN w:val="0"/>
                    <w:adjustRightInd w:val="0"/>
                    <w:rPr>
                      <w:rFonts w:hint="eastAsia"/>
                      <w:color w:val="auto"/>
                      <w:kern w:val="0"/>
                      <w:sz w:val="18"/>
                      <w:szCs w:val="18"/>
                      <w:highlight w:val="none"/>
                    </w:rPr>
                  </w:pPr>
                  <w:r>
                    <w:rPr>
                      <w:rFonts w:hint="eastAsia"/>
                      <w:color w:val="auto"/>
                      <w:kern w:val="0"/>
                      <w:sz w:val="18"/>
                      <w:szCs w:val="18"/>
                      <w:highlight w:val="none"/>
                      <w:lang w:val="en-US" w:eastAsia="zh-CN"/>
                    </w:rPr>
                    <w:t>3、</w:t>
                  </w:r>
                  <w:r>
                    <w:rPr>
                      <w:rFonts w:hint="eastAsia"/>
                      <w:color w:val="auto"/>
                      <w:kern w:val="0"/>
                      <w:sz w:val="18"/>
                      <w:szCs w:val="18"/>
                      <w:highlight w:val="none"/>
                    </w:rPr>
                    <w:t>火电、水泥等行业按相关要求推进大气污染物超低排放和深度治理。</w:t>
                  </w:r>
                </w:p>
                <w:p>
                  <w:pPr>
                    <w:autoSpaceDE w:val="0"/>
                    <w:autoSpaceDN w:val="0"/>
                    <w:adjustRightInd w:val="0"/>
                    <w:rPr>
                      <w:color w:val="auto"/>
                      <w:kern w:val="0"/>
                      <w:sz w:val="18"/>
                      <w:szCs w:val="18"/>
                      <w:highlight w:val="none"/>
                    </w:rPr>
                  </w:pPr>
                  <w:r>
                    <w:rPr>
                      <w:rFonts w:hint="eastAsia"/>
                      <w:color w:val="auto"/>
                      <w:kern w:val="0"/>
                      <w:sz w:val="18"/>
                      <w:szCs w:val="18"/>
                      <w:highlight w:val="none"/>
                      <w:lang w:val="en-US" w:eastAsia="zh-CN"/>
                    </w:rPr>
                    <w:t>4、</w:t>
                  </w:r>
                  <w:r>
                    <w:rPr>
                      <w:rFonts w:hint="eastAsia"/>
                      <w:color w:val="auto"/>
                      <w:kern w:val="0"/>
                      <w:sz w:val="18"/>
                      <w:szCs w:val="18"/>
                      <w:highlight w:val="none"/>
                    </w:rPr>
                    <w:t>砖瓦行业实施脱硫、除尘升级改造，污染物排放达到《砖瓦工业大气污染物排放标准》相关要求。</w:t>
                  </w:r>
                </w:p>
              </w:tc>
              <w:tc>
                <w:tcPr>
                  <w:tcW w:w="711" w:type="pct"/>
                  <w:tcBorders>
                    <w:tl2br w:val="nil"/>
                    <w:tr2bl w:val="nil"/>
                  </w:tcBorders>
                  <w:tcMar>
                    <w:left w:w="28" w:type="dxa"/>
                    <w:right w:w="28" w:type="dxa"/>
                  </w:tcMar>
                  <w:vAlign w:val="center"/>
                </w:tcPr>
                <w:p>
                  <w:pPr>
                    <w:rPr>
                      <w:rFonts w:hint="default" w:eastAsia="宋体"/>
                      <w:color w:val="auto"/>
                      <w:sz w:val="18"/>
                      <w:szCs w:val="18"/>
                      <w:highlight w:val="none"/>
                      <w:lang w:val="en-US" w:eastAsia="zh-CN"/>
                    </w:rPr>
                  </w:pPr>
                  <w:r>
                    <w:rPr>
                      <w:rFonts w:hint="eastAsia"/>
                      <w:color w:val="auto"/>
                      <w:sz w:val="18"/>
                      <w:szCs w:val="18"/>
                      <w:highlight w:val="none"/>
                    </w:rPr>
                    <w:t>拟建项目</w:t>
                  </w:r>
                  <w:r>
                    <w:rPr>
                      <w:rFonts w:hint="eastAsia"/>
                      <w:color w:val="auto"/>
                      <w:sz w:val="18"/>
                      <w:szCs w:val="18"/>
                      <w:highlight w:val="none"/>
                      <w:lang w:val="en-US" w:eastAsia="zh-CN"/>
                    </w:rPr>
                    <w:t>无废水、废气排放。</w:t>
                  </w:r>
                </w:p>
              </w:tc>
              <w:tc>
                <w:tcPr>
                  <w:tcW w:w="330" w:type="pct"/>
                  <w:tcBorders>
                    <w:tl2br w:val="nil"/>
                    <w:tr2bl w:val="nil"/>
                  </w:tcBorders>
                  <w:tcMar>
                    <w:left w:w="28" w:type="dxa"/>
                    <w:right w:w="28" w:type="dxa"/>
                  </w:tcMar>
                  <w:vAlign w:val="center"/>
                </w:tcPr>
                <w:p>
                  <w:pPr>
                    <w:jc w:val="center"/>
                    <w:rPr>
                      <w:color w:val="auto"/>
                      <w:sz w:val="18"/>
                      <w:szCs w:val="18"/>
                      <w:highlight w:val="none"/>
                    </w:rPr>
                  </w:pPr>
                  <w:r>
                    <w:rPr>
                      <w:rFonts w:hint="eastAsia"/>
                      <w:color w:val="auto"/>
                      <w:sz w:val="18"/>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625" w:type="pct"/>
                  <w:vMerge w:val="continue"/>
                  <w:tcBorders>
                    <w:tl2br w:val="nil"/>
                    <w:tr2bl w:val="nil"/>
                  </w:tcBorders>
                  <w:tcMar>
                    <w:left w:w="28" w:type="dxa"/>
                    <w:right w:w="28" w:type="dxa"/>
                  </w:tcMar>
                  <w:vAlign w:val="center"/>
                </w:tcPr>
                <w:p>
                  <w:pPr>
                    <w:autoSpaceDE w:val="0"/>
                    <w:autoSpaceDN w:val="0"/>
                    <w:adjustRightInd w:val="0"/>
                    <w:jc w:val="center"/>
                    <w:rPr>
                      <w:color w:val="auto"/>
                      <w:kern w:val="0"/>
                      <w:sz w:val="18"/>
                      <w:szCs w:val="18"/>
                      <w:highlight w:val="none"/>
                    </w:rPr>
                  </w:pPr>
                </w:p>
              </w:tc>
              <w:tc>
                <w:tcPr>
                  <w:tcW w:w="400" w:type="pct"/>
                  <w:vMerge w:val="continue"/>
                  <w:tcBorders>
                    <w:tl2br w:val="nil"/>
                    <w:tr2bl w:val="nil"/>
                  </w:tcBorders>
                  <w:tcMar>
                    <w:left w:w="28" w:type="dxa"/>
                    <w:right w:w="28" w:type="dxa"/>
                  </w:tcMar>
                  <w:vAlign w:val="center"/>
                </w:tcPr>
                <w:p>
                  <w:pPr>
                    <w:autoSpaceDE w:val="0"/>
                    <w:autoSpaceDN w:val="0"/>
                    <w:adjustRightInd w:val="0"/>
                    <w:jc w:val="center"/>
                    <w:rPr>
                      <w:color w:val="auto"/>
                      <w:kern w:val="0"/>
                      <w:sz w:val="18"/>
                      <w:szCs w:val="18"/>
                      <w:highlight w:val="none"/>
                    </w:rPr>
                  </w:pPr>
                </w:p>
              </w:tc>
              <w:tc>
                <w:tcPr>
                  <w:tcW w:w="555" w:type="pct"/>
                  <w:tcBorders>
                    <w:tl2br w:val="nil"/>
                    <w:tr2bl w:val="nil"/>
                  </w:tcBorders>
                  <w:tcMar>
                    <w:left w:w="28" w:type="dxa"/>
                    <w:right w:w="28" w:type="dxa"/>
                  </w:tcMar>
                  <w:vAlign w:val="center"/>
                </w:tcPr>
                <w:p>
                  <w:pPr>
                    <w:autoSpaceDE w:val="0"/>
                    <w:autoSpaceDN w:val="0"/>
                    <w:adjustRightInd w:val="0"/>
                    <w:jc w:val="center"/>
                    <w:rPr>
                      <w:color w:val="auto"/>
                      <w:kern w:val="0"/>
                      <w:sz w:val="18"/>
                      <w:szCs w:val="18"/>
                      <w:highlight w:val="none"/>
                    </w:rPr>
                  </w:pPr>
                  <w:r>
                    <w:rPr>
                      <w:rFonts w:hint="eastAsia"/>
                      <w:color w:val="auto"/>
                      <w:kern w:val="0"/>
                      <w:sz w:val="18"/>
                      <w:szCs w:val="18"/>
                      <w:highlight w:val="none"/>
                    </w:rPr>
                    <w:t>其他污染物排放管控要求</w:t>
                  </w:r>
                </w:p>
              </w:tc>
              <w:tc>
                <w:tcPr>
                  <w:tcW w:w="2376" w:type="pct"/>
                  <w:tcBorders>
                    <w:tl2br w:val="nil"/>
                    <w:tr2bl w:val="nil"/>
                  </w:tcBorders>
                  <w:tcMar>
                    <w:left w:w="28" w:type="dxa"/>
                    <w:right w:w="28" w:type="dxa"/>
                  </w:tcMar>
                  <w:vAlign w:val="center"/>
                </w:tcPr>
                <w:p>
                  <w:pPr>
                    <w:autoSpaceDE w:val="0"/>
                    <w:autoSpaceDN w:val="0"/>
                    <w:adjustRightInd w:val="0"/>
                    <w:jc w:val="left"/>
                    <w:rPr>
                      <w:color w:val="auto"/>
                      <w:kern w:val="0"/>
                      <w:sz w:val="18"/>
                      <w:szCs w:val="18"/>
                      <w:highlight w:val="none"/>
                    </w:rPr>
                  </w:pPr>
                  <w:r>
                    <w:rPr>
                      <w:color w:val="auto"/>
                      <w:kern w:val="0"/>
                      <w:sz w:val="18"/>
                      <w:szCs w:val="18"/>
                      <w:highlight w:val="none"/>
                    </w:rPr>
                    <w:t>1.新</w:t>
                  </w:r>
                  <w:r>
                    <w:rPr>
                      <w:rFonts w:hint="eastAsia"/>
                      <w:color w:val="auto"/>
                      <w:kern w:val="0"/>
                      <w:sz w:val="18"/>
                      <w:szCs w:val="18"/>
                      <w:highlight w:val="none"/>
                      <w:lang w:eastAsia="zh-CN"/>
                    </w:rPr>
                    <w:t>增资</w:t>
                  </w:r>
                  <w:r>
                    <w:rPr>
                      <w:color w:val="auto"/>
                      <w:kern w:val="0"/>
                      <w:sz w:val="18"/>
                      <w:szCs w:val="18"/>
                      <w:highlight w:val="none"/>
                    </w:rPr>
                    <w:t>源等量或倍量替代：（1）</w:t>
                  </w:r>
                  <w:r>
                    <w:rPr>
                      <w:rFonts w:hint="eastAsia"/>
                      <w:color w:val="auto"/>
                      <w:kern w:val="0"/>
                      <w:sz w:val="18"/>
                      <w:szCs w:val="18"/>
                      <w:highlight w:val="none"/>
                    </w:rPr>
                    <w:t>上一年度水环境质量未完成目标的，新建排放水污染的建设项目按照总量管控要求进行倍量削减替代。上一年度空气质量年平均浓度不达标的城市，建设项目新增相关污染物按照总量管控要求进行倍量削减替代。</w:t>
                  </w:r>
                </w:p>
                <w:p>
                  <w:pPr>
                    <w:autoSpaceDE w:val="0"/>
                    <w:autoSpaceDN w:val="0"/>
                    <w:adjustRightInd w:val="0"/>
                    <w:jc w:val="left"/>
                    <w:rPr>
                      <w:rFonts w:hint="eastAsia"/>
                      <w:color w:val="auto"/>
                      <w:kern w:val="0"/>
                      <w:sz w:val="18"/>
                      <w:szCs w:val="18"/>
                      <w:highlight w:val="none"/>
                    </w:rPr>
                  </w:pPr>
                  <w:r>
                    <w:rPr>
                      <w:color w:val="auto"/>
                      <w:kern w:val="0"/>
                      <w:sz w:val="18"/>
                      <w:szCs w:val="18"/>
                      <w:highlight w:val="none"/>
                    </w:rPr>
                    <w:t>（2）</w:t>
                  </w:r>
                  <w:r>
                    <w:rPr>
                      <w:rFonts w:hint="eastAsia"/>
                      <w:color w:val="auto"/>
                      <w:kern w:val="0"/>
                      <w:sz w:val="18"/>
                      <w:szCs w:val="18"/>
                      <w:highlight w:val="none"/>
                    </w:rPr>
                    <w:t>大气环境重点管控区内，新增大气污染物排放的建设项目实施总量削减替代。</w:t>
                  </w:r>
                </w:p>
                <w:p>
                  <w:pPr>
                    <w:autoSpaceDE w:val="0"/>
                    <w:autoSpaceDN w:val="0"/>
                    <w:adjustRightInd w:val="0"/>
                    <w:jc w:val="left"/>
                    <w:rPr>
                      <w:color w:val="auto"/>
                      <w:kern w:val="0"/>
                      <w:sz w:val="18"/>
                      <w:szCs w:val="18"/>
                      <w:highlight w:val="none"/>
                    </w:rPr>
                  </w:pPr>
                  <w:r>
                    <w:rPr>
                      <w:rFonts w:hint="eastAsia"/>
                      <w:color w:val="auto"/>
                      <w:kern w:val="0"/>
                      <w:sz w:val="18"/>
                      <w:szCs w:val="18"/>
                      <w:highlight w:val="none"/>
                      <w:lang w:val="en-US" w:eastAsia="zh-CN"/>
                    </w:rPr>
                    <w:t>2</w:t>
                  </w:r>
                  <w:r>
                    <w:rPr>
                      <w:color w:val="auto"/>
                      <w:kern w:val="0"/>
                      <w:sz w:val="18"/>
                      <w:szCs w:val="18"/>
                      <w:highlight w:val="none"/>
                    </w:rPr>
                    <w:t>污染物排放绩效水平准入要求：</w:t>
                  </w:r>
                  <w:r>
                    <w:rPr>
                      <w:rFonts w:hint="eastAsia"/>
                      <w:color w:val="auto"/>
                      <w:kern w:val="0"/>
                      <w:sz w:val="18"/>
                      <w:szCs w:val="18"/>
                      <w:highlight w:val="none"/>
                    </w:rPr>
                    <w:t>屠宰项目必须配套污水处理设施或进入城市污水管网。</w:t>
                  </w:r>
                  <w:r>
                    <w:rPr>
                      <w:rFonts w:hint="eastAsia"/>
                      <w:color w:val="auto"/>
                      <w:kern w:val="0"/>
                      <w:sz w:val="18"/>
                      <w:szCs w:val="18"/>
                      <w:highlight w:val="none"/>
                      <w:lang w:eastAsia="zh-CN"/>
                    </w:rPr>
                    <w:t>大气环境重点管控区内加强“高架源”污染治理，深化施工扬尘监管，严格落实“六必须、六不准”管控要求，强化道路施工管控，提高道路清扫机械化和精细化作业水平。-至2022年底，基本实现乡镇污水处理设施全覆盖，配套建设污水收集管网，乡镇污水处理率达到65%。</w:t>
                  </w:r>
                </w:p>
              </w:tc>
              <w:tc>
                <w:tcPr>
                  <w:tcW w:w="711" w:type="pct"/>
                  <w:tcBorders>
                    <w:tl2br w:val="nil"/>
                    <w:tr2bl w:val="nil"/>
                  </w:tcBorders>
                  <w:tcMar>
                    <w:left w:w="28" w:type="dxa"/>
                    <w:right w:w="28" w:type="dxa"/>
                  </w:tcMar>
                  <w:vAlign w:val="center"/>
                </w:tcPr>
                <w:p>
                  <w:pPr>
                    <w:jc w:val="left"/>
                    <w:rPr>
                      <w:rFonts w:hint="default" w:eastAsia="宋体"/>
                      <w:color w:val="auto"/>
                      <w:sz w:val="18"/>
                      <w:szCs w:val="18"/>
                      <w:highlight w:val="none"/>
                      <w:lang w:val="en-US" w:eastAsia="zh-CN"/>
                    </w:rPr>
                  </w:pPr>
                  <w:r>
                    <w:rPr>
                      <w:rFonts w:hint="eastAsia"/>
                      <w:color w:val="auto"/>
                      <w:sz w:val="18"/>
                      <w:szCs w:val="18"/>
                      <w:highlight w:val="none"/>
                      <w:lang w:val="en-US" w:eastAsia="zh-CN"/>
                    </w:rPr>
                    <w:t>拟建项目无废水、废气排放</w:t>
                  </w:r>
                </w:p>
              </w:tc>
              <w:tc>
                <w:tcPr>
                  <w:tcW w:w="330" w:type="pct"/>
                  <w:tcBorders>
                    <w:tl2br w:val="nil"/>
                    <w:tr2bl w:val="nil"/>
                  </w:tcBorders>
                  <w:tcMar>
                    <w:left w:w="28" w:type="dxa"/>
                    <w:right w:w="28" w:type="dxa"/>
                  </w:tcMar>
                  <w:vAlign w:val="center"/>
                </w:tcPr>
                <w:p>
                  <w:pPr>
                    <w:jc w:val="center"/>
                    <w:rPr>
                      <w:color w:val="auto"/>
                      <w:sz w:val="18"/>
                      <w:szCs w:val="18"/>
                      <w:highlight w:val="none"/>
                    </w:rPr>
                  </w:pPr>
                  <w:r>
                    <w:rPr>
                      <w:rFonts w:hint="eastAsia"/>
                      <w:color w:val="auto"/>
                      <w:sz w:val="18"/>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625" w:type="pct"/>
                  <w:vMerge w:val="continue"/>
                  <w:tcBorders>
                    <w:tl2br w:val="nil"/>
                    <w:tr2bl w:val="nil"/>
                  </w:tcBorders>
                  <w:tcMar>
                    <w:left w:w="28" w:type="dxa"/>
                    <w:right w:w="28" w:type="dxa"/>
                  </w:tcMar>
                  <w:vAlign w:val="center"/>
                </w:tcPr>
                <w:p>
                  <w:pPr>
                    <w:autoSpaceDE w:val="0"/>
                    <w:autoSpaceDN w:val="0"/>
                    <w:adjustRightInd w:val="0"/>
                    <w:jc w:val="center"/>
                    <w:rPr>
                      <w:color w:val="auto"/>
                      <w:sz w:val="18"/>
                      <w:szCs w:val="18"/>
                      <w:highlight w:val="none"/>
                    </w:rPr>
                  </w:pPr>
                </w:p>
              </w:tc>
              <w:tc>
                <w:tcPr>
                  <w:tcW w:w="400" w:type="pct"/>
                  <w:vMerge w:val="restart"/>
                  <w:tcBorders>
                    <w:tl2br w:val="nil"/>
                    <w:tr2bl w:val="nil"/>
                  </w:tcBorders>
                  <w:tcMar>
                    <w:left w:w="28" w:type="dxa"/>
                    <w:right w:w="28" w:type="dxa"/>
                  </w:tcMar>
                  <w:vAlign w:val="center"/>
                </w:tcPr>
                <w:p>
                  <w:pPr>
                    <w:autoSpaceDE w:val="0"/>
                    <w:autoSpaceDN w:val="0"/>
                    <w:adjustRightInd w:val="0"/>
                    <w:jc w:val="center"/>
                    <w:rPr>
                      <w:color w:val="auto"/>
                      <w:sz w:val="18"/>
                      <w:szCs w:val="18"/>
                      <w:highlight w:val="none"/>
                    </w:rPr>
                  </w:pPr>
                  <w:r>
                    <w:rPr>
                      <w:color w:val="auto"/>
                      <w:sz w:val="18"/>
                      <w:szCs w:val="18"/>
                      <w:highlight w:val="none"/>
                    </w:rPr>
                    <w:t>环境风险防控</w:t>
                  </w:r>
                </w:p>
              </w:tc>
              <w:tc>
                <w:tcPr>
                  <w:tcW w:w="555" w:type="pct"/>
                  <w:tcBorders>
                    <w:tl2br w:val="nil"/>
                    <w:tr2bl w:val="nil"/>
                  </w:tcBorders>
                  <w:tcMar>
                    <w:left w:w="28" w:type="dxa"/>
                    <w:right w:w="28" w:type="dxa"/>
                  </w:tcMar>
                  <w:vAlign w:val="center"/>
                </w:tcPr>
                <w:p>
                  <w:pPr>
                    <w:autoSpaceDE w:val="0"/>
                    <w:autoSpaceDN w:val="0"/>
                    <w:adjustRightInd w:val="0"/>
                    <w:jc w:val="center"/>
                    <w:rPr>
                      <w:color w:val="auto"/>
                      <w:kern w:val="0"/>
                      <w:sz w:val="18"/>
                      <w:szCs w:val="18"/>
                      <w:highlight w:val="none"/>
                    </w:rPr>
                  </w:pPr>
                  <w:r>
                    <w:rPr>
                      <w:color w:val="auto"/>
                      <w:kern w:val="0"/>
                      <w:sz w:val="18"/>
                      <w:szCs w:val="18"/>
                      <w:highlight w:val="none"/>
                    </w:rPr>
                    <w:t>联防联控要求</w:t>
                  </w:r>
                </w:p>
              </w:tc>
              <w:tc>
                <w:tcPr>
                  <w:tcW w:w="2376" w:type="pct"/>
                  <w:tcBorders>
                    <w:tl2br w:val="nil"/>
                    <w:tr2bl w:val="nil"/>
                  </w:tcBorders>
                  <w:tcMar>
                    <w:left w:w="28" w:type="dxa"/>
                    <w:right w:w="28" w:type="dxa"/>
                  </w:tcMar>
                  <w:vAlign w:val="center"/>
                </w:tcPr>
                <w:p>
                  <w:pPr>
                    <w:autoSpaceDE w:val="0"/>
                    <w:autoSpaceDN w:val="0"/>
                    <w:adjustRightInd w:val="0"/>
                    <w:rPr>
                      <w:color w:val="auto"/>
                      <w:kern w:val="0"/>
                      <w:sz w:val="18"/>
                      <w:szCs w:val="18"/>
                      <w:highlight w:val="none"/>
                    </w:rPr>
                  </w:pPr>
                  <w:r>
                    <w:rPr>
                      <w:rFonts w:hint="eastAsia"/>
                      <w:color w:val="auto"/>
                      <w:kern w:val="0"/>
                      <w:sz w:val="18"/>
                      <w:szCs w:val="18"/>
                      <w:highlight w:val="none"/>
                    </w:rPr>
                    <w:t>强化区域联防联控，严格落实《关于建立跨省流域上下游突发水污染事件联防联控机制的指导意见》；定期召开区域大气环境形</w:t>
                  </w:r>
                  <w:r>
                    <w:rPr>
                      <w:rFonts w:hint="eastAsia"/>
                      <w:color w:val="auto"/>
                      <w:kern w:val="0"/>
                      <w:sz w:val="18"/>
                      <w:szCs w:val="18"/>
                      <w:highlight w:val="none"/>
                      <w:lang w:eastAsia="zh-CN"/>
                    </w:rPr>
                    <w:t>势</w:t>
                  </w:r>
                  <w:r>
                    <w:rPr>
                      <w:rFonts w:hint="eastAsia"/>
                      <w:color w:val="auto"/>
                      <w:kern w:val="0"/>
                      <w:sz w:val="18"/>
                      <w:szCs w:val="18"/>
                      <w:highlight w:val="none"/>
                    </w:rPr>
                    <w:t>分析会，强化信息共享和联动合作，实行环境规划，标准，环评，执法，信息公开“六统一”，协力推进大气污染源头防控，加强川东北区域</w:t>
                  </w:r>
                  <w:r>
                    <w:rPr>
                      <w:rFonts w:hint="eastAsia"/>
                      <w:color w:val="auto"/>
                      <w:kern w:val="0"/>
                      <w:sz w:val="18"/>
                      <w:szCs w:val="18"/>
                      <w:highlight w:val="none"/>
                      <w:lang w:eastAsia="zh-CN"/>
                    </w:rPr>
                    <w:t>大气污染防治</w:t>
                  </w:r>
                  <w:r>
                    <w:rPr>
                      <w:rFonts w:hint="eastAsia"/>
                      <w:color w:val="auto"/>
                      <w:kern w:val="0"/>
                      <w:sz w:val="18"/>
                      <w:szCs w:val="18"/>
                      <w:highlight w:val="none"/>
                    </w:rPr>
                    <w:t>合作</w:t>
                  </w:r>
                </w:p>
              </w:tc>
              <w:tc>
                <w:tcPr>
                  <w:tcW w:w="711" w:type="pct"/>
                  <w:vMerge w:val="restart"/>
                  <w:tcBorders>
                    <w:tl2br w:val="nil"/>
                    <w:tr2bl w:val="nil"/>
                  </w:tcBorders>
                  <w:tcMar>
                    <w:left w:w="28" w:type="dxa"/>
                    <w:right w:w="28" w:type="dxa"/>
                  </w:tcMar>
                  <w:vAlign w:val="center"/>
                </w:tcPr>
                <w:p>
                  <w:pPr>
                    <w:rPr>
                      <w:color w:val="auto"/>
                      <w:sz w:val="18"/>
                      <w:szCs w:val="18"/>
                      <w:highlight w:val="none"/>
                    </w:rPr>
                  </w:pPr>
                </w:p>
              </w:tc>
              <w:tc>
                <w:tcPr>
                  <w:tcW w:w="330" w:type="pct"/>
                  <w:tcBorders>
                    <w:tl2br w:val="nil"/>
                    <w:tr2bl w:val="nil"/>
                  </w:tcBorders>
                  <w:tcMar>
                    <w:left w:w="28" w:type="dxa"/>
                    <w:right w:w="28" w:type="dxa"/>
                  </w:tcMar>
                  <w:vAlign w:val="center"/>
                </w:tcPr>
                <w:p>
                  <w:pPr>
                    <w:jc w:val="center"/>
                    <w:rPr>
                      <w:color w:val="auto"/>
                      <w:sz w:val="18"/>
                      <w:szCs w:val="18"/>
                      <w:highlight w:val="none"/>
                    </w:rPr>
                  </w:pPr>
                  <w:r>
                    <w:rPr>
                      <w:rFonts w:hint="eastAsia"/>
                      <w:color w:val="auto"/>
                      <w:sz w:val="18"/>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4" w:hRule="atLeast"/>
                <w:jc w:val="center"/>
              </w:trPr>
              <w:tc>
                <w:tcPr>
                  <w:tcW w:w="625" w:type="pct"/>
                  <w:vMerge w:val="continue"/>
                  <w:tcBorders>
                    <w:tl2br w:val="nil"/>
                    <w:tr2bl w:val="nil"/>
                  </w:tcBorders>
                  <w:tcMar>
                    <w:left w:w="28" w:type="dxa"/>
                    <w:right w:w="28" w:type="dxa"/>
                  </w:tcMar>
                  <w:vAlign w:val="center"/>
                </w:tcPr>
                <w:p>
                  <w:pPr>
                    <w:autoSpaceDE w:val="0"/>
                    <w:autoSpaceDN w:val="0"/>
                    <w:adjustRightInd w:val="0"/>
                    <w:jc w:val="center"/>
                    <w:rPr>
                      <w:color w:val="auto"/>
                      <w:sz w:val="18"/>
                      <w:szCs w:val="18"/>
                      <w:highlight w:val="none"/>
                    </w:rPr>
                  </w:pPr>
                </w:p>
              </w:tc>
              <w:tc>
                <w:tcPr>
                  <w:tcW w:w="400" w:type="pct"/>
                  <w:vMerge w:val="continue"/>
                  <w:tcBorders>
                    <w:tl2br w:val="nil"/>
                    <w:tr2bl w:val="nil"/>
                  </w:tcBorders>
                  <w:tcMar>
                    <w:left w:w="28" w:type="dxa"/>
                    <w:right w:w="28" w:type="dxa"/>
                  </w:tcMar>
                  <w:vAlign w:val="center"/>
                </w:tcPr>
                <w:p>
                  <w:pPr>
                    <w:autoSpaceDE w:val="0"/>
                    <w:autoSpaceDN w:val="0"/>
                    <w:adjustRightInd w:val="0"/>
                    <w:jc w:val="center"/>
                    <w:rPr>
                      <w:color w:val="auto"/>
                      <w:sz w:val="18"/>
                      <w:szCs w:val="18"/>
                      <w:highlight w:val="none"/>
                    </w:rPr>
                  </w:pPr>
                </w:p>
              </w:tc>
              <w:tc>
                <w:tcPr>
                  <w:tcW w:w="555" w:type="pct"/>
                  <w:tcBorders>
                    <w:tl2br w:val="nil"/>
                    <w:tr2bl w:val="nil"/>
                  </w:tcBorders>
                  <w:tcMar>
                    <w:left w:w="28" w:type="dxa"/>
                    <w:right w:w="28" w:type="dxa"/>
                  </w:tcMar>
                  <w:vAlign w:val="center"/>
                </w:tcPr>
                <w:p>
                  <w:pPr>
                    <w:autoSpaceDE w:val="0"/>
                    <w:autoSpaceDN w:val="0"/>
                    <w:adjustRightInd w:val="0"/>
                    <w:jc w:val="center"/>
                    <w:rPr>
                      <w:color w:val="auto"/>
                      <w:kern w:val="0"/>
                      <w:sz w:val="18"/>
                      <w:szCs w:val="18"/>
                      <w:highlight w:val="none"/>
                    </w:rPr>
                  </w:pPr>
                  <w:r>
                    <w:rPr>
                      <w:color w:val="auto"/>
                      <w:kern w:val="0"/>
                      <w:sz w:val="18"/>
                      <w:szCs w:val="18"/>
                      <w:highlight w:val="none"/>
                    </w:rPr>
                    <w:t>其他环境风险防控要求</w:t>
                  </w:r>
                </w:p>
                <w:p>
                  <w:pPr>
                    <w:autoSpaceDE w:val="0"/>
                    <w:autoSpaceDN w:val="0"/>
                    <w:adjustRightInd w:val="0"/>
                    <w:jc w:val="center"/>
                    <w:rPr>
                      <w:color w:val="auto"/>
                      <w:kern w:val="0"/>
                      <w:sz w:val="18"/>
                      <w:szCs w:val="18"/>
                      <w:highlight w:val="none"/>
                    </w:rPr>
                  </w:pPr>
                </w:p>
              </w:tc>
              <w:tc>
                <w:tcPr>
                  <w:tcW w:w="2376" w:type="pct"/>
                  <w:tcBorders>
                    <w:tl2br w:val="nil"/>
                    <w:tr2bl w:val="nil"/>
                  </w:tcBorders>
                  <w:tcMar>
                    <w:left w:w="28" w:type="dxa"/>
                    <w:right w:w="28" w:type="dxa"/>
                  </w:tcMar>
                  <w:vAlign w:val="center"/>
                </w:tcPr>
                <w:p>
                  <w:pPr>
                    <w:autoSpaceDE w:val="0"/>
                    <w:autoSpaceDN w:val="0"/>
                    <w:adjustRightInd w:val="0"/>
                    <w:rPr>
                      <w:rFonts w:hint="eastAsia"/>
                      <w:color w:val="auto"/>
                      <w:kern w:val="0"/>
                      <w:sz w:val="18"/>
                      <w:szCs w:val="18"/>
                      <w:highlight w:val="none"/>
                    </w:rPr>
                  </w:pPr>
                  <w:r>
                    <w:rPr>
                      <w:rFonts w:hint="eastAsia"/>
                      <w:color w:val="auto"/>
                      <w:kern w:val="0"/>
                      <w:sz w:val="18"/>
                      <w:szCs w:val="18"/>
                      <w:highlight w:val="none"/>
                      <w:lang w:val="en-US" w:eastAsia="zh-CN"/>
                    </w:rPr>
                    <w:t>1、</w:t>
                  </w:r>
                  <w:r>
                    <w:rPr>
                      <w:rFonts w:hint="eastAsia"/>
                      <w:color w:val="auto"/>
                      <w:kern w:val="0"/>
                      <w:sz w:val="18"/>
                      <w:szCs w:val="18"/>
                      <w:highlight w:val="none"/>
                    </w:rPr>
                    <w:t>企业环境风险防控要求</w:t>
                  </w:r>
                  <w:r>
                    <w:rPr>
                      <w:rFonts w:hint="eastAsia"/>
                      <w:color w:val="auto"/>
                      <w:kern w:val="0"/>
                      <w:sz w:val="18"/>
                      <w:szCs w:val="18"/>
                      <w:highlight w:val="none"/>
                      <w:lang w:eastAsia="zh-CN"/>
                    </w:rPr>
                    <w:t>：</w:t>
                  </w:r>
                  <w:r>
                    <w:rPr>
                      <w:rFonts w:hint="eastAsia"/>
                      <w:color w:val="auto"/>
                      <w:kern w:val="0"/>
                      <w:sz w:val="18"/>
                      <w:szCs w:val="18"/>
                      <w:highlight w:val="none"/>
                    </w:rPr>
                    <w:t>工业企业退出用地，须经评估、修复满足相应用地功能后，方可改变用途。</w:t>
                  </w:r>
                </w:p>
                <w:p>
                  <w:pPr>
                    <w:autoSpaceDE w:val="0"/>
                    <w:autoSpaceDN w:val="0"/>
                    <w:adjustRightInd w:val="0"/>
                    <w:rPr>
                      <w:rFonts w:hint="eastAsia"/>
                      <w:color w:val="auto"/>
                      <w:kern w:val="0"/>
                      <w:sz w:val="18"/>
                      <w:szCs w:val="18"/>
                      <w:highlight w:val="none"/>
                    </w:rPr>
                  </w:pPr>
                  <w:r>
                    <w:rPr>
                      <w:rFonts w:hint="eastAsia"/>
                      <w:color w:val="auto"/>
                      <w:kern w:val="0"/>
                      <w:sz w:val="18"/>
                      <w:szCs w:val="18"/>
                      <w:highlight w:val="none"/>
                      <w:lang w:val="en-US" w:eastAsia="zh-CN"/>
                    </w:rPr>
                    <w:t>2、</w:t>
                  </w:r>
                  <w:r>
                    <w:rPr>
                      <w:rFonts w:hint="eastAsia"/>
                      <w:color w:val="auto"/>
                      <w:kern w:val="0"/>
                      <w:sz w:val="18"/>
                      <w:szCs w:val="18"/>
                      <w:highlight w:val="none"/>
                    </w:rPr>
                    <w:t>加强“散乱污”企业环境风险防控。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w:t>
                  </w:r>
                </w:p>
                <w:p>
                  <w:pPr>
                    <w:autoSpaceDE w:val="0"/>
                    <w:autoSpaceDN w:val="0"/>
                    <w:adjustRightInd w:val="0"/>
                    <w:rPr>
                      <w:rFonts w:hint="eastAsia"/>
                      <w:color w:val="auto"/>
                      <w:kern w:val="0"/>
                      <w:sz w:val="18"/>
                      <w:szCs w:val="18"/>
                      <w:highlight w:val="none"/>
                    </w:rPr>
                  </w:pPr>
                  <w:r>
                    <w:rPr>
                      <w:rFonts w:hint="eastAsia"/>
                      <w:color w:val="auto"/>
                      <w:kern w:val="0"/>
                      <w:sz w:val="18"/>
                      <w:szCs w:val="18"/>
                      <w:highlight w:val="none"/>
                      <w:lang w:val="en-US" w:eastAsia="zh-CN"/>
                    </w:rPr>
                    <w:t>3、</w:t>
                  </w:r>
                  <w:r>
                    <w:rPr>
                      <w:rFonts w:hint="eastAsia"/>
                      <w:color w:val="auto"/>
                      <w:kern w:val="0"/>
                      <w:sz w:val="18"/>
                      <w:szCs w:val="18"/>
                      <w:highlight w:val="none"/>
                    </w:rPr>
                    <w:t>用地环境风险防控要求</w:t>
                  </w:r>
                  <w:r>
                    <w:rPr>
                      <w:rFonts w:hint="eastAsia"/>
                      <w:color w:val="auto"/>
                      <w:kern w:val="0"/>
                      <w:sz w:val="18"/>
                      <w:szCs w:val="18"/>
                      <w:highlight w:val="none"/>
                      <w:lang w:eastAsia="zh-CN"/>
                    </w:rPr>
                    <w:t>：</w:t>
                  </w:r>
                  <w:r>
                    <w:rPr>
                      <w:rFonts w:hint="eastAsia"/>
                      <w:color w:val="auto"/>
                      <w:kern w:val="0"/>
                      <w:sz w:val="18"/>
                      <w:szCs w:val="18"/>
                      <w:highlight w:val="none"/>
                    </w:rPr>
                    <w:t>严禁将城镇生活垃圾、污泥、工业废物直接用作肥料，禁止处理不达标的污泥进入耕地；禁止在农用地排放、倾倒、使用污泥、清淤底泥、尾矿（渣）等可能对土壤造成污染的固体废物。</w:t>
                  </w:r>
                </w:p>
                <w:p>
                  <w:pPr>
                    <w:autoSpaceDE w:val="0"/>
                    <w:autoSpaceDN w:val="0"/>
                    <w:adjustRightInd w:val="0"/>
                    <w:rPr>
                      <w:rFonts w:hint="eastAsia"/>
                      <w:color w:val="auto"/>
                      <w:kern w:val="0"/>
                      <w:sz w:val="18"/>
                      <w:szCs w:val="18"/>
                      <w:highlight w:val="none"/>
                    </w:rPr>
                  </w:pPr>
                  <w:r>
                    <w:rPr>
                      <w:rFonts w:hint="eastAsia"/>
                      <w:color w:val="auto"/>
                      <w:kern w:val="0"/>
                      <w:sz w:val="18"/>
                      <w:szCs w:val="18"/>
                      <w:highlight w:val="none"/>
                      <w:lang w:val="en-US" w:eastAsia="zh-CN"/>
                    </w:rPr>
                    <w:t>4、</w:t>
                  </w:r>
                  <w:r>
                    <w:rPr>
                      <w:rFonts w:hint="eastAsia"/>
                      <w:color w:val="auto"/>
                      <w:kern w:val="0"/>
                      <w:sz w:val="18"/>
                      <w:szCs w:val="18"/>
                      <w:highlight w:val="none"/>
                    </w:rPr>
                    <w:t>定期对单元内尾矿库进行风险巡查，建立监测系统和环境风险应急预案；完善各尾矿库渗滤液收集、处理、回用系统，杜绝事故排放；尾矿库闭矿后因地制宜进行植被恢复和综合利用。</w:t>
                  </w:r>
                </w:p>
                <w:p>
                  <w:pPr>
                    <w:autoSpaceDE w:val="0"/>
                    <w:autoSpaceDN w:val="0"/>
                    <w:adjustRightInd w:val="0"/>
                    <w:rPr>
                      <w:rFonts w:hint="eastAsia"/>
                      <w:color w:val="auto"/>
                      <w:kern w:val="0"/>
                      <w:sz w:val="18"/>
                      <w:szCs w:val="18"/>
                      <w:highlight w:val="none"/>
                    </w:rPr>
                  </w:pPr>
                  <w:r>
                    <w:rPr>
                      <w:rFonts w:hint="eastAsia"/>
                      <w:color w:val="auto"/>
                      <w:kern w:val="0"/>
                      <w:sz w:val="18"/>
                      <w:szCs w:val="18"/>
                      <w:highlight w:val="none"/>
                      <w:lang w:val="en-US" w:eastAsia="zh-CN"/>
                    </w:rPr>
                    <w:t>5、</w:t>
                  </w:r>
                  <w:r>
                    <w:rPr>
                      <w:rFonts w:hint="eastAsia"/>
                      <w:color w:val="auto"/>
                      <w:kern w:val="0"/>
                      <w:sz w:val="18"/>
                      <w:szCs w:val="18"/>
                      <w:highlight w:val="none"/>
                    </w:rPr>
                    <w:t>规范排土场、渣场等整治。禁止处理不达标的污泥进入耕地。</w:t>
                  </w:r>
                </w:p>
                <w:p>
                  <w:pPr>
                    <w:autoSpaceDE w:val="0"/>
                    <w:autoSpaceDN w:val="0"/>
                    <w:adjustRightInd w:val="0"/>
                    <w:rPr>
                      <w:rFonts w:hint="eastAsia"/>
                      <w:color w:val="auto"/>
                      <w:kern w:val="0"/>
                      <w:sz w:val="18"/>
                      <w:szCs w:val="18"/>
                      <w:highlight w:val="none"/>
                    </w:rPr>
                  </w:pPr>
                  <w:r>
                    <w:rPr>
                      <w:rFonts w:hint="eastAsia"/>
                      <w:color w:val="auto"/>
                      <w:kern w:val="0"/>
                      <w:sz w:val="18"/>
                      <w:szCs w:val="18"/>
                      <w:highlight w:val="none"/>
                      <w:lang w:val="en-US" w:eastAsia="zh-CN"/>
                    </w:rPr>
                    <w:t>6、</w:t>
                  </w:r>
                  <w:r>
                    <w:rPr>
                      <w:rFonts w:hint="eastAsia"/>
                      <w:color w:val="auto"/>
                      <w:kern w:val="0"/>
                      <w:sz w:val="18"/>
                      <w:szCs w:val="18"/>
                      <w:highlight w:val="none"/>
                    </w:rPr>
                    <w:t>严格控制林地、草地、园地的农药使用量，禁止使用高毒、高残留农药。</w:t>
                  </w:r>
                </w:p>
                <w:p>
                  <w:pPr>
                    <w:autoSpaceDE w:val="0"/>
                    <w:autoSpaceDN w:val="0"/>
                    <w:adjustRightInd w:val="0"/>
                    <w:rPr>
                      <w:color w:val="auto"/>
                      <w:kern w:val="0"/>
                      <w:sz w:val="18"/>
                      <w:szCs w:val="18"/>
                      <w:highlight w:val="none"/>
                    </w:rPr>
                  </w:pPr>
                  <w:r>
                    <w:rPr>
                      <w:rFonts w:hint="eastAsia"/>
                      <w:color w:val="auto"/>
                      <w:kern w:val="0"/>
                      <w:sz w:val="18"/>
                      <w:szCs w:val="18"/>
                      <w:highlight w:val="none"/>
                      <w:lang w:val="en-US" w:eastAsia="zh-CN"/>
                    </w:rPr>
                    <w:t>7、</w:t>
                  </w:r>
                  <w:r>
                    <w:rPr>
                      <w:rFonts w:hint="eastAsia"/>
                      <w:color w:val="auto"/>
                      <w:kern w:val="0"/>
                      <w:sz w:val="18"/>
                      <w:szCs w:val="18"/>
                      <w:highlight w:val="none"/>
                    </w:rPr>
                    <w:t>到2030年，全市受污染耕地安全利用率达到95%以上，污染地块安全利用率达到95%以上。</w:t>
                  </w:r>
                </w:p>
              </w:tc>
              <w:tc>
                <w:tcPr>
                  <w:tcW w:w="711" w:type="pct"/>
                  <w:vMerge w:val="continue"/>
                  <w:tcBorders>
                    <w:tl2br w:val="nil"/>
                    <w:tr2bl w:val="nil"/>
                  </w:tcBorders>
                  <w:tcMar>
                    <w:left w:w="28" w:type="dxa"/>
                    <w:right w:w="28" w:type="dxa"/>
                  </w:tcMar>
                  <w:vAlign w:val="center"/>
                </w:tcPr>
                <w:p>
                  <w:pPr>
                    <w:rPr>
                      <w:color w:val="auto"/>
                      <w:sz w:val="18"/>
                      <w:szCs w:val="18"/>
                      <w:highlight w:val="none"/>
                    </w:rPr>
                  </w:pPr>
                </w:p>
              </w:tc>
              <w:tc>
                <w:tcPr>
                  <w:tcW w:w="330" w:type="pct"/>
                  <w:tcBorders>
                    <w:tl2br w:val="nil"/>
                    <w:tr2bl w:val="nil"/>
                  </w:tcBorders>
                  <w:tcMar>
                    <w:left w:w="28" w:type="dxa"/>
                    <w:right w:w="28" w:type="dxa"/>
                  </w:tcMar>
                  <w:vAlign w:val="center"/>
                </w:tcPr>
                <w:p>
                  <w:pPr>
                    <w:jc w:val="center"/>
                    <w:rPr>
                      <w:color w:val="auto"/>
                      <w:sz w:val="18"/>
                      <w:szCs w:val="18"/>
                      <w:highlight w:val="none"/>
                    </w:rPr>
                  </w:pPr>
                  <w:r>
                    <w:rPr>
                      <w:rFonts w:hint="eastAsia"/>
                      <w:color w:val="auto"/>
                      <w:sz w:val="18"/>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5" w:type="pct"/>
                  <w:vMerge w:val="continue"/>
                  <w:tcBorders>
                    <w:tl2br w:val="nil"/>
                    <w:tr2bl w:val="nil"/>
                  </w:tcBorders>
                  <w:tcMar>
                    <w:left w:w="28" w:type="dxa"/>
                    <w:right w:w="28" w:type="dxa"/>
                  </w:tcMar>
                  <w:vAlign w:val="center"/>
                </w:tcPr>
                <w:p>
                  <w:pPr>
                    <w:autoSpaceDE w:val="0"/>
                    <w:autoSpaceDN w:val="0"/>
                    <w:adjustRightInd w:val="0"/>
                    <w:jc w:val="center"/>
                    <w:rPr>
                      <w:color w:val="auto"/>
                      <w:sz w:val="18"/>
                      <w:szCs w:val="18"/>
                      <w:highlight w:val="none"/>
                    </w:rPr>
                  </w:pPr>
                </w:p>
              </w:tc>
              <w:tc>
                <w:tcPr>
                  <w:tcW w:w="400" w:type="pct"/>
                  <w:vMerge w:val="restart"/>
                  <w:tcBorders>
                    <w:tl2br w:val="nil"/>
                    <w:tr2bl w:val="nil"/>
                  </w:tcBorders>
                  <w:tcMar>
                    <w:left w:w="28" w:type="dxa"/>
                    <w:right w:w="28" w:type="dxa"/>
                  </w:tcMar>
                  <w:vAlign w:val="center"/>
                </w:tcPr>
                <w:p>
                  <w:pPr>
                    <w:autoSpaceDE w:val="0"/>
                    <w:autoSpaceDN w:val="0"/>
                    <w:adjustRightInd w:val="0"/>
                    <w:jc w:val="center"/>
                    <w:rPr>
                      <w:color w:val="auto"/>
                      <w:sz w:val="18"/>
                      <w:szCs w:val="18"/>
                      <w:highlight w:val="none"/>
                    </w:rPr>
                  </w:pPr>
                  <w:r>
                    <w:rPr>
                      <w:color w:val="auto"/>
                      <w:sz w:val="18"/>
                      <w:szCs w:val="18"/>
                      <w:highlight w:val="none"/>
                    </w:rPr>
                    <w:t>资源开发效率</w:t>
                  </w:r>
                </w:p>
              </w:tc>
              <w:tc>
                <w:tcPr>
                  <w:tcW w:w="555" w:type="pct"/>
                  <w:tcBorders>
                    <w:tl2br w:val="nil"/>
                    <w:tr2bl w:val="nil"/>
                  </w:tcBorders>
                  <w:tcMar>
                    <w:left w:w="28" w:type="dxa"/>
                    <w:right w:w="28" w:type="dxa"/>
                  </w:tcMar>
                  <w:vAlign w:val="center"/>
                </w:tcPr>
                <w:p>
                  <w:pPr>
                    <w:autoSpaceDE w:val="0"/>
                    <w:autoSpaceDN w:val="0"/>
                    <w:adjustRightInd w:val="0"/>
                    <w:jc w:val="center"/>
                    <w:rPr>
                      <w:color w:val="auto"/>
                      <w:kern w:val="0"/>
                      <w:sz w:val="18"/>
                      <w:szCs w:val="18"/>
                      <w:highlight w:val="none"/>
                    </w:rPr>
                  </w:pPr>
                  <w:r>
                    <w:rPr>
                      <w:color w:val="auto"/>
                      <w:kern w:val="0"/>
                      <w:sz w:val="18"/>
                      <w:szCs w:val="18"/>
                      <w:highlight w:val="none"/>
                    </w:rPr>
                    <w:t>水资源利用要求</w:t>
                  </w:r>
                </w:p>
              </w:tc>
              <w:tc>
                <w:tcPr>
                  <w:tcW w:w="2376" w:type="pct"/>
                  <w:tcBorders>
                    <w:tl2br w:val="nil"/>
                    <w:tr2bl w:val="nil"/>
                  </w:tcBorders>
                  <w:tcMar>
                    <w:left w:w="28" w:type="dxa"/>
                    <w:right w:w="28" w:type="dxa"/>
                  </w:tcMar>
                  <w:vAlign w:val="center"/>
                </w:tcPr>
                <w:p>
                  <w:pPr>
                    <w:autoSpaceDE w:val="0"/>
                    <w:autoSpaceDN w:val="0"/>
                    <w:adjustRightInd w:val="0"/>
                    <w:rPr>
                      <w:color w:val="auto"/>
                      <w:kern w:val="0"/>
                      <w:sz w:val="18"/>
                      <w:szCs w:val="18"/>
                      <w:highlight w:val="none"/>
                    </w:rPr>
                  </w:pPr>
                  <w:r>
                    <w:rPr>
                      <w:rFonts w:hint="eastAsia"/>
                      <w:color w:val="auto"/>
                      <w:kern w:val="0"/>
                      <w:sz w:val="18"/>
                      <w:szCs w:val="18"/>
                      <w:highlight w:val="none"/>
                    </w:rPr>
                    <w:t>到2025年，农田灌溉水有效利用系数达到0.57以上。</w:t>
                  </w:r>
                </w:p>
              </w:tc>
              <w:tc>
                <w:tcPr>
                  <w:tcW w:w="711" w:type="pct"/>
                  <w:vMerge w:val="restart"/>
                  <w:tcBorders>
                    <w:tl2br w:val="nil"/>
                    <w:tr2bl w:val="nil"/>
                  </w:tcBorders>
                  <w:tcMar>
                    <w:left w:w="28" w:type="dxa"/>
                    <w:right w:w="28" w:type="dxa"/>
                  </w:tcMar>
                  <w:vAlign w:val="center"/>
                </w:tcPr>
                <w:p>
                  <w:pPr>
                    <w:rPr>
                      <w:rFonts w:hint="default" w:eastAsia="宋体"/>
                      <w:color w:val="auto"/>
                      <w:sz w:val="18"/>
                      <w:szCs w:val="18"/>
                      <w:highlight w:val="none"/>
                      <w:lang w:val="en-US" w:eastAsia="zh-CN"/>
                    </w:rPr>
                  </w:pPr>
                  <w:r>
                    <w:rPr>
                      <w:rFonts w:hint="eastAsia"/>
                      <w:color w:val="auto"/>
                      <w:kern w:val="0"/>
                      <w:sz w:val="18"/>
                      <w:szCs w:val="18"/>
                      <w:highlight w:val="none"/>
                    </w:rPr>
                    <w:t>拟建项目属于</w:t>
                  </w:r>
                  <w:r>
                    <w:rPr>
                      <w:rFonts w:hint="eastAsia"/>
                      <w:color w:val="auto"/>
                      <w:kern w:val="0"/>
                      <w:sz w:val="18"/>
                      <w:szCs w:val="18"/>
                      <w:highlight w:val="none"/>
                      <w:lang w:val="en-US" w:eastAsia="zh-CN"/>
                    </w:rPr>
                    <w:t>水库</w:t>
                  </w:r>
                  <w:r>
                    <w:rPr>
                      <w:rFonts w:hint="eastAsia"/>
                      <w:color w:val="auto"/>
                      <w:kern w:val="0"/>
                      <w:sz w:val="18"/>
                      <w:szCs w:val="18"/>
                      <w:highlight w:val="none"/>
                    </w:rPr>
                    <w:t>项目，</w:t>
                  </w:r>
                  <w:r>
                    <w:rPr>
                      <w:rFonts w:hint="eastAsia"/>
                      <w:color w:val="auto"/>
                      <w:kern w:val="0"/>
                      <w:sz w:val="18"/>
                      <w:szCs w:val="18"/>
                      <w:highlight w:val="none"/>
                      <w:lang w:val="en-US" w:eastAsia="zh-CN"/>
                    </w:rPr>
                    <w:t>项目建设有利于提高农田灌溉，项目不涉及燃煤锅炉，不涉及秸秆和垃圾焚烧。</w:t>
                  </w:r>
                </w:p>
              </w:tc>
              <w:tc>
                <w:tcPr>
                  <w:tcW w:w="330" w:type="pct"/>
                  <w:tcBorders>
                    <w:tl2br w:val="nil"/>
                    <w:tr2bl w:val="nil"/>
                  </w:tcBorders>
                  <w:tcMar>
                    <w:left w:w="28" w:type="dxa"/>
                    <w:right w:w="28" w:type="dxa"/>
                  </w:tcMar>
                  <w:vAlign w:val="center"/>
                </w:tcPr>
                <w:p>
                  <w:pPr>
                    <w:jc w:val="center"/>
                    <w:rPr>
                      <w:color w:val="auto"/>
                      <w:sz w:val="18"/>
                      <w:szCs w:val="18"/>
                      <w:highlight w:val="none"/>
                    </w:rPr>
                  </w:pPr>
                  <w:r>
                    <w:rPr>
                      <w:rFonts w:hint="eastAsia"/>
                      <w:color w:val="auto"/>
                      <w:sz w:val="18"/>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625" w:type="pct"/>
                  <w:vMerge w:val="continue"/>
                  <w:tcBorders>
                    <w:tl2br w:val="nil"/>
                    <w:tr2bl w:val="nil"/>
                  </w:tcBorders>
                  <w:tcMar>
                    <w:left w:w="28" w:type="dxa"/>
                    <w:right w:w="28" w:type="dxa"/>
                  </w:tcMar>
                  <w:vAlign w:val="center"/>
                </w:tcPr>
                <w:p>
                  <w:pPr>
                    <w:autoSpaceDE w:val="0"/>
                    <w:autoSpaceDN w:val="0"/>
                    <w:adjustRightInd w:val="0"/>
                    <w:jc w:val="center"/>
                    <w:rPr>
                      <w:color w:val="auto"/>
                      <w:sz w:val="18"/>
                      <w:szCs w:val="18"/>
                      <w:highlight w:val="none"/>
                    </w:rPr>
                  </w:pPr>
                </w:p>
              </w:tc>
              <w:tc>
                <w:tcPr>
                  <w:tcW w:w="400" w:type="pct"/>
                  <w:vMerge w:val="continue"/>
                  <w:tcBorders>
                    <w:tl2br w:val="nil"/>
                    <w:tr2bl w:val="nil"/>
                  </w:tcBorders>
                  <w:tcMar>
                    <w:left w:w="28" w:type="dxa"/>
                    <w:right w:w="28" w:type="dxa"/>
                  </w:tcMar>
                  <w:vAlign w:val="center"/>
                </w:tcPr>
                <w:p>
                  <w:pPr>
                    <w:autoSpaceDE w:val="0"/>
                    <w:autoSpaceDN w:val="0"/>
                    <w:adjustRightInd w:val="0"/>
                    <w:jc w:val="center"/>
                    <w:rPr>
                      <w:color w:val="auto"/>
                      <w:sz w:val="18"/>
                      <w:szCs w:val="18"/>
                      <w:highlight w:val="none"/>
                    </w:rPr>
                  </w:pPr>
                </w:p>
              </w:tc>
              <w:tc>
                <w:tcPr>
                  <w:tcW w:w="555" w:type="pct"/>
                  <w:tcBorders>
                    <w:tl2br w:val="nil"/>
                    <w:tr2bl w:val="nil"/>
                  </w:tcBorders>
                  <w:tcMar>
                    <w:left w:w="28" w:type="dxa"/>
                    <w:right w:w="28" w:type="dxa"/>
                  </w:tcMar>
                  <w:vAlign w:val="center"/>
                </w:tcPr>
                <w:p>
                  <w:pPr>
                    <w:autoSpaceDE w:val="0"/>
                    <w:autoSpaceDN w:val="0"/>
                    <w:adjustRightInd w:val="0"/>
                    <w:jc w:val="center"/>
                    <w:rPr>
                      <w:color w:val="auto"/>
                      <w:kern w:val="0"/>
                      <w:sz w:val="18"/>
                      <w:szCs w:val="18"/>
                      <w:highlight w:val="none"/>
                    </w:rPr>
                  </w:pPr>
                  <w:r>
                    <w:rPr>
                      <w:rFonts w:hint="eastAsia"/>
                      <w:color w:val="auto"/>
                      <w:kern w:val="0"/>
                      <w:sz w:val="18"/>
                      <w:szCs w:val="18"/>
                      <w:highlight w:val="none"/>
                    </w:rPr>
                    <w:t>地下水开采要求</w:t>
                  </w:r>
                </w:p>
              </w:tc>
              <w:tc>
                <w:tcPr>
                  <w:tcW w:w="2376" w:type="pct"/>
                  <w:tcBorders>
                    <w:tl2br w:val="nil"/>
                    <w:tr2bl w:val="nil"/>
                  </w:tcBorders>
                  <w:tcMar>
                    <w:left w:w="28" w:type="dxa"/>
                    <w:right w:w="28" w:type="dxa"/>
                  </w:tcMar>
                  <w:vAlign w:val="center"/>
                </w:tcPr>
                <w:p>
                  <w:pPr>
                    <w:autoSpaceDE w:val="0"/>
                    <w:autoSpaceDN w:val="0"/>
                    <w:adjustRightInd w:val="0"/>
                    <w:rPr>
                      <w:color w:val="auto"/>
                      <w:kern w:val="0"/>
                      <w:sz w:val="18"/>
                      <w:szCs w:val="18"/>
                      <w:highlight w:val="none"/>
                    </w:rPr>
                  </w:pPr>
                  <w:r>
                    <w:rPr>
                      <w:rFonts w:hint="eastAsia"/>
                      <w:color w:val="auto"/>
                      <w:kern w:val="0"/>
                      <w:sz w:val="18"/>
                      <w:szCs w:val="18"/>
                      <w:highlight w:val="none"/>
                    </w:rPr>
                    <w:t>以省市下发指标为准</w:t>
                  </w:r>
                </w:p>
              </w:tc>
              <w:tc>
                <w:tcPr>
                  <w:tcW w:w="711" w:type="pct"/>
                  <w:vMerge w:val="continue"/>
                  <w:tcBorders>
                    <w:tl2br w:val="nil"/>
                    <w:tr2bl w:val="nil"/>
                  </w:tcBorders>
                  <w:tcMar>
                    <w:left w:w="28" w:type="dxa"/>
                    <w:right w:w="28" w:type="dxa"/>
                  </w:tcMar>
                  <w:vAlign w:val="center"/>
                </w:tcPr>
                <w:p>
                  <w:pPr>
                    <w:rPr>
                      <w:color w:val="auto"/>
                      <w:sz w:val="18"/>
                      <w:szCs w:val="18"/>
                      <w:highlight w:val="none"/>
                    </w:rPr>
                  </w:pPr>
                </w:p>
              </w:tc>
              <w:tc>
                <w:tcPr>
                  <w:tcW w:w="330" w:type="pct"/>
                  <w:tcBorders>
                    <w:tl2br w:val="nil"/>
                    <w:tr2bl w:val="nil"/>
                  </w:tcBorders>
                  <w:tcMar>
                    <w:left w:w="28" w:type="dxa"/>
                    <w:right w:w="28" w:type="dxa"/>
                  </w:tcMar>
                  <w:vAlign w:val="center"/>
                </w:tcPr>
                <w:p>
                  <w:pPr>
                    <w:jc w:val="center"/>
                    <w:rPr>
                      <w:color w:val="auto"/>
                      <w:sz w:val="18"/>
                      <w:szCs w:val="18"/>
                      <w:highlight w:val="none"/>
                    </w:rPr>
                  </w:pPr>
                  <w:r>
                    <w:rPr>
                      <w:rFonts w:hint="eastAsia"/>
                      <w:color w:val="auto"/>
                      <w:sz w:val="18"/>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625" w:type="pct"/>
                  <w:vMerge w:val="continue"/>
                  <w:tcBorders>
                    <w:tl2br w:val="nil"/>
                    <w:tr2bl w:val="nil"/>
                  </w:tcBorders>
                  <w:tcMar>
                    <w:left w:w="28" w:type="dxa"/>
                    <w:right w:w="28" w:type="dxa"/>
                  </w:tcMar>
                  <w:vAlign w:val="center"/>
                </w:tcPr>
                <w:p>
                  <w:pPr>
                    <w:autoSpaceDE w:val="0"/>
                    <w:autoSpaceDN w:val="0"/>
                    <w:adjustRightInd w:val="0"/>
                    <w:jc w:val="center"/>
                    <w:rPr>
                      <w:color w:val="auto"/>
                      <w:sz w:val="18"/>
                      <w:szCs w:val="18"/>
                      <w:highlight w:val="none"/>
                    </w:rPr>
                  </w:pPr>
                </w:p>
              </w:tc>
              <w:tc>
                <w:tcPr>
                  <w:tcW w:w="400" w:type="pct"/>
                  <w:vMerge w:val="continue"/>
                  <w:tcBorders>
                    <w:tl2br w:val="nil"/>
                    <w:tr2bl w:val="nil"/>
                  </w:tcBorders>
                  <w:tcMar>
                    <w:left w:w="28" w:type="dxa"/>
                    <w:right w:w="28" w:type="dxa"/>
                  </w:tcMar>
                  <w:vAlign w:val="center"/>
                </w:tcPr>
                <w:p>
                  <w:pPr>
                    <w:autoSpaceDE w:val="0"/>
                    <w:autoSpaceDN w:val="0"/>
                    <w:adjustRightInd w:val="0"/>
                    <w:jc w:val="center"/>
                    <w:rPr>
                      <w:color w:val="auto"/>
                      <w:sz w:val="18"/>
                      <w:szCs w:val="18"/>
                      <w:highlight w:val="none"/>
                    </w:rPr>
                  </w:pPr>
                </w:p>
              </w:tc>
              <w:tc>
                <w:tcPr>
                  <w:tcW w:w="555" w:type="pct"/>
                  <w:tcBorders>
                    <w:tl2br w:val="nil"/>
                    <w:tr2bl w:val="nil"/>
                  </w:tcBorders>
                  <w:tcMar>
                    <w:left w:w="28" w:type="dxa"/>
                    <w:right w:w="28" w:type="dxa"/>
                  </w:tcMar>
                  <w:vAlign w:val="center"/>
                </w:tcPr>
                <w:p>
                  <w:pPr>
                    <w:autoSpaceDE w:val="0"/>
                    <w:autoSpaceDN w:val="0"/>
                    <w:adjustRightInd w:val="0"/>
                    <w:jc w:val="center"/>
                    <w:rPr>
                      <w:color w:val="auto"/>
                      <w:kern w:val="0"/>
                      <w:sz w:val="18"/>
                      <w:szCs w:val="18"/>
                      <w:highlight w:val="none"/>
                    </w:rPr>
                  </w:pPr>
                  <w:r>
                    <w:rPr>
                      <w:rFonts w:hint="eastAsia"/>
                      <w:color w:val="auto"/>
                      <w:kern w:val="0"/>
                      <w:sz w:val="18"/>
                      <w:szCs w:val="18"/>
                      <w:highlight w:val="none"/>
                    </w:rPr>
                    <w:t>能源利用总量及效率要求</w:t>
                  </w:r>
                </w:p>
              </w:tc>
              <w:tc>
                <w:tcPr>
                  <w:tcW w:w="2376" w:type="pct"/>
                  <w:tcBorders>
                    <w:tl2br w:val="nil"/>
                    <w:tr2bl w:val="nil"/>
                  </w:tcBorders>
                  <w:tcMar>
                    <w:left w:w="28" w:type="dxa"/>
                    <w:right w:w="28" w:type="dxa"/>
                  </w:tcMar>
                  <w:vAlign w:val="center"/>
                </w:tcPr>
                <w:p>
                  <w:pPr>
                    <w:autoSpaceDE w:val="0"/>
                    <w:autoSpaceDN w:val="0"/>
                    <w:adjustRightInd w:val="0"/>
                    <w:rPr>
                      <w:rFonts w:hint="eastAsia"/>
                      <w:color w:val="auto"/>
                      <w:kern w:val="0"/>
                      <w:sz w:val="18"/>
                      <w:szCs w:val="18"/>
                      <w:highlight w:val="none"/>
                    </w:rPr>
                  </w:pPr>
                  <w:r>
                    <w:rPr>
                      <w:rFonts w:hint="eastAsia"/>
                      <w:color w:val="auto"/>
                      <w:kern w:val="0"/>
                      <w:sz w:val="18"/>
                      <w:szCs w:val="18"/>
                      <w:highlight w:val="none"/>
                    </w:rPr>
                    <w:t>推进清洁能源的推广使用，全面推进散煤清洁化整治；禁止新建每小时10蒸吨以下的燃煤锅炉及其他燃煤设施。</w:t>
                  </w:r>
                </w:p>
                <w:p>
                  <w:pPr>
                    <w:autoSpaceDE w:val="0"/>
                    <w:autoSpaceDN w:val="0"/>
                    <w:adjustRightInd w:val="0"/>
                    <w:rPr>
                      <w:color w:val="auto"/>
                      <w:kern w:val="0"/>
                      <w:sz w:val="18"/>
                      <w:szCs w:val="18"/>
                      <w:highlight w:val="none"/>
                    </w:rPr>
                  </w:pPr>
                  <w:r>
                    <w:rPr>
                      <w:rFonts w:hint="eastAsia"/>
                      <w:color w:val="auto"/>
                      <w:kern w:val="0"/>
                      <w:sz w:val="18"/>
                      <w:szCs w:val="18"/>
                      <w:highlight w:val="none"/>
                    </w:rPr>
                    <w:t>禁止焚烧秸秆和垃圾，到2025年底，秸秆综合利用率达到86%以上。</w:t>
                  </w:r>
                </w:p>
              </w:tc>
              <w:tc>
                <w:tcPr>
                  <w:tcW w:w="711" w:type="pct"/>
                  <w:vMerge w:val="continue"/>
                  <w:tcBorders>
                    <w:tl2br w:val="nil"/>
                    <w:tr2bl w:val="nil"/>
                  </w:tcBorders>
                  <w:tcMar>
                    <w:left w:w="28" w:type="dxa"/>
                    <w:right w:w="28" w:type="dxa"/>
                  </w:tcMar>
                  <w:vAlign w:val="center"/>
                </w:tcPr>
                <w:p>
                  <w:pPr>
                    <w:rPr>
                      <w:color w:val="auto"/>
                      <w:sz w:val="18"/>
                      <w:szCs w:val="18"/>
                      <w:highlight w:val="none"/>
                    </w:rPr>
                  </w:pPr>
                </w:p>
              </w:tc>
              <w:tc>
                <w:tcPr>
                  <w:tcW w:w="330" w:type="pct"/>
                  <w:tcBorders>
                    <w:tl2br w:val="nil"/>
                    <w:tr2bl w:val="nil"/>
                  </w:tcBorders>
                  <w:tcMar>
                    <w:left w:w="28" w:type="dxa"/>
                    <w:right w:w="28" w:type="dxa"/>
                  </w:tcMar>
                  <w:vAlign w:val="center"/>
                </w:tcPr>
                <w:p>
                  <w:pPr>
                    <w:jc w:val="center"/>
                    <w:rPr>
                      <w:color w:val="auto"/>
                      <w:sz w:val="18"/>
                      <w:szCs w:val="18"/>
                      <w:highlight w:val="none"/>
                    </w:rPr>
                  </w:pPr>
                  <w:r>
                    <w:rPr>
                      <w:rFonts w:hint="eastAsia"/>
                      <w:color w:val="auto"/>
                      <w:sz w:val="18"/>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jc w:val="center"/>
              </w:trPr>
              <w:tc>
                <w:tcPr>
                  <w:tcW w:w="625" w:type="pct"/>
                  <w:vMerge w:val="continue"/>
                  <w:tcBorders>
                    <w:tl2br w:val="nil"/>
                    <w:tr2bl w:val="nil"/>
                  </w:tcBorders>
                  <w:tcMar>
                    <w:left w:w="28" w:type="dxa"/>
                    <w:right w:w="28" w:type="dxa"/>
                  </w:tcMar>
                  <w:vAlign w:val="center"/>
                </w:tcPr>
                <w:p>
                  <w:pPr>
                    <w:autoSpaceDE w:val="0"/>
                    <w:autoSpaceDN w:val="0"/>
                    <w:adjustRightInd w:val="0"/>
                    <w:jc w:val="center"/>
                    <w:rPr>
                      <w:color w:val="auto"/>
                      <w:sz w:val="18"/>
                      <w:szCs w:val="18"/>
                      <w:highlight w:val="none"/>
                    </w:rPr>
                  </w:pPr>
                </w:p>
              </w:tc>
              <w:tc>
                <w:tcPr>
                  <w:tcW w:w="400" w:type="pct"/>
                  <w:vMerge w:val="continue"/>
                  <w:tcBorders>
                    <w:tl2br w:val="nil"/>
                    <w:tr2bl w:val="nil"/>
                  </w:tcBorders>
                  <w:tcMar>
                    <w:left w:w="28" w:type="dxa"/>
                    <w:right w:w="28" w:type="dxa"/>
                  </w:tcMar>
                  <w:vAlign w:val="center"/>
                </w:tcPr>
                <w:p>
                  <w:pPr>
                    <w:autoSpaceDE w:val="0"/>
                    <w:autoSpaceDN w:val="0"/>
                    <w:adjustRightInd w:val="0"/>
                    <w:jc w:val="center"/>
                    <w:rPr>
                      <w:color w:val="auto"/>
                      <w:sz w:val="18"/>
                      <w:szCs w:val="18"/>
                      <w:highlight w:val="none"/>
                    </w:rPr>
                  </w:pPr>
                </w:p>
              </w:tc>
              <w:tc>
                <w:tcPr>
                  <w:tcW w:w="555" w:type="pct"/>
                  <w:tcBorders>
                    <w:tl2br w:val="nil"/>
                    <w:tr2bl w:val="nil"/>
                  </w:tcBorders>
                  <w:tcMar>
                    <w:left w:w="28" w:type="dxa"/>
                    <w:right w:w="28" w:type="dxa"/>
                  </w:tcMar>
                  <w:vAlign w:val="center"/>
                </w:tcPr>
                <w:p>
                  <w:pPr>
                    <w:autoSpaceDE w:val="0"/>
                    <w:autoSpaceDN w:val="0"/>
                    <w:adjustRightInd w:val="0"/>
                    <w:jc w:val="center"/>
                    <w:rPr>
                      <w:color w:val="auto"/>
                      <w:kern w:val="0"/>
                      <w:sz w:val="18"/>
                      <w:szCs w:val="18"/>
                      <w:highlight w:val="none"/>
                    </w:rPr>
                  </w:pPr>
                  <w:r>
                    <w:rPr>
                      <w:rFonts w:hint="eastAsia"/>
                      <w:color w:val="auto"/>
                      <w:kern w:val="0"/>
                      <w:sz w:val="18"/>
                      <w:szCs w:val="18"/>
                      <w:highlight w:val="none"/>
                    </w:rPr>
                    <w:t>禁燃区要求</w:t>
                  </w:r>
                </w:p>
              </w:tc>
              <w:tc>
                <w:tcPr>
                  <w:tcW w:w="2376" w:type="pct"/>
                  <w:tcBorders>
                    <w:tl2br w:val="nil"/>
                    <w:tr2bl w:val="nil"/>
                  </w:tcBorders>
                  <w:tcMar>
                    <w:left w:w="28" w:type="dxa"/>
                    <w:right w:w="28" w:type="dxa"/>
                  </w:tcMar>
                  <w:vAlign w:val="center"/>
                </w:tcPr>
                <w:p>
                  <w:pPr>
                    <w:autoSpaceDE w:val="0"/>
                    <w:autoSpaceDN w:val="0"/>
                    <w:adjustRightInd w:val="0"/>
                    <w:rPr>
                      <w:rFonts w:hint="eastAsia"/>
                      <w:color w:val="auto"/>
                      <w:kern w:val="0"/>
                      <w:sz w:val="18"/>
                      <w:szCs w:val="18"/>
                      <w:highlight w:val="none"/>
                    </w:rPr>
                  </w:pPr>
                  <w:r>
                    <w:rPr>
                      <w:rFonts w:hint="eastAsia"/>
                      <w:color w:val="auto"/>
                      <w:kern w:val="0"/>
                      <w:sz w:val="18"/>
                      <w:szCs w:val="18"/>
                      <w:highlight w:val="none"/>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autoSpaceDE w:val="0"/>
                    <w:autoSpaceDN w:val="0"/>
                    <w:adjustRightInd w:val="0"/>
                    <w:rPr>
                      <w:rFonts w:hint="eastAsia"/>
                      <w:color w:val="auto"/>
                      <w:kern w:val="0"/>
                      <w:sz w:val="18"/>
                      <w:szCs w:val="18"/>
                      <w:highlight w:val="none"/>
                    </w:rPr>
                  </w:pPr>
                  <w:r>
                    <w:rPr>
                      <w:rFonts w:hint="eastAsia"/>
                      <w:color w:val="auto"/>
                      <w:kern w:val="0"/>
                      <w:sz w:val="18"/>
                      <w:szCs w:val="18"/>
                      <w:highlight w:val="none"/>
                    </w:rPr>
                    <w:t>-禁燃区内禁止销售、燃用高污染燃料；禁止新建、改建、扩建燃用高污染燃料的设施和设备。</w:t>
                  </w:r>
                </w:p>
                <w:p>
                  <w:pPr>
                    <w:autoSpaceDE w:val="0"/>
                    <w:autoSpaceDN w:val="0"/>
                    <w:adjustRightInd w:val="0"/>
                    <w:rPr>
                      <w:color w:val="auto"/>
                      <w:kern w:val="0"/>
                      <w:sz w:val="18"/>
                      <w:szCs w:val="18"/>
                      <w:highlight w:val="none"/>
                    </w:rPr>
                  </w:pPr>
                  <w:r>
                    <w:rPr>
                      <w:rFonts w:hint="eastAsia"/>
                      <w:color w:val="auto"/>
                      <w:kern w:val="0"/>
                      <w:sz w:val="18"/>
                      <w:szCs w:val="18"/>
                      <w:highlight w:val="none"/>
                    </w:rPr>
                    <w:t>-禁燃区内已建成的高污染燃料燃用设施由辖区人民政府制定限期改造计划，改用天然气、页岩气、液化石油气、电或其他清洁能源。</w:t>
                  </w:r>
                </w:p>
              </w:tc>
              <w:tc>
                <w:tcPr>
                  <w:tcW w:w="711" w:type="pct"/>
                  <w:tcBorders>
                    <w:tl2br w:val="nil"/>
                    <w:tr2bl w:val="nil"/>
                  </w:tcBorders>
                  <w:tcMar>
                    <w:left w:w="28" w:type="dxa"/>
                    <w:right w:w="28" w:type="dxa"/>
                  </w:tcMar>
                  <w:vAlign w:val="center"/>
                </w:tcPr>
                <w:p>
                  <w:pPr>
                    <w:rPr>
                      <w:color w:val="auto"/>
                      <w:sz w:val="18"/>
                      <w:szCs w:val="18"/>
                      <w:highlight w:val="none"/>
                    </w:rPr>
                  </w:pPr>
                  <w:r>
                    <w:rPr>
                      <w:rFonts w:hint="eastAsia"/>
                      <w:color w:val="auto"/>
                      <w:kern w:val="0"/>
                      <w:sz w:val="18"/>
                      <w:szCs w:val="18"/>
                      <w:highlight w:val="none"/>
                    </w:rPr>
                    <w:t>拟建项目不涉及高污染燃料。</w:t>
                  </w:r>
                </w:p>
              </w:tc>
              <w:tc>
                <w:tcPr>
                  <w:tcW w:w="330" w:type="pct"/>
                  <w:tcBorders>
                    <w:tl2br w:val="nil"/>
                    <w:tr2bl w:val="nil"/>
                  </w:tcBorders>
                  <w:tcMar>
                    <w:left w:w="28" w:type="dxa"/>
                    <w:right w:w="28" w:type="dxa"/>
                  </w:tcMar>
                  <w:vAlign w:val="center"/>
                </w:tcPr>
                <w:p>
                  <w:pPr>
                    <w:jc w:val="center"/>
                    <w:rPr>
                      <w:color w:val="auto"/>
                      <w:sz w:val="18"/>
                      <w:szCs w:val="18"/>
                      <w:highlight w:val="none"/>
                    </w:rPr>
                  </w:pPr>
                  <w:r>
                    <w:rPr>
                      <w:rFonts w:hint="eastAsia"/>
                      <w:color w:val="auto"/>
                      <w:sz w:val="18"/>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5" w:type="pct"/>
                  <w:vMerge w:val="restart"/>
                  <w:tcBorders>
                    <w:tl2br w:val="nil"/>
                    <w:tr2bl w:val="nil"/>
                  </w:tcBorders>
                  <w:tcMar>
                    <w:left w:w="28" w:type="dxa"/>
                    <w:right w:w="28" w:type="dxa"/>
                  </w:tcMar>
                  <w:vAlign w:val="center"/>
                </w:tcPr>
                <w:p>
                  <w:pPr>
                    <w:autoSpaceDE w:val="0"/>
                    <w:autoSpaceDN w:val="0"/>
                    <w:adjustRightInd w:val="0"/>
                    <w:jc w:val="center"/>
                    <w:rPr>
                      <w:color w:val="auto"/>
                      <w:sz w:val="18"/>
                      <w:szCs w:val="18"/>
                      <w:highlight w:val="none"/>
                    </w:rPr>
                  </w:pPr>
                  <w:r>
                    <w:rPr>
                      <w:rFonts w:hint="eastAsia"/>
                      <w:color w:val="auto"/>
                      <w:sz w:val="18"/>
                      <w:szCs w:val="18"/>
                      <w:highlight w:val="none"/>
                    </w:rPr>
                    <w:t>YS5117223210004长滩河宣汉县控制单元</w:t>
                  </w:r>
                </w:p>
              </w:tc>
              <w:tc>
                <w:tcPr>
                  <w:tcW w:w="956" w:type="pct"/>
                  <w:gridSpan w:val="2"/>
                  <w:tcBorders>
                    <w:tl2br w:val="nil"/>
                    <w:tr2bl w:val="nil"/>
                  </w:tcBorders>
                  <w:tcMar>
                    <w:left w:w="28" w:type="dxa"/>
                    <w:right w:w="28" w:type="dxa"/>
                  </w:tcMar>
                  <w:vAlign w:val="center"/>
                </w:tcPr>
                <w:p>
                  <w:pPr>
                    <w:autoSpaceDE w:val="0"/>
                    <w:autoSpaceDN w:val="0"/>
                    <w:adjustRightInd w:val="0"/>
                    <w:jc w:val="center"/>
                    <w:rPr>
                      <w:color w:val="auto"/>
                      <w:kern w:val="0"/>
                      <w:sz w:val="18"/>
                      <w:szCs w:val="18"/>
                      <w:highlight w:val="none"/>
                    </w:rPr>
                  </w:pPr>
                  <w:r>
                    <w:rPr>
                      <w:color w:val="auto"/>
                      <w:sz w:val="18"/>
                      <w:szCs w:val="18"/>
                      <w:highlight w:val="none"/>
                    </w:rPr>
                    <w:t>空间布局约束</w:t>
                  </w:r>
                </w:p>
              </w:tc>
              <w:tc>
                <w:tcPr>
                  <w:tcW w:w="2376" w:type="pct"/>
                  <w:tcBorders>
                    <w:tl2br w:val="nil"/>
                    <w:tr2bl w:val="nil"/>
                  </w:tcBorders>
                  <w:tcMar>
                    <w:left w:w="28" w:type="dxa"/>
                    <w:right w:w="28" w:type="dxa"/>
                  </w:tcMar>
                  <w:vAlign w:val="center"/>
                </w:tcPr>
                <w:p>
                  <w:pPr>
                    <w:autoSpaceDE w:val="0"/>
                    <w:autoSpaceDN w:val="0"/>
                    <w:adjustRightInd w:val="0"/>
                    <w:jc w:val="center"/>
                    <w:rPr>
                      <w:rFonts w:hint="default" w:eastAsia="宋体"/>
                      <w:color w:val="auto"/>
                      <w:kern w:val="0"/>
                      <w:sz w:val="18"/>
                      <w:szCs w:val="18"/>
                      <w:highlight w:val="none"/>
                      <w:lang w:val="en-US" w:eastAsia="zh-CN"/>
                    </w:rPr>
                  </w:pPr>
                  <w:r>
                    <w:rPr>
                      <w:rFonts w:hint="eastAsia"/>
                      <w:color w:val="auto"/>
                      <w:kern w:val="0"/>
                      <w:sz w:val="18"/>
                      <w:szCs w:val="18"/>
                      <w:highlight w:val="none"/>
                      <w:lang w:val="en-US" w:eastAsia="zh-CN"/>
                    </w:rPr>
                    <w:t>/</w:t>
                  </w:r>
                </w:p>
              </w:tc>
              <w:tc>
                <w:tcPr>
                  <w:tcW w:w="711" w:type="pct"/>
                  <w:tcBorders>
                    <w:tl2br w:val="nil"/>
                    <w:tr2bl w:val="nil"/>
                  </w:tcBorders>
                  <w:tcMar>
                    <w:left w:w="28" w:type="dxa"/>
                    <w:right w:w="28" w:type="dxa"/>
                  </w:tcMar>
                  <w:vAlign w:val="center"/>
                </w:tcPr>
                <w:p>
                  <w:pPr>
                    <w:jc w:val="center"/>
                    <w:rPr>
                      <w:color w:val="auto"/>
                      <w:sz w:val="18"/>
                      <w:szCs w:val="18"/>
                      <w:highlight w:val="none"/>
                    </w:rPr>
                  </w:pPr>
                  <w:r>
                    <w:rPr>
                      <w:rFonts w:hint="eastAsia"/>
                      <w:color w:val="auto"/>
                      <w:kern w:val="0"/>
                      <w:sz w:val="18"/>
                      <w:szCs w:val="18"/>
                      <w:highlight w:val="none"/>
                      <w:lang w:val="en-US" w:eastAsia="zh-CN"/>
                    </w:rPr>
                    <w:t>/</w:t>
                  </w:r>
                </w:p>
              </w:tc>
              <w:tc>
                <w:tcPr>
                  <w:tcW w:w="330" w:type="pct"/>
                  <w:tcBorders>
                    <w:tl2br w:val="nil"/>
                    <w:tr2bl w:val="nil"/>
                  </w:tcBorders>
                  <w:tcMar>
                    <w:left w:w="28" w:type="dxa"/>
                    <w:right w:w="28" w:type="dxa"/>
                  </w:tcMar>
                  <w:vAlign w:val="center"/>
                </w:tcPr>
                <w:p>
                  <w:pPr>
                    <w:jc w:val="center"/>
                    <w:rPr>
                      <w:color w:val="auto"/>
                      <w:sz w:val="18"/>
                      <w:szCs w:val="18"/>
                      <w:highlight w:val="none"/>
                    </w:rPr>
                  </w:pPr>
                  <w:r>
                    <w:rPr>
                      <w:rFonts w:hint="eastAsia"/>
                      <w:color w:val="auto"/>
                      <w:kern w:val="0"/>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5" w:type="pct"/>
                  <w:vMerge w:val="continue"/>
                  <w:tcBorders>
                    <w:tl2br w:val="nil"/>
                    <w:tr2bl w:val="nil"/>
                  </w:tcBorders>
                  <w:tcMar>
                    <w:left w:w="28" w:type="dxa"/>
                    <w:right w:w="28" w:type="dxa"/>
                  </w:tcMar>
                  <w:vAlign w:val="center"/>
                </w:tcPr>
                <w:p>
                  <w:pPr>
                    <w:autoSpaceDE w:val="0"/>
                    <w:autoSpaceDN w:val="0"/>
                    <w:adjustRightInd w:val="0"/>
                    <w:jc w:val="center"/>
                    <w:rPr>
                      <w:color w:val="auto"/>
                      <w:kern w:val="0"/>
                      <w:sz w:val="18"/>
                      <w:szCs w:val="18"/>
                      <w:highlight w:val="none"/>
                    </w:rPr>
                  </w:pPr>
                </w:p>
              </w:tc>
              <w:tc>
                <w:tcPr>
                  <w:tcW w:w="956" w:type="pct"/>
                  <w:gridSpan w:val="2"/>
                  <w:tcBorders>
                    <w:tl2br w:val="nil"/>
                    <w:tr2bl w:val="nil"/>
                  </w:tcBorders>
                  <w:tcMar>
                    <w:left w:w="28" w:type="dxa"/>
                    <w:right w:w="28" w:type="dxa"/>
                  </w:tcMar>
                  <w:vAlign w:val="center"/>
                </w:tcPr>
                <w:p>
                  <w:pPr>
                    <w:widowControl/>
                    <w:jc w:val="center"/>
                    <w:rPr>
                      <w:color w:val="auto"/>
                      <w:sz w:val="18"/>
                      <w:szCs w:val="18"/>
                      <w:highlight w:val="none"/>
                    </w:rPr>
                  </w:pPr>
                  <w:r>
                    <w:rPr>
                      <w:color w:val="auto"/>
                      <w:kern w:val="0"/>
                      <w:sz w:val="18"/>
                      <w:szCs w:val="18"/>
                      <w:highlight w:val="none"/>
                    </w:rPr>
                    <w:t>污染物排放管控</w:t>
                  </w:r>
                </w:p>
              </w:tc>
              <w:tc>
                <w:tcPr>
                  <w:tcW w:w="2376" w:type="pct"/>
                  <w:tcBorders>
                    <w:tl2br w:val="nil"/>
                    <w:tr2bl w:val="nil"/>
                  </w:tcBorders>
                  <w:tcMar>
                    <w:left w:w="28" w:type="dxa"/>
                    <w:right w:w="28" w:type="dxa"/>
                  </w:tcMar>
                  <w:vAlign w:val="center"/>
                </w:tcPr>
                <w:p>
                  <w:pPr>
                    <w:autoSpaceDE w:val="0"/>
                    <w:autoSpaceDN w:val="0"/>
                    <w:adjustRightInd w:val="0"/>
                    <w:jc w:val="center"/>
                    <w:rPr>
                      <w:color w:val="auto"/>
                      <w:kern w:val="0"/>
                      <w:sz w:val="18"/>
                      <w:szCs w:val="18"/>
                      <w:highlight w:val="none"/>
                    </w:rPr>
                  </w:pPr>
                  <w:r>
                    <w:rPr>
                      <w:rFonts w:hint="eastAsia"/>
                      <w:color w:val="auto"/>
                      <w:kern w:val="0"/>
                      <w:sz w:val="18"/>
                      <w:szCs w:val="18"/>
                      <w:highlight w:val="none"/>
                      <w:lang w:val="en-US" w:eastAsia="zh-CN"/>
                    </w:rPr>
                    <w:t>/</w:t>
                  </w:r>
                </w:p>
              </w:tc>
              <w:tc>
                <w:tcPr>
                  <w:tcW w:w="711" w:type="pct"/>
                  <w:tcBorders>
                    <w:tl2br w:val="nil"/>
                    <w:tr2bl w:val="nil"/>
                  </w:tcBorders>
                  <w:tcMar>
                    <w:left w:w="28" w:type="dxa"/>
                    <w:right w:w="28" w:type="dxa"/>
                  </w:tcMar>
                  <w:vAlign w:val="center"/>
                </w:tcPr>
                <w:p>
                  <w:pPr>
                    <w:jc w:val="center"/>
                    <w:rPr>
                      <w:color w:val="auto"/>
                      <w:sz w:val="18"/>
                      <w:szCs w:val="18"/>
                      <w:highlight w:val="none"/>
                    </w:rPr>
                  </w:pPr>
                  <w:r>
                    <w:rPr>
                      <w:rFonts w:hint="eastAsia"/>
                      <w:color w:val="auto"/>
                      <w:kern w:val="0"/>
                      <w:sz w:val="18"/>
                      <w:szCs w:val="18"/>
                      <w:highlight w:val="none"/>
                      <w:lang w:val="en-US" w:eastAsia="zh-CN"/>
                    </w:rPr>
                    <w:t>/</w:t>
                  </w:r>
                </w:p>
              </w:tc>
              <w:tc>
                <w:tcPr>
                  <w:tcW w:w="330" w:type="pct"/>
                  <w:tcBorders>
                    <w:tl2br w:val="nil"/>
                    <w:tr2bl w:val="nil"/>
                  </w:tcBorders>
                  <w:tcMar>
                    <w:left w:w="28" w:type="dxa"/>
                    <w:right w:w="28" w:type="dxa"/>
                  </w:tcMar>
                  <w:vAlign w:val="center"/>
                </w:tcPr>
                <w:p>
                  <w:pPr>
                    <w:jc w:val="center"/>
                    <w:rPr>
                      <w:color w:val="auto"/>
                      <w:sz w:val="18"/>
                      <w:szCs w:val="18"/>
                      <w:highlight w:val="none"/>
                    </w:rPr>
                  </w:pPr>
                  <w:r>
                    <w:rPr>
                      <w:rFonts w:hint="eastAsia"/>
                      <w:color w:val="auto"/>
                      <w:kern w:val="0"/>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5" w:type="pct"/>
                  <w:vMerge w:val="continue"/>
                  <w:tcBorders>
                    <w:tl2br w:val="nil"/>
                    <w:tr2bl w:val="nil"/>
                  </w:tcBorders>
                  <w:tcMar>
                    <w:left w:w="28" w:type="dxa"/>
                    <w:right w:w="28" w:type="dxa"/>
                  </w:tcMar>
                  <w:vAlign w:val="center"/>
                </w:tcPr>
                <w:p>
                  <w:pPr>
                    <w:autoSpaceDE w:val="0"/>
                    <w:autoSpaceDN w:val="0"/>
                    <w:adjustRightInd w:val="0"/>
                    <w:jc w:val="center"/>
                    <w:rPr>
                      <w:color w:val="auto"/>
                      <w:sz w:val="18"/>
                      <w:szCs w:val="18"/>
                      <w:highlight w:val="none"/>
                    </w:rPr>
                  </w:pPr>
                </w:p>
              </w:tc>
              <w:tc>
                <w:tcPr>
                  <w:tcW w:w="956" w:type="pct"/>
                  <w:gridSpan w:val="2"/>
                  <w:tcBorders>
                    <w:tl2br w:val="nil"/>
                    <w:tr2bl w:val="nil"/>
                  </w:tcBorders>
                  <w:tcMar>
                    <w:left w:w="28" w:type="dxa"/>
                    <w:right w:w="28" w:type="dxa"/>
                  </w:tcMar>
                  <w:vAlign w:val="center"/>
                </w:tcPr>
                <w:p>
                  <w:pPr>
                    <w:autoSpaceDE w:val="0"/>
                    <w:autoSpaceDN w:val="0"/>
                    <w:adjustRightInd w:val="0"/>
                    <w:jc w:val="center"/>
                    <w:rPr>
                      <w:color w:val="auto"/>
                      <w:kern w:val="0"/>
                      <w:sz w:val="18"/>
                      <w:szCs w:val="18"/>
                      <w:highlight w:val="none"/>
                    </w:rPr>
                  </w:pPr>
                  <w:r>
                    <w:rPr>
                      <w:color w:val="auto"/>
                      <w:sz w:val="18"/>
                      <w:szCs w:val="18"/>
                      <w:highlight w:val="none"/>
                    </w:rPr>
                    <w:t>环境风险防控</w:t>
                  </w:r>
                </w:p>
              </w:tc>
              <w:tc>
                <w:tcPr>
                  <w:tcW w:w="2376" w:type="pct"/>
                  <w:tcBorders>
                    <w:tl2br w:val="nil"/>
                    <w:tr2bl w:val="nil"/>
                  </w:tcBorders>
                  <w:tcMar>
                    <w:left w:w="28" w:type="dxa"/>
                    <w:right w:w="28" w:type="dxa"/>
                  </w:tcMar>
                  <w:vAlign w:val="center"/>
                </w:tcPr>
                <w:p>
                  <w:pPr>
                    <w:autoSpaceDE w:val="0"/>
                    <w:autoSpaceDN w:val="0"/>
                    <w:adjustRightInd w:val="0"/>
                    <w:jc w:val="center"/>
                    <w:rPr>
                      <w:color w:val="auto"/>
                      <w:kern w:val="0"/>
                      <w:sz w:val="18"/>
                      <w:szCs w:val="18"/>
                      <w:highlight w:val="none"/>
                    </w:rPr>
                  </w:pPr>
                  <w:r>
                    <w:rPr>
                      <w:rFonts w:hint="eastAsia"/>
                      <w:color w:val="auto"/>
                      <w:kern w:val="0"/>
                      <w:sz w:val="18"/>
                      <w:szCs w:val="18"/>
                      <w:highlight w:val="none"/>
                      <w:lang w:val="en-US" w:eastAsia="zh-CN"/>
                    </w:rPr>
                    <w:t>/</w:t>
                  </w:r>
                </w:p>
              </w:tc>
              <w:tc>
                <w:tcPr>
                  <w:tcW w:w="711" w:type="pct"/>
                  <w:tcBorders>
                    <w:tl2br w:val="nil"/>
                    <w:tr2bl w:val="nil"/>
                  </w:tcBorders>
                  <w:tcMar>
                    <w:left w:w="28" w:type="dxa"/>
                    <w:right w:w="28" w:type="dxa"/>
                  </w:tcMar>
                  <w:vAlign w:val="center"/>
                </w:tcPr>
                <w:p>
                  <w:pPr>
                    <w:jc w:val="center"/>
                    <w:rPr>
                      <w:color w:val="auto"/>
                      <w:sz w:val="18"/>
                      <w:szCs w:val="18"/>
                      <w:highlight w:val="none"/>
                    </w:rPr>
                  </w:pPr>
                  <w:r>
                    <w:rPr>
                      <w:rFonts w:hint="eastAsia"/>
                      <w:color w:val="auto"/>
                      <w:kern w:val="0"/>
                      <w:sz w:val="18"/>
                      <w:szCs w:val="18"/>
                      <w:highlight w:val="none"/>
                      <w:lang w:val="en-US" w:eastAsia="zh-CN"/>
                    </w:rPr>
                    <w:t>/</w:t>
                  </w:r>
                </w:p>
              </w:tc>
              <w:tc>
                <w:tcPr>
                  <w:tcW w:w="330" w:type="pct"/>
                  <w:tcBorders>
                    <w:tl2br w:val="nil"/>
                    <w:tr2bl w:val="nil"/>
                  </w:tcBorders>
                  <w:tcMar>
                    <w:left w:w="28" w:type="dxa"/>
                    <w:right w:w="28" w:type="dxa"/>
                  </w:tcMar>
                  <w:vAlign w:val="center"/>
                </w:tcPr>
                <w:p>
                  <w:pPr>
                    <w:jc w:val="center"/>
                    <w:rPr>
                      <w:color w:val="auto"/>
                      <w:sz w:val="18"/>
                      <w:szCs w:val="18"/>
                      <w:highlight w:val="none"/>
                    </w:rPr>
                  </w:pPr>
                  <w:r>
                    <w:rPr>
                      <w:rFonts w:hint="eastAsia"/>
                      <w:color w:val="auto"/>
                      <w:kern w:val="0"/>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5" w:type="pct"/>
                  <w:vMerge w:val="continue"/>
                  <w:tcBorders>
                    <w:tl2br w:val="nil"/>
                    <w:tr2bl w:val="nil"/>
                  </w:tcBorders>
                  <w:tcMar>
                    <w:left w:w="28" w:type="dxa"/>
                    <w:right w:w="28" w:type="dxa"/>
                  </w:tcMar>
                  <w:vAlign w:val="center"/>
                </w:tcPr>
                <w:p>
                  <w:pPr>
                    <w:autoSpaceDE w:val="0"/>
                    <w:autoSpaceDN w:val="0"/>
                    <w:adjustRightInd w:val="0"/>
                    <w:jc w:val="center"/>
                    <w:rPr>
                      <w:color w:val="auto"/>
                      <w:sz w:val="18"/>
                      <w:szCs w:val="18"/>
                      <w:highlight w:val="none"/>
                    </w:rPr>
                  </w:pPr>
                </w:p>
              </w:tc>
              <w:tc>
                <w:tcPr>
                  <w:tcW w:w="956" w:type="pct"/>
                  <w:gridSpan w:val="2"/>
                  <w:tcBorders>
                    <w:tl2br w:val="nil"/>
                    <w:tr2bl w:val="nil"/>
                  </w:tcBorders>
                  <w:tcMar>
                    <w:left w:w="28" w:type="dxa"/>
                    <w:right w:w="28" w:type="dxa"/>
                  </w:tcMar>
                  <w:vAlign w:val="center"/>
                </w:tcPr>
                <w:p>
                  <w:pPr>
                    <w:autoSpaceDE w:val="0"/>
                    <w:autoSpaceDN w:val="0"/>
                    <w:adjustRightInd w:val="0"/>
                    <w:jc w:val="center"/>
                    <w:rPr>
                      <w:color w:val="auto"/>
                      <w:sz w:val="18"/>
                      <w:szCs w:val="18"/>
                      <w:highlight w:val="none"/>
                    </w:rPr>
                  </w:pPr>
                  <w:r>
                    <w:rPr>
                      <w:rFonts w:hint="eastAsia" w:ascii="宋体" w:hAnsi="宋体" w:eastAsia="宋体"/>
                      <w:color w:val="auto"/>
                      <w:sz w:val="18"/>
                      <w:szCs w:val="18"/>
                      <w:highlight w:val="none"/>
                    </w:rPr>
                    <w:t>资源开发效率要求</w:t>
                  </w:r>
                </w:p>
              </w:tc>
              <w:tc>
                <w:tcPr>
                  <w:tcW w:w="2376" w:type="pct"/>
                  <w:tcBorders>
                    <w:tl2br w:val="nil"/>
                    <w:tr2bl w:val="nil"/>
                  </w:tcBorders>
                  <w:tcMar>
                    <w:left w:w="28" w:type="dxa"/>
                    <w:right w:w="28" w:type="dxa"/>
                  </w:tcMar>
                  <w:vAlign w:val="center"/>
                </w:tcPr>
                <w:p>
                  <w:pPr>
                    <w:autoSpaceDE w:val="0"/>
                    <w:autoSpaceDN w:val="0"/>
                    <w:adjustRightInd w:val="0"/>
                    <w:jc w:val="center"/>
                    <w:rPr>
                      <w:color w:val="auto"/>
                      <w:kern w:val="0"/>
                      <w:sz w:val="18"/>
                      <w:szCs w:val="18"/>
                      <w:highlight w:val="none"/>
                    </w:rPr>
                  </w:pPr>
                  <w:r>
                    <w:rPr>
                      <w:rFonts w:hint="eastAsia"/>
                      <w:color w:val="auto"/>
                      <w:kern w:val="0"/>
                      <w:sz w:val="18"/>
                      <w:szCs w:val="18"/>
                      <w:highlight w:val="none"/>
                      <w:lang w:val="en-US" w:eastAsia="zh-CN"/>
                    </w:rPr>
                    <w:t>/</w:t>
                  </w:r>
                </w:p>
              </w:tc>
              <w:tc>
                <w:tcPr>
                  <w:tcW w:w="711" w:type="pct"/>
                  <w:tcBorders>
                    <w:tl2br w:val="nil"/>
                    <w:tr2bl w:val="nil"/>
                  </w:tcBorders>
                  <w:tcMar>
                    <w:left w:w="28" w:type="dxa"/>
                    <w:right w:w="28" w:type="dxa"/>
                  </w:tcMar>
                  <w:vAlign w:val="center"/>
                </w:tcPr>
                <w:p>
                  <w:pPr>
                    <w:jc w:val="center"/>
                    <w:rPr>
                      <w:color w:val="auto"/>
                      <w:sz w:val="18"/>
                      <w:szCs w:val="18"/>
                      <w:highlight w:val="none"/>
                    </w:rPr>
                  </w:pPr>
                  <w:r>
                    <w:rPr>
                      <w:rFonts w:hint="eastAsia"/>
                      <w:color w:val="auto"/>
                      <w:kern w:val="0"/>
                      <w:sz w:val="18"/>
                      <w:szCs w:val="18"/>
                      <w:highlight w:val="none"/>
                      <w:lang w:val="en-US" w:eastAsia="zh-CN"/>
                    </w:rPr>
                    <w:t>/</w:t>
                  </w:r>
                </w:p>
              </w:tc>
              <w:tc>
                <w:tcPr>
                  <w:tcW w:w="330" w:type="pct"/>
                  <w:tcBorders>
                    <w:tl2br w:val="nil"/>
                    <w:tr2bl w:val="nil"/>
                  </w:tcBorders>
                  <w:tcMar>
                    <w:left w:w="28" w:type="dxa"/>
                    <w:right w:w="28" w:type="dxa"/>
                  </w:tcMar>
                  <w:vAlign w:val="center"/>
                </w:tcPr>
                <w:p>
                  <w:pPr>
                    <w:jc w:val="center"/>
                    <w:rPr>
                      <w:color w:val="auto"/>
                      <w:sz w:val="18"/>
                      <w:szCs w:val="18"/>
                      <w:highlight w:val="none"/>
                    </w:rPr>
                  </w:pPr>
                  <w:r>
                    <w:rPr>
                      <w:rFonts w:hint="eastAsia"/>
                      <w:color w:val="auto"/>
                      <w:kern w:val="0"/>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5" w:type="pct"/>
                  <w:vMerge w:val="restart"/>
                  <w:tcBorders>
                    <w:tl2br w:val="nil"/>
                    <w:tr2bl w:val="nil"/>
                  </w:tcBorders>
                  <w:tcMar>
                    <w:left w:w="28" w:type="dxa"/>
                    <w:right w:w="28" w:type="dxa"/>
                  </w:tcMar>
                  <w:vAlign w:val="center"/>
                </w:tcPr>
                <w:p>
                  <w:pPr>
                    <w:autoSpaceDE w:val="0"/>
                    <w:autoSpaceDN w:val="0"/>
                    <w:adjustRightInd w:val="0"/>
                    <w:jc w:val="center"/>
                    <w:rPr>
                      <w:color w:val="auto"/>
                      <w:sz w:val="18"/>
                      <w:szCs w:val="18"/>
                      <w:highlight w:val="none"/>
                    </w:rPr>
                  </w:pPr>
                  <w:r>
                    <w:rPr>
                      <w:rFonts w:hint="eastAsia"/>
                      <w:color w:val="auto"/>
                      <w:sz w:val="18"/>
                      <w:szCs w:val="18"/>
                      <w:highlight w:val="none"/>
                    </w:rPr>
                    <w:t>YS5117223310001宣汉县大气环境一般管控区</w:t>
                  </w:r>
                </w:p>
              </w:tc>
              <w:tc>
                <w:tcPr>
                  <w:tcW w:w="956" w:type="pct"/>
                  <w:gridSpan w:val="2"/>
                  <w:tcBorders>
                    <w:tl2br w:val="nil"/>
                    <w:tr2bl w:val="nil"/>
                  </w:tcBorders>
                  <w:tcMar>
                    <w:left w:w="28" w:type="dxa"/>
                    <w:right w:w="28" w:type="dxa"/>
                  </w:tcMar>
                  <w:vAlign w:val="center"/>
                </w:tcPr>
                <w:p>
                  <w:pPr>
                    <w:pStyle w:val="98"/>
                    <w:widowControl/>
                    <w:spacing w:line="240" w:lineRule="auto"/>
                    <w:ind w:firstLine="0" w:firstLineChars="0"/>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空间布局约束</w:t>
                  </w:r>
                </w:p>
              </w:tc>
              <w:tc>
                <w:tcPr>
                  <w:tcW w:w="5989" w:type="dxa"/>
                  <w:tcBorders>
                    <w:tl2br w:val="nil"/>
                    <w:tr2bl w:val="nil"/>
                  </w:tcBorders>
                  <w:tcMar>
                    <w:left w:w="28" w:type="dxa"/>
                    <w:right w:w="28" w:type="dxa"/>
                  </w:tcMar>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w:t>
                  </w:r>
                </w:p>
              </w:tc>
              <w:tc>
                <w:tcPr>
                  <w:tcW w:w="1794" w:type="dxa"/>
                  <w:tcBorders>
                    <w:tl2br w:val="nil"/>
                    <w:tr2bl w:val="nil"/>
                  </w:tcBorders>
                  <w:tcMar>
                    <w:left w:w="28" w:type="dxa"/>
                    <w:right w:w="28" w:type="dxa"/>
                  </w:tcMar>
                  <w:vAlign w:val="center"/>
                </w:tcPr>
                <w:p>
                  <w:pPr>
                    <w:jc w:val="center"/>
                    <w:rPr>
                      <w:color w:val="auto"/>
                      <w:sz w:val="18"/>
                      <w:szCs w:val="18"/>
                      <w:highlight w:val="none"/>
                    </w:rPr>
                  </w:pPr>
                  <w:r>
                    <w:rPr>
                      <w:rFonts w:hint="eastAsia"/>
                      <w:color w:val="auto"/>
                      <w:sz w:val="18"/>
                      <w:szCs w:val="18"/>
                      <w:highlight w:val="none"/>
                    </w:rPr>
                    <w:t>/</w:t>
                  </w:r>
                </w:p>
              </w:tc>
              <w:tc>
                <w:tcPr>
                  <w:tcW w:w="832" w:type="dxa"/>
                  <w:tcBorders>
                    <w:tl2br w:val="nil"/>
                    <w:tr2bl w:val="nil"/>
                  </w:tcBorders>
                  <w:tcMar>
                    <w:left w:w="28" w:type="dxa"/>
                    <w:right w:w="28" w:type="dxa"/>
                  </w:tcMar>
                  <w:vAlign w:val="center"/>
                </w:tcPr>
                <w:p>
                  <w:pPr>
                    <w:jc w:val="center"/>
                    <w:rPr>
                      <w:color w:val="auto"/>
                      <w:sz w:val="18"/>
                      <w:szCs w:val="18"/>
                      <w:highlight w:val="none"/>
                    </w:rPr>
                  </w:pPr>
                  <w:r>
                    <w:rPr>
                      <w:rFonts w:hint="eastAsia"/>
                      <w:color w:val="auto"/>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5" w:type="pct"/>
                  <w:vMerge w:val="continue"/>
                  <w:tcBorders>
                    <w:tl2br w:val="nil"/>
                    <w:tr2bl w:val="nil"/>
                  </w:tcBorders>
                  <w:tcMar>
                    <w:left w:w="28" w:type="dxa"/>
                    <w:right w:w="28" w:type="dxa"/>
                  </w:tcMar>
                  <w:vAlign w:val="center"/>
                </w:tcPr>
                <w:p>
                  <w:pPr>
                    <w:autoSpaceDE w:val="0"/>
                    <w:autoSpaceDN w:val="0"/>
                    <w:adjustRightInd w:val="0"/>
                    <w:jc w:val="center"/>
                    <w:rPr>
                      <w:color w:val="auto"/>
                      <w:sz w:val="18"/>
                      <w:szCs w:val="18"/>
                      <w:highlight w:val="none"/>
                    </w:rPr>
                  </w:pPr>
                </w:p>
              </w:tc>
              <w:tc>
                <w:tcPr>
                  <w:tcW w:w="956" w:type="pct"/>
                  <w:gridSpan w:val="2"/>
                  <w:tcBorders>
                    <w:tl2br w:val="nil"/>
                    <w:tr2bl w:val="nil"/>
                  </w:tcBorders>
                  <w:tcMar>
                    <w:left w:w="28" w:type="dxa"/>
                    <w:right w:w="28" w:type="dxa"/>
                  </w:tcMar>
                  <w:vAlign w:val="center"/>
                </w:tcPr>
                <w:p>
                  <w:pPr>
                    <w:pStyle w:val="98"/>
                    <w:widowControl/>
                    <w:spacing w:line="240" w:lineRule="auto"/>
                    <w:ind w:firstLine="0" w:firstLineChars="0"/>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污染物排放管控</w:t>
                  </w:r>
                </w:p>
              </w:tc>
              <w:tc>
                <w:tcPr>
                  <w:tcW w:w="5989" w:type="dxa"/>
                  <w:tcBorders>
                    <w:tl2br w:val="nil"/>
                    <w:tr2bl w:val="nil"/>
                  </w:tcBorders>
                  <w:tcMar>
                    <w:left w:w="28" w:type="dxa"/>
                    <w:right w:w="28" w:type="dxa"/>
                  </w:tcMar>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w:t>
                  </w:r>
                </w:p>
              </w:tc>
              <w:tc>
                <w:tcPr>
                  <w:tcW w:w="1794" w:type="dxa"/>
                  <w:tcBorders>
                    <w:tl2br w:val="nil"/>
                    <w:tr2bl w:val="nil"/>
                  </w:tcBorders>
                  <w:tcMar>
                    <w:left w:w="28" w:type="dxa"/>
                    <w:right w:w="28" w:type="dxa"/>
                  </w:tcMar>
                  <w:vAlign w:val="center"/>
                </w:tcPr>
                <w:p>
                  <w:pPr>
                    <w:jc w:val="center"/>
                    <w:rPr>
                      <w:color w:val="auto"/>
                      <w:sz w:val="18"/>
                      <w:szCs w:val="18"/>
                      <w:highlight w:val="none"/>
                    </w:rPr>
                  </w:pPr>
                  <w:r>
                    <w:rPr>
                      <w:rFonts w:hint="eastAsia"/>
                      <w:color w:val="auto"/>
                      <w:sz w:val="18"/>
                      <w:szCs w:val="18"/>
                      <w:highlight w:val="none"/>
                    </w:rPr>
                    <w:t>/</w:t>
                  </w:r>
                </w:p>
              </w:tc>
              <w:tc>
                <w:tcPr>
                  <w:tcW w:w="832" w:type="dxa"/>
                  <w:tcBorders>
                    <w:tl2br w:val="nil"/>
                    <w:tr2bl w:val="nil"/>
                  </w:tcBorders>
                  <w:tcMar>
                    <w:left w:w="28" w:type="dxa"/>
                    <w:right w:w="28" w:type="dxa"/>
                  </w:tcMar>
                  <w:vAlign w:val="center"/>
                </w:tcPr>
                <w:p>
                  <w:pPr>
                    <w:jc w:val="center"/>
                    <w:rPr>
                      <w:color w:val="auto"/>
                      <w:sz w:val="18"/>
                      <w:szCs w:val="18"/>
                      <w:highlight w:val="none"/>
                    </w:rPr>
                  </w:pPr>
                  <w:r>
                    <w:rPr>
                      <w:rFonts w:hint="eastAsia"/>
                      <w:color w:val="auto"/>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5" w:type="pct"/>
                  <w:vMerge w:val="continue"/>
                  <w:tcBorders>
                    <w:tl2br w:val="nil"/>
                    <w:tr2bl w:val="nil"/>
                  </w:tcBorders>
                  <w:tcMar>
                    <w:left w:w="28" w:type="dxa"/>
                    <w:right w:w="28" w:type="dxa"/>
                  </w:tcMar>
                  <w:vAlign w:val="center"/>
                </w:tcPr>
                <w:p>
                  <w:pPr>
                    <w:autoSpaceDE w:val="0"/>
                    <w:autoSpaceDN w:val="0"/>
                    <w:adjustRightInd w:val="0"/>
                    <w:jc w:val="center"/>
                    <w:rPr>
                      <w:color w:val="auto"/>
                      <w:sz w:val="18"/>
                      <w:szCs w:val="18"/>
                      <w:highlight w:val="none"/>
                    </w:rPr>
                  </w:pPr>
                </w:p>
              </w:tc>
              <w:tc>
                <w:tcPr>
                  <w:tcW w:w="956" w:type="pct"/>
                  <w:gridSpan w:val="2"/>
                  <w:tcBorders>
                    <w:tl2br w:val="nil"/>
                    <w:tr2bl w:val="nil"/>
                  </w:tcBorders>
                  <w:tcMar>
                    <w:left w:w="28" w:type="dxa"/>
                    <w:right w:w="28" w:type="dxa"/>
                  </w:tcMar>
                  <w:vAlign w:val="center"/>
                </w:tcPr>
                <w:p>
                  <w:pPr>
                    <w:pStyle w:val="98"/>
                    <w:widowControl/>
                    <w:spacing w:line="240" w:lineRule="auto"/>
                    <w:ind w:firstLine="0" w:firstLineChars="0"/>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环境风险防控</w:t>
                  </w:r>
                </w:p>
              </w:tc>
              <w:tc>
                <w:tcPr>
                  <w:tcW w:w="5989" w:type="dxa"/>
                  <w:tcBorders>
                    <w:tl2br w:val="nil"/>
                    <w:tr2bl w:val="nil"/>
                  </w:tcBorders>
                  <w:tcMar>
                    <w:left w:w="28" w:type="dxa"/>
                    <w:right w:w="28" w:type="dxa"/>
                  </w:tcMar>
                  <w:vAlign w:val="center"/>
                </w:tcPr>
                <w:p>
                  <w:pPr>
                    <w:jc w:val="center"/>
                    <w:rPr>
                      <w:color w:val="auto"/>
                      <w:kern w:val="0"/>
                      <w:sz w:val="18"/>
                      <w:szCs w:val="18"/>
                      <w:highlight w:val="none"/>
                    </w:rPr>
                  </w:pPr>
                  <w:r>
                    <w:rPr>
                      <w:rFonts w:hint="eastAsia" w:ascii="宋体" w:hAnsi="宋体"/>
                      <w:color w:val="auto"/>
                      <w:sz w:val="18"/>
                      <w:szCs w:val="18"/>
                      <w:highlight w:val="none"/>
                    </w:rPr>
                    <w:t>/</w:t>
                  </w:r>
                </w:p>
              </w:tc>
              <w:tc>
                <w:tcPr>
                  <w:tcW w:w="1794" w:type="dxa"/>
                  <w:tcBorders>
                    <w:tl2br w:val="nil"/>
                    <w:tr2bl w:val="nil"/>
                  </w:tcBorders>
                  <w:tcMar>
                    <w:left w:w="28" w:type="dxa"/>
                    <w:right w:w="28" w:type="dxa"/>
                  </w:tcMar>
                  <w:vAlign w:val="center"/>
                </w:tcPr>
                <w:p>
                  <w:pPr>
                    <w:jc w:val="center"/>
                    <w:rPr>
                      <w:color w:val="auto"/>
                      <w:kern w:val="0"/>
                      <w:sz w:val="18"/>
                      <w:szCs w:val="18"/>
                      <w:highlight w:val="none"/>
                    </w:rPr>
                  </w:pPr>
                  <w:r>
                    <w:rPr>
                      <w:rFonts w:hint="eastAsia"/>
                      <w:color w:val="auto"/>
                      <w:sz w:val="18"/>
                      <w:szCs w:val="18"/>
                      <w:highlight w:val="none"/>
                    </w:rPr>
                    <w:t>/</w:t>
                  </w:r>
                </w:p>
              </w:tc>
              <w:tc>
                <w:tcPr>
                  <w:tcW w:w="832" w:type="dxa"/>
                  <w:tcBorders>
                    <w:tl2br w:val="nil"/>
                    <w:tr2bl w:val="nil"/>
                  </w:tcBorders>
                  <w:tcMar>
                    <w:left w:w="28" w:type="dxa"/>
                    <w:right w:w="28" w:type="dxa"/>
                  </w:tcMar>
                  <w:vAlign w:val="center"/>
                </w:tcPr>
                <w:p>
                  <w:pPr>
                    <w:jc w:val="center"/>
                    <w:rPr>
                      <w:color w:val="auto"/>
                      <w:sz w:val="18"/>
                      <w:szCs w:val="18"/>
                      <w:highlight w:val="none"/>
                    </w:rPr>
                  </w:pPr>
                  <w:r>
                    <w:rPr>
                      <w:rFonts w:hint="eastAsia"/>
                      <w:color w:val="auto"/>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5" w:type="pct"/>
                  <w:vMerge w:val="continue"/>
                  <w:tcBorders>
                    <w:tl2br w:val="nil"/>
                    <w:tr2bl w:val="nil"/>
                  </w:tcBorders>
                  <w:vAlign w:val="center"/>
                </w:tcPr>
                <w:p>
                  <w:pPr>
                    <w:autoSpaceDE w:val="0"/>
                    <w:autoSpaceDN w:val="0"/>
                    <w:adjustRightInd w:val="0"/>
                    <w:jc w:val="center"/>
                    <w:rPr>
                      <w:color w:val="auto"/>
                      <w:sz w:val="18"/>
                      <w:szCs w:val="18"/>
                      <w:highlight w:val="none"/>
                    </w:rPr>
                  </w:pPr>
                </w:p>
              </w:tc>
              <w:tc>
                <w:tcPr>
                  <w:tcW w:w="956" w:type="pct"/>
                  <w:gridSpan w:val="2"/>
                  <w:tcBorders>
                    <w:tl2br w:val="nil"/>
                    <w:tr2bl w:val="nil"/>
                  </w:tcBorders>
                  <w:vAlign w:val="center"/>
                </w:tcPr>
                <w:p>
                  <w:pPr>
                    <w:pStyle w:val="98"/>
                    <w:widowControl/>
                    <w:spacing w:line="240" w:lineRule="auto"/>
                    <w:ind w:firstLine="0" w:firstLineChars="0"/>
                    <w:jc w:val="center"/>
                    <w:rPr>
                      <w:rFonts w:ascii="宋体" w:hAnsi="宋体" w:eastAsia="宋体"/>
                      <w:color w:val="auto"/>
                      <w:sz w:val="18"/>
                      <w:szCs w:val="18"/>
                      <w:highlight w:val="none"/>
                    </w:rPr>
                  </w:pPr>
                  <w:r>
                    <w:rPr>
                      <w:rFonts w:hint="eastAsia" w:ascii="宋体" w:hAnsi="宋体" w:eastAsia="宋体"/>
                      <w:color w:val="auto"/>
                      <w:sz w:val="18"/>
                      <w:szCs w:val="18"/>
                      <w:highlight w:val="none"/>
                    </w:rPr>
                    <w:t>资源开发效率要求</w:t>
                  </w:r>
                </w:p>
              </w:tc>
              <w:tc>
                <w:tcPr>
                  <w:tcW w:w="5989" w:type="dxa"/>
                  <w:tcBorders>
                    <w:tl2br w:val="nil"/>
                    <w:tr2bl w:val="nil"/>
                  </w:tcBorders>
                  <w:vAlign w:val="center"/>
                </w:tcPr>
                <w:p>
                  <w:pPr>
                    <w:jc w:val="center"/>
                    <w:rPr>
                      <w:rFonts w:ascii="宋体" w:hAnsi="宋体"/>
                      <w:color w:val="auto"/>
                      <w:sz w:val="18"/>
                      <w:szCs w:val="18"/>
                      <w:highlight w:val="none"/>
                    </w:rPr>
                  </w:pPr>
                  <w:r>
                    <w:rPr>
                      <w:rFonts w:hint="eastAsia" w:ascii="宋体" w:hAnsi="宋体"/>
                      <w:color w:val="auto"/>
                      <w:sz w:val="18"/>
                      <w:szCs w:val="18"/>
                      <w:highlight w:val="none"/>
                    </w:rPr>
                    <w:t>/</w:t>
                  </w:r>
                </w:p>
              </w:tc>
              <w:tc>
                <w:tcPr>
                  <w:tcW w:w="1794" w:type="dxa"/>
                  <w:tcBorders>
                    <w:tl2br w:val="nil"/>
                    <w:tr2bl w:val="nil"/>
                  </w:tcBorders>
                  <w:vAlign w:val="center"/>
                </w:tcPr>
                <w:p>
                  <w:pPr>
                    <w:jc w:val="center"/>
                    <w:rPr>
                      <w:color w:val="auto"/>
                      <w:sz w:val="18"/>
                      <w:szCs w:val="18"/>
                      <w:highlight w:val="none"/>
                    </w:rPr>
                  </w:pPr>
                  <w:r>
                    <w:rPr>
                      <w:rFonts w:hint="eastAsia"/>
                      <w:color w:val="auto"/>
                      <w:sz w:val="18"/>
                      <w:szCs w:val="18"/>
                      <w:highlight w:val="none"/>
                    </w:rPr>
                    <w:t>/</w:t>
                  </w:r>
                </w:p>
              </w:tc>
              <w:tc>
                <w:tcPr>
                  <w:tcW w:w="832" w:type="dxa"/>
                  <w:tcBorders>
                    <w:tl2br w:val="nil"/>
                    <w:tr2bl w:val="nil"/>
                  </w:tcBorders>
                  <w:vAlign w:val="center"/>
                </w:tcPr>
                <w:p>
                  <w:pPr>
                    <w:jc w:val="center"/>
                    <w:rPr>
                      <w:color w:val="auto"/>
                      <w:sz w:val="18"/>
                      <w:szCs w:val="18"/>
                      <w:highlight w:val="none"/>
                    </w:rPr>
                  </w:pPr>
                  <w:r>
                    <w:rPr>
                      <w:rFonts w:hint="eastAsia"/>
                      <w:color w:val="auto"/>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5" w:type="pct"/>
                  <w:vMerge w:val="restart"/>
                  <w:tcBorders>
                    <w:tl2br w:val="nil"/>
                    <w:tr2bl w:val="nil"/>
                  </w:tcBorders>
                  <w:vAlign w:val="center"/>
                </w:tcPr>
                <w:p>
                  <w:pPr>
                    <w:autoSpaceDE w:val="0"/>
                    <w:autoSpaceDN w:val="0"/>
                    <w:adjustRightInd w:val="0"/>
                    <w:jc w:val="center"/>
                    <w:rPr>
                      <w:color w:val="auto"/>
                      <w:sz w:val="18"/>
                      <w:szCs w:val="18"/>
                      <w:highlight w:val="none"/>
                    </w:rPr>
                  </w:pPr>
                  <w:r>
                    <w:rPr>
                      <w:rFonts w:hint="eastAsia"/>
                      <w:color w:val="auto"/>
                      <w:sz w:val="18"/>
                      <w:szCs w:val="18"/>
                      <w:highlight w:val="none"/>
                    </w:rPr>
                    <w:t>YS5117221410003宣汉县土壤优先保护区</w:t>
                  </w:r>
                </w:p>
              </w:tc>
              <w:tc>
                <w:tcPr>
                  <w:tcW w:w="956" w:type="pct"/>
                  <w:gridSpan w:val="2"/>
                  <w:tcBorders>
                    <w:tl2br w:val="nil"/>
                    <w:tr2bl w:val="nil"/>
                  </w:tcBorders>
                  <w:vAlign w:val="center"/>
                </w:tcPr>
                <w:p>
                  <w:pPr>
                    <w:pStyle w:val="98"/>
                    <w:widowControl/>
                    <w:spacing w:line="240" w:lineRule="auto"/>
                    <w:ind w:firstLine="0" w:firstLineChars="0"/>
                    <w:jc w:val="center"/>
                    <w:rPr>
                      <w:rFonts w:hint="eastAsia" w:ascii="宋体" w:hAnsi="宋体" w:eastAsia="宋体" w:cs="Times New Roman"/>
                      <w:color w:val="auto"/>
                      <w:kern w:val="2"/>
                      <w:sz w:val="18"/>
                      <w:szCs w:val="18"/>
                      <w:highlight w:val="none"/>
                      <w:lang w:val="en-US" w:eastAsia="zh-CN" w:bidi="ar-SA"/>
                    </w:rPr>
                  </w:pPr>
                  <w:r>
                    <w:rPr>
                      <w:rFonts w:hint="eastAsia" w:ascii="宋体" w:hAnsi="宋体" w:eastAsia="宋体"/>
                      <w:color w:val="auto"/>
                      <w:sz w:val="18"/>
                      <w:szCs w:val="18"/>
                      <w:highlight w:val="none"/>
                    </w:rPr>
                    <w:t>空间布局约束</w:t>
                  </w:r>
                </w:p>
              </w:tc>
              <w:tc>
                <w:tcPr>
                  <w:tcW w:w="5989" w:type="dxa"/>
                  <w:tcBorders>
                    <w:tl2br w:val="nil"/>
                    <w:tr2bl w:val="nil"/>
                  </w:tcBorders>
                  <w:vAlign w:val="center"/>
                </w:tcPr>
                <w:p>
                  <w:pPr>
                    <w:jc w:val="center"/>
                    <w:rPr>
                      <w:rFonts w:hint="eastAsia" w:ascii="宋体" w:hAnsi="宋体" w:eastAsia="宋体" w:cs="Times New Roman"/>
                      <w:color w:val="auto"/>
                      <w:kern w:val="2"/>
                      <w:sz w:val="18"/>
                      <w:szCs w:val="18"/>
                      <w:highlight w:val="none"/>
                      <w:lang w:val="en-US" w:eastAsia="zh-CN" w:bidi="ar-SA"/>
                    </w:rPr>
                  </w:pPr>
                  <w:r>
                    <w:rPr>
                      <w:rFonts w:hint="eastAsia" w:ascii="宋体" w:hAnsi="宋体"/>
                      <w:color w:val="auto"/>
                      <w:sz w:val="18"/>
                      <w:szCs w:val="18"/>
                      <w:highlight w:val="none"/>
                    </w:rPr>
                    <w:t>/</w:t>
                  </w:r>
                </w:p>
              </w:tc>
              <w:tc>
                <w:tcPr>
                  <w:tcW w:w="1794" w:type="dxa"/>
                  <w:tcBorders>
                    <w:tl2br w:val="nil"/>
                    <w:tr2bl w:val="nil"/>
                  </w:tcBorders>
                  <w:vAlign w:val="center"/>
                </w:tcPr>
                <w:p>
                  <w:pPr>
                    <w:jc w:val="center"/>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rPr>
                    <w:t>/</w:t>
                  </w:r>
                </w:p>
              </w:tc>
              <w:tc>
                <w:tcPr>
                  <w:tcW w:w="832" w:type="dxa"/>
                  <w:tcBorders>
                    <w:tl2br w:val="nil"/>
                    <w:tr2bl w:val="nil"/>
                  </w:tcBorders>
                  <w:vAlign w:val="center"/>
                </w:tcPr>
                <w:p>
                  <w:pPr>
                    <w:jc w:val="center"/>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5" w:type="pct"/>
                  <w:vMerge w:val="continue"/>
                  <w:tcBorders>
                    <w:tl2br w:val="nil"/>
                    <w:tr2bl w:val="nil"/>
                  </w:tcBorders>
                  <w:vAlign w:val="center"/>
                </w:tcPr>
                <w:p>
                  <w:pPr>
                    <w:autoSpaceDE w:val="0"/>
                    <w:autoSpaceDN w:val="0"/>
                    <w:adjustRightInd w:val="0"/>
                    <w:jc w:val="center"/>
                    <w:rPr>
                      <w:color w:val="auto"/>
                      <w:sz w:val="18"/>
                      <w:szCs w:val="18"/>
                      <w:highlight w:val="none"/>
                    </w:rPr>
                  </w:pPr>
                </w:p>
              </w:tc>
              <w:tc>
                <w:tcPr>
                  <w:tcW w:w="956" w:type="pct"/>
                  <w:gridSpan w:val="2"/>
                  <w:tcBorders>
                    <w:tl2br w:val="nil"/>
                    <w:tr2bl w:val="nil"/>
                  </w:tcBorders>
                  <w:vAlign w:val="center"/>
                </w:tcPr>
                <w:p>
                  <w:pPr>
                    <w:pStyle w:val="98"/>
                    <w:widowControl/>
                    <w:spacing w:line="240" w:lineRule="auto"/>
                    <w:ind w:firstLine="0" w:firstLineChars="0"/>
                    <w:jc w:val="center"/>
                    <w:rPr>
                      <w:rFonts w:hint="eastAsia" w:ascii="宋体" w:hAnsi="宋体" w:eastAsia="宋体" w:cs="Times New Roman"/>
                      <w:color w:val="auto"/>
                      <w:kern w:val="2"/>
                      <w:sz w:val="18"/>
                      <w:szCs w:val="18"/>
                      <w:highlight w:val="none"/>
                      <w:lang w:val="en-US" w:eastAsia="zh-CN" w:bidi="ar-SA"/>
                    </w:rPr>
                  </w:pPr>
                  <w:r>
                    <w:rPr>
                      <w:rFonts w:hint="eastAsia" w:ascii="宋体" w:hAnsi="宋体" w:eastAsia="宋体"/>
                      <w:color w:val="auto"/>
                      <w:sz w:val="18"/>
                      <w:szCs w:val="18"/>
                      <w:highlight w:val="none"/>
                    </w:rPr>
                    <w:t>污染物排放管控</w:t>
                  </w:r>
                </w:p>
              </w:tc>
              <w:tc>
                <w:tcPr>
                  <w:tcW w:w="5989" w:type="dxa"/>
                  <w:tcBorders>
                    <w:tl2br w:val="nil"/>
                    <w:tr2bl w:val="nil"/>
                  </w:tcBorders>
                  <w:vAlign w:val="center"/>
                </w:tcPr>
                <w:p>
                  <w:pPr>
                    <w:jc w:val="center"/>
                    <w:rPr>
                      <w:rFonts w:hint="eastAsia" w:ascii="宋体" w:hAnsi="宋体" w:eastAsia="宋体" w:cs="Times New Roman"/>
                      <w:color w:val="auto"/>
                      <w:kern w:val="2"/>
                      <w:sz w:val="18"/>
                      <w:szCs w:val="18"/>
                      <w:highlight w:val="none"/>
                      <w:lang w:val="en-US" w:eastAsia="zh-CN" w:bidi="ar-SA"/>
                    </w:rPr>
                  </w:pPr>
                  <w:r>
                    <w:rPr>
                      <w:rFonts w:hint="eastAsia" w:ascii="宋体" w:hAnsi="宋体"/>
                      <w:color w:val="auto"/>
                      <w:sz w:val="18"/>
                      <w:szCs w:val="18"/>
                      <w:highlight w:val="none"/>
                    </w:rPr>
                    <w:t>/</w:t>
                  </w:r>
                </w:p>
              </w:tc>
              <w:tc>
                <w:tcPr>
                  <w:tcW w:w="1794" w:type="dxa"/>
                  <w:tcBorders>
                    <w:tl2br w:val="nil"/>
                    <w:tr2bl w:val="nil"/>
                  </w:tcBorders>
                  <w:vAlign w:val="center"/>
                </w:tcPr>
                <w:p>
                  <w:pPr>
                    <w:jc w:val="center"/>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rPr>
                    <w:t>/</w:t>
                  </w:r>
                </w:p>
              </w:tc>
              <w:tc>
                <w:tcPr>
                  <w:tcW w:w="832" w:type="dxa"/>
                  <w:tcBorders>
                    <w:tl2br w:val="nil"/>
                    <w:tr2bl w:val="nil"/>
                  </w:tcBorders>
                  <w:vAlign w:val="center"/>
                </w:tcPr>
                <w:p>
                  <w:pPr>
                    <w:jc w:val="center"/>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5" w:type="pct"/>
                  <w:vMerge w:val="continue"/>
                  <w:tcBorders>
                    <w:tl2br w:val="nil"/>
                    <w:tr2bl w:val="nil"/>
                  </w:tcBorders>
                  <w:vAlign w:val="center"/>
                </w:tcPr>
                <w:p>
                  <w:pPr>
                    <w:autoSpaceDE w:val="0"/>
                    <w:autoSpaceDN w:val="0"/>
                    <w:adjustRightInd w:val="0"/>
                    <w:jc w:val="center"/>
                    <w:rPr>
                      <w:color w:val="auto"/>
                      <w:sz w:val="18"/>
                      <w:szCs w:val="18"/>
                      <w:highlight w:val="none"/>
                    </w:rPr>
                  </w:pPr>
                </w:p>
              </w:tc>
              <w:tc>
                <w:tcPr>
                  <w:tcW w:w="956" w:type="pct"/>
                  <w:gridSpan w:val="2"/>
                  <w:tcBorders>
                    <w:tl2br w:val="nil"/>
                    <w:tr2bl w:val="nil"/>
                  </w:tcBorders>
                  <w:vAlign w:val="center"/>
                </w:tcPr>
                <w:p>
                  <w:pPr>
                    <w:pStyle w:val="98"/>
                    <w:widowControl/>
                    <w:spacing w:line="240" w:lineRule="auto"/>
                    <w:ind w:firstLine="0" w:firstLineChars="0"/>
                    <w:jc w:val="center"/>
                    <w:rPr>
                      <w:rFonts w:hint="eastAsia" w:ascii="宋体" w:hAnsi="宋体" w:eastAsia="宋体" w:cs="Times New Roman"/>
                      <w:color w:val="auto"/>
                      <w:kern w:val="2"/>
                      <w:sz w:val="18"/>
                      <w:szCs w:val="18"/>
                      <w:highlight w:val="none"/>
                      <w:lang w:val="en-US" w:eastAsia="zh-CN" w:bidi="ar-SA"/>
                    </w:rPr>
                  </w:pPr>
                  <w:r>
                    <w:rPr>
                      <w:rFonts w:hint="eastAsia" w:ascii="宋体" w:hAnsi="宋体" w:eastAsia="宋体"/>
                      <w:color w:val="auto"/>
                      <w:sz w:val="18"/>
                      <w:szCs w:val="18"/>
                      <w:highlight w:val="none"/>
                    </w:rPr>
                    <w:t>环境风险防控</w:t>
                  </w:r>
                </w:p>
              </w:tc>
              <w:tc>
                <w:tcPr>
                  <w:tcW w:w="5989" w:type="dxa"/>
                  <w:tcBorders>
                    <w:tl2br w:val="nil"/>
                    <w:tr2bl w:val="nil"/>
                  </w:tcBorders>
                  <w:vAlign w:val="center"/>
                </w:tcPr>
                <w:p>
                  <w:pPr>
                    <w:jc w:val="center"/>
                    <w:rPr>
                      <w:rFonts w:hint="eastAsia" w:ascii="Times New Roman" w:hAnsi="Times New Roman" w:eastAsia="宋体" w:cs="Times New Roman"/>
                      <w:color w:val="auto"/>
                      <w:kern w:val="0"/>
                      <w:sz w:val="18"/>
                      <w:szCs w:val="18"/>
                      <w:highlight w:val="none"/>
                      <w:lang w:val="en-US" w:eastAsia="zh-CN" w:bidi="ar-SA"/>
                    </w:rPr>
                  </w:pPr>
                  <w:r>
                    <w:rPr>
                      <w:rFonts w:hint="eastAsia" w:ascii="宋体" w:hAnsi="宋体"/>
                      <w:color w:val="auto"/>
                      <w:sz w:val="18"/>
                      <w:szCs w:val="18"/>
                      <w:highlight w:val="none"/>
                    </w:rPr>
                    <w:t>/</w:t>
                  </w:r>
                </w:p>
              </w:tc>
              <w:tc>
                <w:tcPr>
                  <w:tcW w:w="1794" w:type="dxa"/>
                  <w:tcBorders>
                    <w:tl2br w:val="nil"/>
                    <w:tr2bl w:val="nil"/>
                  </w:tcBorders>
                  <w:vAlign w:val="center"/>
                </w:tcPr>
                <w:p>
                  <w:pPr>
                    <w:jc w:val="center"/>
                    <w:rPr>
                      <w:rFonts w:hint="eastAsia" w:ascii="Times New Roman" w:hAnsi="Times New Roman" w:eastAsia="宋体" w:cs="Times New Roman"/>
                      <w:color w:val="auto"/>
                      <w:kern w:val="0"/>
                      <w:sz w:val="18"/>
                      <w:szCs w:val="18"/>
                      <w:highlight w:val="none"/>
                      <w:lang w:val="en-US" w:eastAsia="zh-CN" w:bidi="ar-SA"/>
                    </w:rPr>
                  </w:pPr>
                  <w:r>
                    <w:rPr>
                      <w:rFonts w:hint="eastAsia"/>
                      <w:color w:val="auto"/>
                      <w:sz w:val="18"/>
                      <w:szCs w:val="18"/>
                      <w:highlight w:val="none"/>
                    </w:rPr>
                    <w:t>/</w:t>
                  </w:r>
                </w:p>
              </w:tc>
              <w:tc>
                <w:tcPr>
                  <w:tcW w:w="832" w:type="dxa"/>
                  <w:tcBorders>
                    <w:tl2br w:val="nil"/>
                    <w:tr2bl w:val="nil"/>
                  </w:tcBorders>
                  <w:vAlign w:val="center"/>
                </w:tcPr>
                <w:p>
                  <w:pPr>
                    <w:jc w:val="center"/>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5" w:type="pct"/>
                  <w:vMerge w:val="continue"/>
                  <w:tcBorders>
                    <w:tl2br w:val="nil"/>
                    <w:tr2bl w:val="nil"/>
                  </w:tcBorders>
                  <w:vAlign w:val="center"/>
                </w:tcPr>
                <w:p>
                  <w:pPr>
                    <w:autoSpaceDE w:val="0"/>
                    <w:autoSpaceDN w:val="0"/>
                    <w:adjustRightInd w:val="0"/>
                    <w:jc w:val="center"/>
                    <w:rPr>
                      <w:color w:val="auto"/>
                      <w:sz w:val="18"/>
                      <w:szCs w:val="18"/>
                      <w:highlight w:val="none"/>
                    </w:rPr>
                  </w:pPr>
                </w:p>
              </w:tc>
              <w:tc>
                <w:tcPr>
                  <w:tcW w:w="956" w:type="pct"/>
                  <w:gridSpan w:val="2"/>
                  <w:tcBorders>
                    <w:tl2br w:val="nil"/>
                    <w:tr2bl w:val="nil"/>
                  </w:tcBorders>
                  <w:vAlign w:val="center"/>
                </w:tcPr>
                <w:p>
                  <w:pPr>
                    <w:pStyle w:val="98"/>
                    <w:widowControl/>
                    <w:spacing w:line="240" w:lineRule="auto"/>
                    <w:ind w:firstLine="0" w:firstLineChars="0"/>
                    <w:jc w:val="center"/>
                    <w:rPr>
                      <w:rFonts w:hint="eastAsia" w:ascii="宋体" w:hAnsi="宋体" w:eastAsia="宋体" w:cs="Times New Roman"/>
                      <w:color w:val="auto"/>
                      <w:kern w:val="2"/>
                      <w:sz w:val="18"/>
                      <w:szCs w:val="18"/>
                      <w:highlight w:val="none"/>
                      <w:lang w:val="en-US" w:eastAsia="zh-CN" w:bidi="ar-SA"/>
                    </w:rPr>
                  </w:pPr>
                  <w:r>
                    <w:rPr>
                      <w:rFonts w:hint="eastAsia" w:ascii="宋体" w:hAnsi="宋体" w:eastAsia="宋体"/>
                      <w:color w:val="auto"/>
                      <w:sz w:val="18"/>
                      <w:szCs w:val="18"/>
                      <w:highlight w:val="none"/>
                    </w:rPr>
                    <w:t>资源开发效率要求</w:t>
                  </w:r>
                </w:p>
              </w:tc>
              <w:tc>
                <w:tcPr>
                  <w:tcW w:w="5989" w:type="dxa"/>
                  <w:tcBorders>
                    <w:tl2br w:val="nil"/>
                    <w:tr2bl w:val="nil"/>
                  </w:tcBorders>
                  <w:vAlign w:val="center"/>
                </w:tcPr>
                <w:p>
                  <w:pPr>
                    <w:jc w:val="center"/>
                    <w:rPr>
                      <w:rFonts w:hint="eastAsia" w:ascii="宋体" w:hAnsi="宋体" w:eastAsia="宋体" w:cs="Times New Roman"/>
                      <w:color w:val="auto"/>
                      <w:kern w:val="2"/>
                      <w:sz w:val="18"/>
                      <w:szCs w:val="18"/>
                      <w:highlight w:val="none"/>
                      <w:lang w:val="en-US" w:eastAsia="zh-CN" w:bidi="ar-SA"/>
                    </w:rPr>
                  </w:pPr>
                  <w:r>
                    <w:rPr>
                      <w:rFonts w:hint="eastAsia" w:ascii="宋体" w:hAnsi="宋体"/>
                      <w:color w:val="auto"/>
                      <w:sz w:val="18"/>
                      <w:szCs w:val="18"/>
                      <w:highlight w:val="none"/>
                    </w:rPr>
                    <w:t>/</w:t>
                  </w:r>
                </w:p>
              </w:tc>
              <w:tc>
                <w:tcPr>
                  <w:tcW w:w="1794" w:type="dxa"/>
                  <w:tcBorders>
                    <w:tl2br w:val="nil"/>
                    <w:tr2bl w:val="nil"/>
                  </w:tcBorders>
                  <w:vAlign w:val="center"/>
                </w:tcPr>
                <w:p>
                  <w:pPr>
                    <w:jc w:val="center"/>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rPr>
                    <w:t>/</w:t>
                  </w:r>
                </w:p>
              </w:tc>
              <w:tc>
                <w:tcPr>
                  <w:tcW w:w="832" w:type="dxa"/>
                  <w:tcBorders>
                    <w:tl2br w:val="nil"/>
                    <w:tr2bl w:val="nil"/>
                  </w:tcBorders>
                  <w:vAlign w:val="center"/>
                </w:tcPr>
                <w:p>
                  <w:pPr>
                    <w:jc w:val="center"/>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rPr>
                    <w:t>/</w:t>
                  </w:r>
                </w:p>
              </w:tc>
            </w:tr>
          </w:tbl>
          <w:p>
            <w:pPr>
              <w:autoSpaceDE w:val="0"/>
              <w:autoSpaceDN w:val="0"/>
              <w:adjustRightInd w:val="0"/>
              <w:snapToGrid w:val="0"/>
              <w:spacing w:line="440" w:lineRule="exact"/>
              <w:ind w:firstLine="420" w:firstLineChars="200"/>
              <w:rPr>
                <w:rFonts w:hint="eastAsia"/>
                <w:color w:val="auto"/>
                <w:kern w:val="0"/>
                <w:szCs w:val="21"/>
                <w:highlight w:val="none"/>
              </w:rPr>
            </w:pPr>
          </w:p>
        </w:tc>
      </w:tr>
      <w:bookmarkEnd w:id="2"/>
    </w:tbl>
    <w:p>
      <w:pPr>
        <w:autoSpaceDE w:val="0"/>
        <w:autoSpaceDN w:val="0"/>
        <w:adjustRightInd w:val="0"/>
        <w:snapToGrid w:val="0"/>
        <w:spacing w:line="360" w:lineRule="auto"/>
        <w:jc w:val="center"/>
        <w:rPr>
          <w:rFonts w:hint="default" w:ascii="Times New Roman" w:hAnsi="Times New Roman" w:eastAsia="宋体" w:cs="Times New Roman"/>
          <w:color w:val="auto"/>
          <w:kern w:val="0"/>
          <w:sz w:val="21"/>
          <w:szCs w:val="21"/>
          <w:highlight w:val="none"/>
        </w:rPr>
        <w:sectPr>
          <w:pgSz w:w="16838" w:h="11906" w:orient="landscape"/>
          <w:pgMar w:top="1531" w:right="1701" w:bottom="1531" w:left="1701" w:header="851" w:footer="1077" w:gutter="0"/>
          <w:pgNumType w:fmt="numberInDash" w:start="1"/>
          <w:cols w:space="720" w:num="1"/>
          <w:docGrid w:linePitch="312" w:charSpace="0"/>
        </w:sectPr>
      </w:pPr>
    </w:p>
    <w:tbl>
      <w:tblPr>
        <w:tblStyle w:val="29"/>
        <w:tblW w:w="9039" w:type="dxa"/>
        <w:tblInd w:w="17"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760"/>
        <w:gridCol w:w="72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31" w:hRule="atLeast"/>
        </w:trPr>
        <w:tc>
          <w:tcPr>
            <w:tcW w:w="1760" w:type="dxa"/>
            <w:tcMar>
              <w:top w:w="16" w:type="dxa"/>
              <w:left w:w="16" w:type="dxa"/>
              <w:right w:w="16" w:type="dxa"/>
            </w:tcMar>
            <w:vAlign w:val="center"/>
          </w:tcPr>
          <w:p>
            <w:pPr>
              <w:autoSpaceDE w:val="0"/>
              <w:autoSpaceDN w:val="0"/>
              <w:adjustRightInd w:val="0"/>
              <w:snapToGrid w:val="0"/>
              <w:spacing w:line="360" w:lineRule="auto"/>
              <w:jc w:val="center"/>
              <w:rPr>
                <w:rFonts w:hint="default" w:ascii="Times New Roman" w:hAnsi="Times New Roman" w:eastAsia="宋体" w:cs="Times New Roman"/>
                <w:color w:val="auto"/>
                <w:kern w:val="0"/>
                <w:sz w:val="21"/>
                <w:szCs w:val="21"/>
                <w:highlight w:val="none"/>
              </w:rPr>
            </w:pPr>
          </w:p>
        </w:tc>
        <w:tc>
          <w:tcPr>
            <w:tcW w:w="7279" w:type="dxa"/>
            <w:tcMar>
              <w:top w:w="16" w:type="dxa"/>
              <w:left w:w="16" w:type="dxa"/>
              <w:right w:w="16" w:type="dxa"/>
            </w:tcMar>
            <w:vAlign w:val="top"/>
          </w:tcPr>
          <w:p>
            <w:pPr>
              <w:autoSpaceDE w:val="0"/>
              <w:autoSpaceDN w:val="0"/>
              <w:adjustRightInd w:val="0"/>
              <w:snapToGrid w:val="0"/>
              <w:spacing w:line="440" w:lineRule="exact"/>
              <w:rPr>
                <w:b/>
                <w:bCs/>
                <w:color w:val="auto"/>
                <w:kern w:val="0"/>
                <w:szCs w:val="21"/>
                <w:highlight w:val="none"/>
              </w:rPr>
            </w:pPr>
            <w:r>
              <w:rPr>
                <w:rFonts w:hint="eastAsia"/>
                <w:b/>
                <w:bCs/>
                <w:color w:val="auto"/>
                <w:kern w:val="0"/>
                <w:szCs w:val="21"/>
                <w:highlight w:val="none"/>
              </w:rPr>
              <w:t>（3）与《达州市人民政府关于落实生态保护红线、环境质量底线、资源利用上线制定生态环境准入清单实施生态环境分区管控的通知》符合性分析</w:t>
            </w:r>
          </w:p>
          <w:p>
            <w:pPr>
              <w:autoSpaceDE w:val="0"/>
              <w:autoSpaceDN w:val="0"/>
              <w:adjustRightInd w:val="0"/>
              <w:snapToGrid w:val="0"/>
              <w:spacing w:line="440" w:lineRule="exact"/>
              <w:ind w:firstLine="420" w:firstLineChars="200"/>
              <w:rPr>
                <w:color w:val="auto"/>
                <w:kern w:val="0"/>
                <w:szCs w:val="21"/>
                <w:highlight w:val="none"/>
              </w:rPr>
            </w:pPr>
            <w:r>
              <w:rPr>
                <w:color w:val="auto"/>
                <w:kern w:val="0"/>
                <w:szCs w:val="21"/>
                <w:highlight w:val="none"/>
              </w:rPr>
              <w:t>根据</w:t>
            </w:r>
            <w:r>
              <w:rPr>
                <w:rFonts w:hint="eastAsia"/>
                <w:color w:val="auto"/>
                <w:kern w:val="0"/>
                <w:szCs w:val="21"/>
                <w:highlight w:val="none"/>
              </w:rPr>
              <w:t>《达州市人民政府关于落实生态保护红线、环境质量底线、资源利用上线制定生态环境准入清单实施生态环境分区管控的通知》</w:t>
            </w:r>
            <w:r>
              <w:rPr>
                <w:color w:val="auto"/>
                <w:kern w:val="0"/>
                <w:szCs w:val="21"/>
                <w:highlight w:val="none"/>
              </w:rPr>
              <w:t>（</w:t>
            </w:r>
            <w:r>
              <w:rPr>
                <w:rFonts w:hint="eastAsia"/>
                <w:color w:val="auto"/>
                <w:kern w:val="0"/>
                <w:szCs w:val="21"/>
                <w:highlight w:val="none"/>
              </w:rPr>
              <w:t>达市府发〔2021〕17号</w:t>
            </w:r>
            <w:r>
              <w:rPr>
                <w:color w:val="auto"/>
                <w:kern w:val="0"/>
                <w:szCs w:val="21"/>
                <w:highlight w:val="none"/>
              </w:rPr>
              <w:t>），</w:t>
            </w:r>
            <w:r>
              <w:rPr>
                <w:rFonts w:hint="eastAsia"/>
                <w:color w:val="auto"/>
                <w:kern w:val="0"/>
                <w:szCs w:val="21"/>
                <w:highlight w:val="none"/>
                <w:lang w:val="en-US" w:eastAsia="zh-CN"/>
              </w:rPr>
              <w:t>达州</w:t>
            </w:r>
            <w:r>
              <w:rPr>
                <w:color w:val="auto"/>
                <w:kern w:val="0"/>
                <w:szCs w:val="21"/>
                <w:highlight w:val="none"/>
              </w:rPr>
              <w:t>市行政区域从生态环境保护角度划分为优先保护、重点管控和一般管控三类环境管控单元，其中优先保护单元</w:t>
            </w:r>
            <w:r>
              <w:rPr>
                <w:rFonts w:hint="eastAsia"/>
                <w:color w:val="auto"/>
                <w:kern w:val="0"/>
                <w:szCs w:val="21"/>
                <w:highlight w:val="none"/>
                <w:lang w:val="en-US" w:eastAsia="zh-CN"/>
              </w:rPr>
              <w:t>17</w:t>
            </w:r>
            <w:r>
              <w:rPr>
                <w:color w:val="auto"/>
                <w:kern w:val="0"/>
                <w:szCs w:val="21"/>
                <w:highlight w:val="none"/>
              </w:rPr>
              <w:t>个，重点管控单元2</w:t>
            </w:r>
            <w:r>
              <w:rPr>
                <w:rFonts w:hint="eastAsia"/>
                <w:color w:val="auto"/>
                <w:kern w:val="0"/>
                <w:szCs w:val="21"/>
                <w:highlight w:val="none"/>
                <w:lang w:val="en-US" w:eastAsia="zh-CN"/>
              </w:rPr>
              <w:t>2</w:t>
            </w:r>
            <w:r>
              <w:rPr>
                <w:color w:val="auto"/>
                <w:kern w:val="0"/>
                <w:szCs w:val="21"/>
                <w:highlight w:val="none"/>
              </w:rPr>
              <w:t>个，一般管控单元</w:t>
            </w:r>
            <w:r>
              <w:rPr>
                <w:rFonts w:hint="eastAsia"/>
                <w:color w:val="auto"/>
                <w:kern w:val="0"/>
                <w:szCs w:val="21"/>
                <w:highlight w:val="none"/>
                <w:lang w:val="en-US" w:eastAsia="zh-CN"/>
              </w:rPr>
              <w:t>7</w:t>
            </w:r>
            <w:r>
              <w:rPr>
                <w:color w:val="auto"/>
                <w:kern w:val="0"/>
                <w:szCs w:val="21"/>
                <w:highlight w:val="none"/>
              </w:rPr>
              <w:t>个，合计共4</w:t>
            </w:r>
            <w:r>
              <w:rPr>
                <w:rFonts w:hint="eastAsia"/>
                <w:color w:val="auto"/>
                <w:kern w:val="0"/>
                <w:szCs w:val="21"/>
                <w:highlight w:val="none"/>
                <w:lang w:val="en-US" w:eastAsia="zh-CN"/>
              </w:rPr>
              <w:t>6</w:t>
            </w:r>
            <w:r>
              <w:rPr>
                <w:color w:val="auto"/>
                <w:kern w:val="0"/>
                <w:szCs w:val="21"/>
                <w:highlight w:val="none"/>
              </w:rPr>
              <w:t>个。</w:t>
            </w:r>
            <w:r>
              <w:rPr>
                <w:rFonts w:hint="eastAsia"/>
                <w:color w:val="auto"/>
                <w:kern w:val="0"/>
                <w:szCs w:val="21"/>
                <w:highlight w:val="none"/>
              </w:rPr>
              <w:t>拟建</w:t>
            </w:r>
            <w:r>
              <w:rPr>
                <w:color w:val="auto"/>
                <w:kern w:val="0"/>
                <w:szCs w:val="21"/>
                <w:highlight w:val="none"/>
              </w:rPr>
              <w:t>项目所在的</w:t>
            </w:r>
            <w:r>
              <w:rPr>
                <w:rFonts w:hint="eastAsia"/>
                <w:color w:val="auto"/>
                <w:kern w:val="0"/>
                <w:szCs w:val="21"/>
                <w:highlight w:val="none"/>
                <w:lang w:val="en-US" w:eastAsia="zh-CN"/>
              </w:rPr>
              <w:t>宣汉县胡家镇花池社区</w:t>
            </w:r>
            <w:r>
              <w:rPr>
                <w:rFonts w:hint="eastAsia" w:ascii="宋体" w:hAnsi="宋体" w:cs="宋体"/>
                <w:color w:val="auto"/>
                <w:kern w:val="0"/>
                <w:szCs w:val="21"/>
                <w:highlight w:val="none"/>
              </w:rPr>
              <w:t>属于“宣汉县一般管控单元”，不</w:t>
            </w:r>
            <w:r>
              <w:rPr>
                <w:color w:val="auto"/>
                <w:kern w:val="0"/>
                <w:szCs w:val="21"/>
                <w:highlight w:val="none"/>
              </w:rPr>
              <w:t>在</w:t>
            </w:r>
            <w:r>
              <w:rPr>
                <w:rFonts w:hint="eastAsia"/>
                <w:color w:val="auto"/>
                <w:kern w:val="0"/>
                <w:szCs w:val="21"/>
                <w:highlight w:val="none"/>
                <w:lang w:val="en-US" w:eastAsia="zh-CN"/>
              </w:rPr>
              <w:t>达州</w:t>
            </w:r>
            <w:r>
              <w:rPr>
                <w:color w:val="auto"/>
                <w:kern w:val="0"/>
                <w:szCs w:val="21"/>
                <w:highlight w:val="none"/>
              </w:rPr>
              <w:t>市大气环境、地表水环境和土壤环境的优先保护区内。</w:t>
            </w:r>
            <w:r>
              <w:rPr>
                <w:rFonts w:hint="eastAsia"/>
                <w:color w:val="auto"/>
                <w:kern w:val="0"/>
                <w:szCs w:val="21"/>
                <w:highlight w:val="none"/>
              </w:rPr>
              <w:t>拟建项目与</w:t>
            </w:r>
            <w:r>
              <w:rPr>
                <w:rFonts w:hint="eastAsia"/>
                <w:color w:val="auto"/>
                <w:kern w:val="0"/>
                <w:szCs w:val="21"/>
                <w:highlight w:val="none"/>
                <w:lang w:val="en-US" w:eastAsia="zh-CN"/>
              </w:rPr>
              <w:t>达州</w:t>
            </w:r>
            <w:r>
              <w:rPr>
                <w:rFonts w:hint="eastAsia"/>
                <w:color w:val="auto"/>
                <w:kern w:val="0"/>
                <w:szCs w:val="21"/>
                <w:highlight w:val="none"/>
              </w:rPr>
              <w:t>市及</w:t>
            </w:r>
            <w:r>
              <w:rPr>
                <w:rFonts w:hint="eastAsia"/>
                <w:color w:val="auto"/>
                <w:kern w:val="0"/>
                <w:szCs w:val="21"/>
                <w:highlight w:val="none"/>
                <w:lang w:val="en-US" w:eastAsia="zh-CN"/>
              </w:rPr>
              <w:t>宣汉县</w:t>
            </w:r>
            <w:r>
              <w:rPr>
                <w:rFonts w:hint="eastAsia"/>
                <w:color w:val="auto"/>
                <w:kern w:val="0"/>
                <w:szCs w:val="21"/>
                <w:highlight w:val="none"/>
              </w:rPr>
              <w:t>总体生态环境管控要求的符合性见表1-5，符合重点管控的相关要求。</w:t>
            </w:r>
          </w:p>
          <w:p>
            <w:pPr>
              <w:autoSpaceDE w:val="0"/>
              <w:autoSpaceDN w:val="0"/>
              <w:adjustRightInd w:val="0"/>
              <w:snapToGrid w:val="0"/>
              <w:spacing w:line="440" w:lineRule="exact"/>
              <w:jc w:val="center"/>
              <w:rPr>
                <w:b w:val="0"/>
                <w:bCs w:val="0"/>
                <w:color w:val="auto"/>
                <w:kern w:val="0"/>
                <w:szCs w:val="21"/>
                <w:highlight w:val="none"/>
              </w:rPr>
            </w:pPr>
            <w:r>
              <w:rPr>
                <w:rFonts w:hint="eastAsia"/>
                <w:b w:val="0"/>
                <w:bCs w:val="0"/>
                <w:color w:val="auto"/>
                <w:kern w:val="0"/>
                <w:szCs w:val="21"/>
                <w:highlight w:val="none"/>
              </w:rPr>
              <w:t>表</w:t>
            </w:r>
            <w:r>
              <w:rPr>
                <w:rFonts w:hint="eastAsia"/>
                <w:b w:val="0"/>
                <w:bCs w:val="0"/>
                <w:color w:val="auto"/>
                <w:kern w:val="0"/>
                <w:szCs w:val="21"/>
                <w:highlight w:val="none"/>
                <w:lang w:val="en-US" w:eastAsia="zh-CN"/>
              </w:rPr>
              <w:t>1.2-3</w:t>
            </w:r>
            <w:r>
              <w:rPr>
                <w:rFonts w:hint="eastAsia"/>
                <w:b w:val="0"/>
                <w:bCs w:val="0"/>
                <w:color w:val="auto"/>
                <w:kern w:val="0"/>
                <w:szCs w:val="21"/>
                <w:highlight w:val="none"/>
              </w:rPr>
              <w:t xml:space="preserve"> 项目与</w:t>
            </w:r>
            <w:r>
              <w:rPr>
                <w:rFonts w:hint="eastAsia"/>
                <w:b w:val="0"/>
                <w:bCs w:val="0"/>
                <w:color w:val="auto"/>
                <w:kern w:val="0"/>
                <w:szCs w:val="21"/>
                <w:highlight w:val="none"/>
                <w:lang w:val="en-US" w:eastAsia="zh-CN"/>
              </w:rPr>
              <w:t>达州</w:t>
            </w:r>
            <w:r>
              <w:rPr>
                <w:rFonts w:hint="eastAsia"/>
                <w:b w:val="0"/>
                <w:bCs w:val="0"/>
                <w:color w:val="auto"/>
                <w:kern w:val="0"/>
                <w:szCs w:val="21"/>
                <w:highlight w:val="none"/>
              </w:rPr>
              <w:t>市及</w:t>
            </w:r>
            <w:r>
              <w:rPr>
                <w:rFonts w:hint="eastAsia"/>
                <w:b w:val="0"/>
                <w:bCs w:val="0"/>
                <w:color w:val="auto"/>
                <w:kern w:val="0"/>
                <w:szCs w:val="21"/>
                <w:highlight w:val="none"/>
                <w:lang w:val="en-US" w:eastAsia="zh-CN"/>
              </w:rPr>
              <w:t>宣汉县</w:t>
            </w:r>
            <w:r>
              <w:rPr>
                <w:rFonts w:hint="eastAsia"/>
                <w:b w:val="0"/>
                <w:bCs w:val="0"/>
                <w:color w:val="auto"/>
                <w:kern w:val="0"/>
                <w:szCs w:val="21"/>
                <w:highlight w:val="none"/>
              </w:rPr>
              <w:t>总体生态环境管控要求的符合性分析</w:t>
            </w:r>
          </w:p>
          <w:tbl>
            <w:tblPr>
              <w:tblStyle w:val="29"/>
              <w:tblW w:w="494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52"/>
              <w:gridCol w:w="4137"/>
              <w:gridCol w:w="1882"/>
              <w:gridCol w:w="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552" w:type="dxa"/>
                  <w:vAlign w:val="center"/>
                </w:tcPr>
                <w:p>
                  <w:pPr>
                    <w:pStyle w:val="35"/>
                    <w:spacing w:line="240" w:lineRule="auto"/>
                    <w:jc w:val="center"/>
                    <w:rPr>
                      <w:rFonts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rPr>
                    <w:t>行政</w:t>
                  </w:r>
                </w:p>
                <w:p>
                  <w:pPr>
                    <w:pStyle w:val="35"/>
                    <w:spacing w:line="240" w:lineRule="auto"/>
                    <w:jc w:val="center"/>
                    <w:rPr>
                      <w:rFonts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rPr>
                    <w:t>区划</w:t>
                  </w:r>
                </w:p>
              </w:tc>
              <w:tc>
                <w:tcPr>
                  <w:tcW w:w="4137" w:type="dxa"/>
                  <w:vAlign w:val="center"/>
                </w:tcPr>
                <w:p>
                  <w:pPr>
                    <w:pStyle w:val="35"/>
                    <w:spacing w:line="240" w:lineRule="auto"/>
                    <w:jc w:val="center"/>
                    <w:rPr>
                      <w:rFonts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rPr>
                    <w:t>总体生态环境管控要求</w:t>
                  </w:r>
                </w:p>
              </w:tc>
              <w:tc>
                <w:tcPr>
                  <w:tcW w:w="1882" w:type="dxa"/>
                  <w:vAlign w:val="center"/>
                </w:tcPr>
                <w:p>
                  <w:pPr>
                    <w:pStyle w:val="35"/>
                    <w:spacing w:line="240" w:lineRule="auto"/>
                    <w:jc w:val="center"/>
                    <w:rPr>
                      <w:rFonts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rPr>
                    <w:t>拟建项目情况</w:t>
                  </w:r>
                </w:p>
              </w:tc>
              <w:tc>
                <w:tcPr>
                  <w:tcW w:w="581" w:type="dxa"/>
                  <w:vAlign w:val="center"/>
                </w:tcPr>
                <w:p>
                  <w:pPr>
                    <w:pStyle w:val="35"/>
                    <w:spacing w:line="240" w:lineRule="auto"/>
                    <w:jc w:val="center"/>
                    <w:rPr>
                      <w:rFonts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3" w:hRule="atLeast"/>
                <w:jc w:val="center"/>
              </w:trPr>
              <w:tc>
                <w:tcPr>
                  <w:tcW w:w="552" w:type="dxa"/>
                  <w:vAlign w:val="center"/>
                </w:tcPr>
                <w:p>
                  <w:pPr>
                    <w:pStyle w:val="35"/>
                    <w:spacing w:line="240" w:lineRule="auto"/>
                    <w:jc w:val="center"/>
                    <w:rPr>
                      <w:rFonts w:ascii="Times New Roman" w:hAnsi="Times New Roman" w:eastAsia="宋体"/>
                      <w:color w:val="auto"/>
                      <w:sz w:val="18"/>
                      <w:szCs w:val="18"/>
                      <w:highlight w:val="none"/>
                    </w:rPr>
                  </w:pPr>
                  <w:r>
                    <w:rPr>
                      <w:rFonts w:hint="eastAsia" w:ascii="Times New Roman" w:hAnsi="Times New Roman"/>
                      <w:color w:val="auto"/>
                      <w:sz w:val="18"/>
                      <w:szCs w:val="18"/>
                      <w:highlight w:val="none"/>
                      <w:lang w:val="en-US" w:eastAsia="zh-CN"/>
                    </w:rPr>
                    <w:t>达州</w:t>
                  </w:r>
                  <w:r>
                    <w:rPr>
                      <w:rFonts w:hint="eastAsia" w:ascii="Times New Roman" w:hAnsi="Times New Roman" w:eastAsia="宋体"/>
                      <w:color w:val="auto"/>
                      <w:sz w:val="18"/>
                      <w:szCs w:val="18"/>
                      <w:highlight w:val="none"/>
                    </w:rPr>
                    <w:t>市</w:t>
                  </w:r>
                </w:p>
              </w:tc>
              <w:tc>
                <w:tcPr>
                  <w:tcW w:w="4137" w:type="dxa"/>
                  <w:vAlign w:val="center"/>
                </w:tcPr>
                <w:p>
                  <w:pPr>
                    <w:pStyle w:val="35"/>
                    <w:spacing w:line="240" w:lineRule="auto"/>
                    <w:jc w:val="both"/>
                    <w:rPr>
                      <w:rFonts w:hint="eastAsia"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rPr>
                    <w:t>1．强化“散乱污”企业综合整治，精细化管控施工扬尘，严控城市道路扬尘污染，加强堆场环境管控，严控餐饮油烟，严控移动源及非道路移动机械污染，强化重污染天气应对；</w:t>
                  </w:r>
                </w:p>
                <w:p>
                  <w:pPr>
                    <w:pStyle w:val="35"/>
                    <w:spacing w:line="240" w:lineRule="auto"/>
                    <w:jc w:val="both"/>
                    <w:rPr>
                      <w:rFonts w:hint="eastAsia"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rPr>
                    <w:t>2．加强明月江、铜钵河等重点小流域综合整治，加强工业废水污染治理，推进污水处理建设提标升级，新增污水处理能力，新建、改建、扩建污水管网，大幅提高截污截流污水收集率；</w:t>
                  </w:r>
                </w:p>
                <w:p>
                  <w:pPr>
                    <w:pStyle w:val="35"/>
                    <w:spacing w:line="240" w:lineRule="auto"/>
                    <w:jc w:val="both"/>
                    <w:rPr>
                      <w:rFonts w:hint="eastAsia"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rPr>
                    <w:t>3．大力整治沿河畜禽养殖污染整治，实现畜禽粪污减量化排放、无害化处理和资源化利用；</w:t>
                  </w:r>
                </w:p>
                <w:p>
                  <w:pPr>
                    <w:pStyle w:val="35"/>
                    <w:spacing w:line="240" w:lineRule="auto"/>
                    <w:jc w:val="both"/>
                    <w:rPr>
                      <w:rFonts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rPr>
                    <w:t>4．加大对矿区废弃地、尾矿坝生态环境治理力度，大力查处非法开采和破坏矿山地质环境的行为，加强废矿石（渣）、尾矿的综合回收利用。</w:t>
                  </w:r>
                </w:p>
              </w:tc>
              <w:tc>
                <w:tcPr>
                  <w:tcW w:w="1882" w:type="dxa"/>
                  <w:vAlign w:val="center"/>
                </w:tcPr>
                <w:p>
                  <w:pPr>
                    <w:pStyle w:val="35"/>
                    <w:spacing w:line="240" w:lineRule="auto"/>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拟建项目为水库项目，不属于畜禽养殖，不涉及采矿，不排放废气废水。</w:t>
                  </w:r>
                </w:p>
              </w:tc>
              <w:tc>
                <w:tcPr>
                  <w:tcW w:w="581" w:type="dxa"/>
                  <w:vAlign w:val="center"/>
                </w:tcPr>
                <w:p>
                  <w:pPr>
                    <w:pStyle w:val="35"/>
                    <w:spacing w:line="240" w:lineRule="auto"/>
                    <w:jc w:val="center"/>
                    <w:rPr>
                      <w:rFonts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9" w:hRule="atLeast"/>
                <w:jc w:val="center"/>
              </w:trPr>
              <w:tc>
                <w:tcPr>
                  <w:tcW w:w="552" w:type="dxa"/>
                  <w:vAlign w:val="center"/>
                </w:tcPr>
                <w:p>
                  <w:pPr>
                    <w:pStyle w:val="35"/>
                    <w:spacing w:line="240" w:lineRule="auto"/>
                    <w:jc w:val="center"/>
                    <w:rPr>
                      <w:rFonts w:hint="default" w:ascii="Times New Roman" w:hAnsi="Times New Roman" w:eastAsia="宋体"/>
                      <w:color w:val="auto"/>
                      <w:sz w:val="18"/>
                      <w:szCs w:val="18"/>
                      <w:highlight w:val="none"/>
                      <w:lang w:val="en-US"/>
                    </w:rPr>
                  </w:pPr>
                  <w:r>
                    <w:rPr>
                      <w:rFonts w:hint="eastAsia" w:ascii="Times New Roman" w:hAnsi="Times New Roman" w:eastAsia="宋体"/>
                      <w:color w:val="auto"/>
                      <w:sz w:val="18"/>
                      <w:szCs w:val="18"/>
                      <w:highlight w:val="none"/>
                      <w:lang w:val="en-US" w:eastAsia="zh-CN"/>
                    </w:rPr>
                    <w:t>宣汉县</w:t>
                  </w:r>
                </w:p>
              </w:tc>
              <w:tc>
                <w:tcPr>
                  <w:tcW w:w="4137" w:type="dxa"/>
                  <w:vAlign w:val="center"/>
                </w:tcPr>
                <w:p>
                  <w:pPr>
                    <w:pStyle w:val="35"/>
                    <w:spacing w:line="240" w:lineRule="auto"/>
                    <w:jc w:val="both"/>
                    <w:rPr>
                      <w:rFonts w:hint="eastAsia"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rPr>
                    <w:t>1．加强小流域水环境保护，推动农村环保基础设施建设，全面推进农村环境综合整治、生活污水处理项目。大力开展沿河畜禽养殖污染整治，大力推广生态种植，减少农药化肥使用量；</w:t>
                  </w:r>
                </w:p>
                <w:p>
                  <w:pPr>
                    <w:pStyle w:val="35"/>
                    <w:spacing w:line="240" w:lineRule="auto"/>
                    <w:jc w:val="both"/>
                    <w:rPr>
                      <w:rFonts w:hint="eastAsia"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rPr>
                    <w:t>2．打好升级版污染防治攻坚战。持续优化调整产业布局，以PM</w:t>
                  </w:r>
                  <w:r>
                    <w:rPr>
                      <w:rFonts w:hint="eastAsia" w:ascii="Times New Roman" w:hAnsi="Times New Roman" w:eastAsia="宋体"/>
                      <w:color w:val="auto"/>
                      <w:sz w:val="18"/>
                      <w:szCs w:val="18"/>
                      <w:highlight w:val="none"/>
                      <w:vertAlign w:val="subscript"/>
                    </w:rPr>
                    <w:t>2.5</w:t>
                  </w:r>
                  <w:r>
                    <w:rPr>
                      <w:rFonts w:hint="eastAsia" w:ascii="Times New Roman" w:hAnsi="Times New Roman" w:eastAsia="宋体"/>
                      <w:color w:val="auto"/>
                      <w:sz w:val="18"/>
                      <w:szCs w:val="18"/>
                      <w:highlight w:val="none"/>
                    </w:rPr>
                    <w:t>和臭氧污染协同控制为重点，全面开展VOCs治理，实施移动源整治，持续推进空气质量精细化管理；</w:t>
                  </w:r>
                </w:p>
                <w:p>
                  <w:pPr>
                    <w:pStyle w:val="35"/>
                    <w:spacing w:line="240" w:lineRule="auto"/>
                    <w:jc w:val="both"/>
                    <w:rPr>
                      <w:rFonts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rPr>
                    <w:t>3．优化天然气化工、硫化工、锂钾综合开发、冶金建材、新材料等产业布局，切实做好危险化学品生产、使用、贮运、废弃全过程的安全防范措施，妥善处理好锂钾综合开发产业副产物及“三废”的综合利用途径或处置去向。</w:t>
                  </w:r>
                </w:p>
              </w:tc>
              <w:tc>
                <w:tcPr>
                  <w:tcW w:w="1882" w:type="dxa"/>
                  <w:vAlign w:val="center"/>
                </w:tcPr>
                <w:p>
                  <w:pPr>
                    <w:pStyle w:val="35"/>
                    <w:spacing w:line="240" w:lineRule="auto"/>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拟建项目为水库项目，不属于</w:t>
                  </w:r>
                  <w:r>
                    <w:rPr>
                      <w:rFonts w:hint="eastAsia" w:ascii="Times New Roman" w:hAnsi="Times New Roman" w:eastAsia="宋体"/>
                      <w:color w:val="auto"/>
                      <w:sz w:val="18"/>
                      <w:szCs w:val="18"/>
                      <w:highlight w:val="none"/>
                    </w:rPr>
                    <w:t>农村环保基础设施建设</w:t>
                  </w:r>
                  <w:r>
                    <w:rPr>
                      <w:rFonts w:hint="eastAsia" w:ascii="Times New Roman" w:hAnsi="Times New Roman" w:eastAsia="宋体"/>
                      <w:color w:val="auto"/>
                      <w:sz w:val="18"/>
                      <w:szCs w:val="18"/>
                      <w:highlight w:val="none"/>
                      <w:lang w:eastAsia="zh-CN"/>
                    </w:rPr>
                    <w:t>、</w:t>
                  </w:r>
                  <w:r>
                    <w:rPr>
                      <w:rFonts w:hint="eastAsia" w:ascii="Times New Roman" w:hAnsi="Times New Roman" w:eastAsia="宋体"/>
                      <w:color w:val="auto"/>
                      <w:sz w:val="18"/>
                      <w:szCs w:val="18"/>
                      <w:highlight w:val="none"/>
                      <w:lang w:val="en-US" w:eastAsia="zh-CN"/>
                    </w:rPr>
                    <w:t>生活污水处理项目，不属于畜禽养殖，不涉及</w:t>
                  </w:r>
                  <w:r>
                    <w:rPr>
                      <w:rFonts w:hint="eastAsia" w:ascii="Times New Roman" w:hAnsi="Times New Roman" w:eastAsia="宋体"/>
                      <w:color w:val="auto"/>
                      <w:sz w:val="18"/>
                      <w:szCs w:val="18"/>
                      <w:highlight w:val="none"/>
                    </w:rPr>
                    <w:t>VOCs</w:t>
                  </w:r>
                  <w:r>
                    <w:rPr>
                      <w:rFonts w:hint="eastAsia" w:ascii="Times New Roman" w:hAnsi="Times New Roman" w:eastAsia="宋体"/>
                      <w:color w:val="auto"/>
                      <w:sz w:val="18"/>
                      <w:szCs w:val="18"/>
                      <w:highlight w:val="none"/>
                      <w:lang w:val="en-US" w:eastAsia="zh-CN"/>
                    </w:rPr>
                    <w:t>排放，不属于</w:t>
                  </w:r>
                  <w:r>
                    <w:rPr>
                      <w:rFonts w:hint="eastAsia" w:ascii="Times New Roman" w:hAnsi="Times New Roman" w:eastAsia="宋体"/>
                      <w:color w:val="auto"/>
                      <w:sz w:val="18"/>
                      <w:szCs w:val="18"/>
                      <w:highlight w:val="none"/>
                    </w:rPr>
                    <w:t>天然气化工、硫化工、锂钾综合开发、冶金建材、新材料等产业</w:t>
                  </w:r>
                </w:p>
              </w:tc>
              <w:tc>
                <w:tcPr>
                  <w:tcW w:w="581" w:type="dxa"/>
                  <w:vAlign w:val="center"/>
                </w:tcPr>
                <w:p>
                  <w:pPr>
                    <w:pStyle w:val="35"/>
                    <w:spacing w:line="240" w:lineRule="auto"/>
                    <w:jc w:val="center"/>
                    <w:rPr>
                      <w:rFonts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rPr>
                    <w:t>符合</w:t>
                  </w:r>
                </w:p>
              </w:tc>
            </w:tr>
          </w:tbl>
          <w:p>
            <w:pPr>
              <w:pStyle w:val="21"/>
              <w:rPr>
                <w:color w:val="auto"/>
                <w:highlight w:val="none"/>
              </w:rPr>
            </w:pPr>
          </w:p>
          <w:p>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b/>
                <w:bCs/>
                <w:color w:val="auto"/>
                <w:szCs w:val="21"/>
                <w:highlight w:val="none"/>
              </w:rPr>
            </w:pPr>
            <w:r>
              <w:rPr>
                <w:rFonts w:hint="eastAsia"/>
                <w:b/>
                <w:bCs/>
                <w:color w:val="auto"/>
                <w:szCs w:val="21"/>
                <w:highlight w:val="none"/>
              </w:rPr>
              <w:t>1.2.</w:t>
            </w:r>
            <w:r>
              <w:rPr>
                <w:rFonts w:hint="eastAsia"/>
                <w:b/>
                <w:bCs/>
                <w:color w:val="auto"/>
                <w:szCs w:val="21"/>
                <w:highlight w:val="none"/>
                <w:lang w:val="en-US" w:eastAsia="zh-CN"/>
              </w:rPr>
              <w:t xml:space="preserve">3 </w:t>
            </w:r>
            <w:r>
              <w:rPr>
                <w:rFonts w:hint="eastAsia"/>
                <w:b/>
                <w:bCs/>
                <w:color w:val="auto"/>
                <w:szCs w:val="21"/>
                <w:highlight w:val="none"/>
              </w:rPr>
              <w:t>与《中华人民共和国长江保护法》的符合性分析</w:t>
            </w:r>
          </w:p>
          <w:p>
            <w:pPr>
              <w:spacing w:line="360" w:lineRule="auto"/>
              <w:ind w:firstLine="420" w:firstLineChars="200"/>
              <w:rPr>
                <w:color w:val="auto"/>
                <w:szCs w:val="21"/>
                <w:highlight w:val="none"/>
              </w:rPr>
            </w:pPr>
            <w:r>
              <w:rPr>
                <w:rFonts w:hint="eastAsia"/>
                <w:color w:val="auto"/>
                <w:szCs w:val="21"/>
                <w:highlight w:val="none"/>
              </w:rPr>
              <w:t>《中华人民共和国长江保护法》已于2021年3月1日起施行，拟建项目与其符合性分析，见表1.2-</w:t>
            </w:r>
            <w:r>
              <w:rPr>
                <w:rFonts w:hint="eastAsia"/>
                <w:color w:val="auto"/>
                <w:szCs w:val="21"/>
                <w:highlight w:val="none"/>
                <w:lang w:val="en-US" w:eastAsia="zh-CN"/>
              </w:rPr>
              <w:t>4</w:t>
            </w:r>
            <w:r>
              <w:rPr>
                <w:rFonts w:hint="eastAsia"/>
                <w:color w:val="auto"/>
                <w:szCs w:val="21"/>
                <w:highlight w:val="none"/>
              </w:rPr>
              <w:t>。</w:t>
            </w:r>
          </w:p>
          <w:p>
            <w:pPr>
              <w:spacing w:line="360" w:lineRule="auto"/>
              <w:ind w:firstLine="422" w:firstLineChars="200"/>
              <w:jc w:val="center"/>
              <w:rPr>
                <w:b/>
                <w:bCs/>
                <w:color w:val="auto"/>
                <w:szCs w:val="21"/>
                <w:highlight w:val="none"/>
              </w:rPr>
            </w:pPr>
            <w:r>
              <w:rPr>
                <w:rFonts w:hint="eastAsia"/>
                <w:b/>
                <w:bCs/>
                <w:color w:val="auto"/>
                <w:szCs w:val="21"/>
                <w:highlight w:val="none"/>
              </w:rPr>
              <w:t>表1.2-</w:t>
            </w:r>
            <w:r>
              <w:rPr>
                <w:rFonts w:hint="eastAsia"/>
                <w:b/>
                <w:bCs/>
                <w:color w:val="auto"/>
                <w:szCs w:val="21"/>
                <w:highlight w:val="none"/>
                <w:lang w:val="en-US" w:eastAsia="zh-CN"/>
              </w:rPr>
              <w:t>4</w:t>
            </w:r>
            <w:r>
              <w:rPr>
                <w:rFonts w:hint="eastAsia"/>
                <w:b/>
                <w:bCs/>
                <w:color w:val="auto"/>
                <w:szCs w:val="21"/>
                <w:highlight w:val="none"/>
              </w:rPr>
              <w:t>与《中华人民共和国长江保护法》符合性分析</w:t>
            </w:r>
          </w:p>
          <w:tbl>
            <w:tblPr>
              <w:tblStyle w:val="29"/>
              <w:tblW w:w="4922"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391"/>
              <w:gridCol w:w="1941"/>
              <w:gridCol w:w="78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8" w:hRule="atLeast"/>
                <w:jc w:val="center"/>
              </w:trPr>
              <w:tc>
                <w:tcPr>
                  <w:tcW w:w="3083" w:type="pct"/>
                  <w:tcBorders>
                    <w:top w:val="single" w:color="auto" w:sz="6" w:space="0"/>
                    <w:left w:val="single" w:color="auto" w:sz="6" w:space="0"/>
                    <w:bottom w:val="single" w:color="auto" w:sz="6" w:space="0"/>
                    <w:right w:val="single" w:color="auto" w:sz="6" w:space="0"/>
                  </w:tcBorders>
                  <w:vAlign w:val="center"/>
                </w:tcPr>
                <w:p>
                  <w:pPr>
                    <w:jc w:val="center"/>
                    <w:rPr>
                      <w:color w:val="auto"/>
                      <w:sz w:val="18"/>
                      <w:szCs w:val="18"/>
                      <w:highlight w:val="none"/>
                    </w:rPr>
                  </w:pPr>
                  <w:r>
                    <w:rPr>
                      <w:color w:val="auto"/>
                      <w:sz w:val="18"/>
                      <w:szCs w:val="18"/>
                      <w:highlight w:val="none"/>
                    </w:rPr>
                    <w:t>控制要求</w:t>
                  </w:r>
                </w:p>
              </w:tc>
              <w:tc>
                <w:tcPr>
                  <w:tcW w:w="1363" w:type="pct"/>
                  <w:tcBorders>
                    <w:top w:val="single" w:color="auto" w:sz="6" w:space="0"/>
                    <w:left w:val="single" w:color="auto" w:sz="6" w:space="0"/>
                    <w:bottom w:val="single" w:color="auto" w:sz="6" w:space="0"/>
                    <w:right w:val="single" w:color="auto" w:sz="4" w:space="0"/>
                  </w:tcBorders>
                  <w:vAlign w:val="center"/>
                </w:tcPr>
                <w:p>
                  <w:pPr>
                    <w:jc w:val="center"/>
                    <w:rPr>
                      <w:color w:val="auto"/>
                      <w:sz w:val="18"/>
                      <w:szCs w:val="18"/>
                      <w:highlight w:val="none"/>
                    </w:rPr>
                  </w:pPr>
                  <w:r>
                    <w:rPr>
                      <w:color w:val="auto"/>
                      <w:sz w:val="18"/>
                      <w:szCs w:val="18"/>
                      <w:highlight w:val="none"/>
                    </w:rPr>
                    <w:t>项目情况</w:t>
                  </w:r>
                </w:p>
              </w:tc>
              <w:tc>
                <w:tcPr>
                  <w:tcW w:w="552" w:type="pct"/>
                  <w:tcBorders>
                    <w:top w:val="single" w:color="auto" w:sz="6" w:space="0"/>
                    <w:left w:val="single" w:color="auto" w:sz="4" w:space="0"/>
                    <w:bottom w:val="single" w:color="auto" w:sz="6" w:space="0"/>
                    <w:right w:val="single" w:color="auto" w:sz="6" w:space="0"/>
                  </w:tcBorders>
                  <w:vAlign w:val="center"/>
                </w:tcPr>
                <w:p>
                  <w:pPr>
                    <w:jc w:val="center"/>
                    <w:rPr>
                      <w:color w:val="auto"/>
                      <w:sz w:val="18"/>
                      <w:szCs w:val="18"/>
                      <w:highlight w:val="none"/>
                    </w:rPr>
                  </w:pPr>
                  <w:r>
                    <w:rPr>
                      <w:color w:val="auto"/>
                      <w:sz w:val="18"/>
                      <w:szCs w:val="18"/>
                      <w:highlight w:val="none"/>
                    </w:rPr>
                    <w:t>符合性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3" w:hRule="atLeast"/>
                <w:jc w:val="center"/>
              </w:trPr>
              <w:tc>
                <w:tcPr>
                  <w:tcW w:w="3083" w:type="pct"/>
                  <w:tcBorders>
                    <w:top w:val="single" w:color="auto" w:sz="6" w:space="0"/>
                    <w:left w:val="single" w:color="auto" w:sz="6" w:space="0"/>
                    <w:bottom w:val="single" w:color="auto" w:sz="4" w:space="0"/>
                    <w:right w:val="single" w:color="auto" w:sz="6" w:space="0"/>
                  </w:tcBorders>
                  <w:vAlign w:val="center"/>
                </w:tcPr>
                <w:p>
                  <w:pPr>
                    <w:rPr>
                      <w:rFonts w:hint="eastAsia"/>
                      <w:color w:val="auto"/>
                      <w:sz w:val="18"/>
                      <w:szCs w:val="18"/>
                      <w:highlight w:val="none"/>
                    </w:rPr>
                  </w:pPr>
                  <w:r>
                    <w:rPr>
                      <w:rFonts w:hint="eastAsia"/>
                      <w:color w:val="auto"/>
                      <w:sz w:val="18"/>
                      <w:szCs w:val="18"/>
                      <w:highlight w:val="none"/>
                    </w:rPr>
                    <w:t>第二十二条</w:t>
                  </w:r>
                </w:p>
                <w:p>
                  <w:pPr>
                    <w:rPr>
                      <w:color w:val="auto"/>
                      <w:sz w:val="18"/>
                      <w:szCs w:val="18"/>
                      <w:highlight w:val="none"/>
                    </w:rPr>
                  </w:pPr>
                  <w:r>
                    <w:rPr>
                      <w:rFonts w:hint="eastAsia"/>
                      <w:color w:val="auto"/>
                      <w:sz w:val="18"/>
                      <w:szCs w:val="18"/>
                      <w:highlight w:val="none"/>
                    </w:rPr>
                    <w:t>长江流域产业结构和布局应当与长江流域生态系统和资源环境承载能力相适应。禁止在长江流域重点生态功能区布局对生态系统有严重影响的产业。禁止重污染企业和项目向长江中上游转移。</w:t>
                  </w:r>
                </w:p>
              </w:tc>
              <w:tc>
                <w:tcPr>
                  <w:tcW w:w="1363" w:type="pct"/>
                  <w:tcBorders>
                    <w:top w:val="single" w:color="auto" w:sz="6" w:space="0"/>
                    <w:left w:val="single" w:color="auto" w:sz="6" w:space="0"/>
                    <w:bottom w:val="single" w:color="auto" w:sz="4" w:space="0"/>
                    <w:right w:val="single" w:color="auto" w:sz="4" w:space="0"/>
                  </w:tcBorders>
                  <w:vAlign w:val="center"/>
                </w:tcPr>
                <w:p>
                  <w:pPr>
                    <w:rPr>
                      <w:rFonts w:hint="eastAsia" w:eastAsia="宋体"/>
                      <w:color w:val="auto"/>
                      <w:sz w:val="18"/>
                      <w:szCs w:val="18"/>
                      <w:highlight w:val="none"/>
                      <w:lang w:eastAsia="zh-CN"/>
                    </w:rPr>
                  </w:pPr>
                  <w:r>
                    <w:rPr>
                      <w:rFonts w:hint="eastAsia"/>
                      <w:color w:val="auto"/>
                      <w:sz w:val="18"/>
                      <w:szCs w:val="18"/>
                      <w:highlight w:val="none"/>
                      <w:lang w:val="en-US" w:eastAsia="zh-CN"/>
                    </w:rPr>
                    <w:t>本项目为水库项目，</w:t>
                  </w:r>
                  <w:r>
                    <w:rPr>
                      <w:rFonts w:hint="eastAsia"/>
                      <w:color w:val="auto"/>
                      <w:kern w:val="0"/>
                      <w:sz w:val="18"/>
                      <w:szCs w:val="18"/>
                      <w:highlight w:val="none"/>
                      <w:lang w:val="en-US" w:eastAsia="zh-CN"/>
                    </w:rPr>
                    <w:t>不进行生产，</w:t>
                  </w:r>
                  <w:r>
                    <w:rPr>
                      <w:rFonts w:hint="eastAsia"/>
                      <w:color w:val="auto"/>
                      <w:kern w:val="0"/>
                      <w:sz w:val="18"/>
                      <w:szCs w:val="18"/>
                      <w:highlight w:val="none"/>
                      <w:lang w:eastAsia="zh-CN"/>
                    </w:rPr>
                    <w:t>不属于重污染企业，不会</w:t>
                  </w:r>
                  <w:r>
                    <w:rPr>
                      <w:rFonts w:hint="eastAsia"/>
                      <w:color w:val="auto"/>
                      <w:sz w:val="18"/>
                      <w:szCs w:val="18"/>
                      <w:highlight w:val="none"/>
                    </w:rPr>
                    <w:t>对生态系统</w:t>
                  </w:r>
                  <w:r>
                    <w:rPr>
                      <w:rFonts w:hint="eastAsia"/>
                      <w:color w:val="auto"/>
                      <w:sz w:val="18"/>
                      <w:szCs w:val="18"/>
                      <w:highlight w:val="none"/>
                      <w:lang w:eastAsia="zh-CN"/>
                    </w:rPr>
                    <w:t>造成</w:t>
                  </w:r>
                  <w:r>
                    <w:rPr>
                      <w:rFonts w:hint="eastAsia"/>
                      <w:color w:val="auto"/>
                      <w:sz w:val="18"/>
                      <w:szCs w:val="18"/>
                      <w:highlight w:val="none"/>
                    </w:rPr>
                    <w:t>严重影响</w:t>
                  </w:r>
                  <w:r>
                    <w:rPr>
                      <w:rFonts w:hint="eastAsia"/>
                      <w:color w:val="auto"/>
                      <w:sz w:val="18"/>
                      <w:szCs w:val="18"/>
                      <w:highlight w:val="none"/>
                      <w:lang w:eastAsia="zh-CN"/>
                    </w:rPr>
                    <w:t>。</w:t>
                  </w:r>
                </w:p>
              </w:tc>
              <w:tc>
                <w:tcPr>
                  <w:tcW w:w="552" w:type="pct"/>
                  <w:tcBorders>
                    <w:top w:val="single" w:color="auto" w:sz="6" w:space="0"/>
                    <w:left w:val="single" w:color="auto" w:sz="4" w:space="0"/>
                    <w:bottom w:val="single" w:color="auto" w:sz="4" w:space="0"/>
                    <w:right w:val="single" w:color="auto" w:sz="6" w:space="0"/>
                  </w:tcBorders>
                  <w:vAlign w:val="center"/>
                </w:tcPr>
                <w:p>
                  <w:pPr>
                    <w:jc w:val="center"/>
                    <w:rPr>
                      <w:color w:val="auto"/>
                      <w:sz w:val="18"/>
                      <w:szCs w:val="18"/>
                      <w:highlight w:val="none"/>
                    </w:rPr>
                  </w:pPr>
                  <w:r>
                    <w:rPr>
                      <w:color w:val="auto"/>
                      <w:sz w:val="18"/>
                      <w:szCs w:val="18"/>
                      <w:highlight w:val="none"/>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31" w:hRule="atLeast"/>
                <w:jc w:val="center"/>
              </w:trPr>
              <w:tc>
                <w:tcPr>
                  <w:tcW w:w="3083" w:type="pct"/>
                  <w:tcBorders>
                    <w:top w:val="single" w:color="auto" w:sz="4" w:space="0"/>
                    <w:left w:val="single" w:color="auto" w:sz="6" w:space="0"/>
                    <w:bottom w:val="single" w:color="auto" w:sz="4" w:space="0"/>
                    <w:right w:val="single" w:color="auto" w:sz="6" w:space="0"/>
                  </w:tcBorders>
                  <w:vAlign w:val="center"/>
                </w:tcPr>
                <w:p>
                  <w:pPr>
                    <w:rPr>
                      <w:rFonts w:hint="eastAsia"/>
                      <w:color w:val="auto"/>
                      <w:sz w:val="18"/>
                      <w:szCs w:val="18"/>
                      <w:highlight w:val="none"/>
                    </w:rPr>
                  </w:pPr>
                  <w:r>
                    <w:rPr>
                      <w:rFonts w:hint="eastAsia"/>
                      <w:color w:val="auto"/>
                      <w:sz w:val="18"/>
                      <w:szCs w:val="18"/>
                      <w:highlight w:val="none"/>
                    </w:rPr>
                    <w:t>第二十六条</w:t>
                  </w:r>
                </w:p>
                <w:p>
                  <w:pPr>
                    <w:rPr>
                      <w:rFonts w:hint="eastAsia"/>
                      <w:color w:val="auto"/>
                      <w:sz w:val="18"/>
                      <w:szCs w:val="18"/>
                      <w:highlight w:val="none"/>
                    </w:rPr>
                  </w:pPr>
                  <w:r>
                    <w:rPr>
                      <w:rFonts w:hint="eastAsia"/>
                      <w:color w:val="auto"/>
                      <w:sz w:val="18"/>
                      <w:szCs w:val="18"/>
                      <w:highlight w:val="none"/>
                    </w:rPr>
                    <w:t>禁止在长江干支流岸线一公里范围内新建、扩建化工园区和化工项目。</w:t>
                  </w:r>
                </w:p>
                <w:p>
                  <w:pPr>
                    <w:rPr>
                      <w:rFonts w:hint="eastAsia" w:eastAsia="宋体"/>
                      <w:color w:val="auto"/>
                      <w:sz w:val="18"/>
                      <w:szCs w:val="18"/>
                      <w:highlight w:val="none"/>
                      <w:lang w:eastAsia="zh-CN"/>
                    </w:rPr>
                  </w:pPr>
                  <w:r>
                    <w:rPr>
                      <w:rFonts w:hint="eastAsia"/>
                      <w:color w:val="auto"/>
                      <w:sz w:val="18"/>
                      <w:szCs w:val="18"/>
                      <w:highlight w:val="none"/>
                    </w:rPr>
                    <w:t>禁止在长江干流岸线三公里范围内和重要支流岸线一公里范围内新建、改建、扩建尾矿库；但是以提升安全、生态环境保护水平为目的的改建除外</w:t>
                  </w:r>
                  <w:r>
                    <w:rPr>
                      <w:rFonts w:hint="eastAsia"/>
                      <w:color w:val="auto"/>
                      <w:sz w:val="18"/>
                      <w:szCs w:val="18"/>
                      <w:highlight w:val="none"/>
                      <w:lang w:eastAsia="zh-CN"/>
                    </w:rPr>
                    <w:t>。</w:t>
                  </w:r>
                </w:p>
              </w:tc>
              <w:tc>
                <w:tcPr>
                  <w:tcW w:w="1363" w:type="pct"/>
                  <w:tcBorders>
                    <w:top w:val="single" w:color="auto" w:sz="4" w:space="0"/>
                    <w:left w:val="single" w:color="auto" w:sz="6" w:space="0"/>
                    <w:bottom w:val="single" w:color="auto" w:sz="4" w:space="0"/>
                    <w:right w:val="single" w:color="auto" w:sz="4" w:space="0"/>
                  </w:tcBorders>
                  <w:vAlign w:val="center"/>
                </w:tcPr>
                <w:p>
                  <w:pPr>
                    <w:jc w:val="left"/>
                    <w:rPr>
                      <w:rFonts w:hint="eastAsia" w:eastAsia="宋体"/>
                      <w:color w:val="auto"/>
                      <w:sz w:val="18"/>
                      <w:szCs w:val="18"/>
                      <w:highlight w:val="none"/>
                      <w:lang w:eastAsia="zh-CN"/>
                    </w:rPr>
                  </w:pPr>
                  <w:r>
                    <w:rPr>
                      <w:rFonts w:hint="eastAsia"/>
                      <w:color w:val="auto"/>
                      <w:kern w:val="0"/>
                      <w:sz w:val="18"/>
                      <w:szCs w:val="18"/>
                      <w:highlight w:val="none"/>
                      <w:lang w:val="en-US" w:eastAsia="zh-CN"/>
                    </w:rPr>
                    <w:t>本项目</w:t>
                  </w:r>
                  <w:r>
                    <w:rPr>
                      <w:rFonts w:hint="eastAsia"/>
                      <w:color w:val="auto"/>
                      <w:sz w:val="18"/>
                      <w:szCs w:val="18"/>
                      <w:highlight w:val="none"/>
                      <w:lang w:eastAsia="zh-CN"/>
                    </w:rPr>
                    <w:t>不属于化工项目，</w:t>
                  </w:r>
                  <w:r>
                    <w:rPr>
                      <w:rFonts w:hint="eastAsia"/>
                      <w:color w:val="auto"/>
                      <w:sz w:val="18"/>
                      <w:szCs w:val="18"/>
                      <w:highlight w:val="none"/>
                      <w:lang w:val="en-US" w:eastAsia="zh-CN"/>
                    </w:rPr>
                    <w:t>不属于尾矿库</w:t>
                  </w:r>
                  <w:r>
                    <w:rPr>
                      <w:rFonts w:hint="eastAsia"/>
                      <w:color w:val="auto"/>
                      <w:sz w:val="18"/>
                      <w:szCs w:val="18"/>
                      <w:highlight w:val="none"/>
                      <w:lang w:eastAsia="zh-CN"/>
                    </w:rPr>
                    <w:t>。</w:t>
                  </w:r>
                </w:p>
              </w:tc>
              <w:tc>
                <w:tcPr>
                  <w:tcW w:w="552" w:type="pct"/>
                  <w:tcBorders>
                    <w:top w:val="single" w:color="auto" w:sz="4" w:space="0"/>
                    <w:left w:val="single" w:color="auto" w:sz="4" w:space="0"/>
                    <w:bottom w:val="single" w:color="auto" w:sz="4" w:space="0"/>
                    <w:right w:val="single" w:color="auto" w:sz="6" w:space="0"/>
                  </w:tcBorders>
                  <w:vAlign w:val="center"/>
                </w:tcPr>
                <w:p>
                  <w:pPr>
                    <w:jc w:val="center"/>
                    <w:rPr>
                      <w:color w:val="auto"/>
                      <w:sz w:val="18"/>
                      <w:szCs w:val="18"/>
                      <w:highlight w:val="none"/>
                    </w:rPr>
                  </w:pPr>
                  <w:r>
                    <w:rPr>
                      <w:color w:val="auto"/>
                      <w:sz w:val="18"/>
                      <w:szCs w:val="18"/>
                      <w:highlight w:val="none"/>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79" w:hRule="atLeast"/>
                <w:jc w:val="center"/>
              </w:trPr>
              <w:tc>
                <w:tcPr>
                  <w:tcW w:w="3083" w:type="pct"/>
                  <w:tcBorders>
                    <w:top w:val="single" w:color="auto" w:sz="4" w:space="0"/>
                    <w:left w:val="single" w:color="auto" w:sz="6" w:space="0"/>
                    <w:bottom w:val="single" w:color="auto" w:sz="4" w:space="0"/>
                    <w:right w:val="single" w:color="auto" w:sz="6" w:space="0"/>
                  </w:tcBorders>
                  <w:vAlign w:val="center"/>
                </w:tcPr>
                <w:p>
                  <w:pPr>
                    <w:pStyle w:val="7"/>
                    <w:spacing w:line="240" w:lineRule="auto"/>
                    <w:ind w:left="0" w:firstLine="0"/>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第四十七条</w:t>
                  </w:r>
                </w:p>
                <w:p>
                  <w:pPr>
                    <w:pStyle w:val="7"/>
                    <w:spacing w:line="240" w:lineRule="auto"/>
                    <w:ind w:left="0" w:firstLine="0"/>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长江流域县级以上地方人民政府应当统筹长江流域城乡污水集中处理设施及配套管网建设，并保障其正常运行，提高城乡污水收集处理能力。</w:t>
                  </w:r>
                </w:p>
              </w:tc>
              <w:tc>
                <w:tcPr>
                  <w:tcW w:w="1363" w:type="pct"/>
                  <w:tcBorders>
                    <w:top w:val="single" w:color="auto" w:sz="4" w:space="0"/>
                    <w:left w:val="single" w:color="auto" w:sz="6" w:space="0"/>
                    <w:bottom w:val="single" w:color="auto" w:sz="4" w:space="0"/>
                    <w:right w:val="single" w:color="auto" w:sz="4" w:space="0"/>
                  </w:tcBorders>
                  <w:vAlign w:val="center"/>
                </w:tcPr>
                <w:p>
                  <w:pPr>
                    <w:widowControl/>
                    <w:jc w:val="left"/>
                    <w:rPr>
                      <w:color w:val="auto"/>
                      <w:sz w:val="18"/>
                      <w:szCs w:val="18"/>
                      <w:highlight w:val="none"/>
                    </w:rPr>
                  </w:pPr>
                  <w:r>
                    <w:rPr>
                      <w:rFonts w:hint="eastAsia"/>
                      <w:color w:val="auto"/>
                      <w:sz w:val="18"/>
                      <w:szCs w:val="18"/>
                      <w:highlight w:val="none"/>
                      <w:lang w:val="en-US" w:eastAsia="zh-CN"/>
                    </w:rPr>
                    <w:t>本</w:t>
                  </w:r>
                  <w:r>
                    <w:rPr>
                      <w:rFonts w:hint="eastAsia"/>
                      <w:color w:val="auto"/>
                      <w:sz w:val="18"/>
                      <w:szCs w:val="18"/>
                      <w:highlight w:val="none"/>
                      <w:lang w:eastAsia="zh-CN"/>
                    </w:rPr>
                    <w:t>项目所在</w:t>
                  </w:r>
                  <w:r>
                    <w:rPr>
                      <w:rFonts w:hint="eastAsia"/>
                      <w:color w:val="auto"/>
                      <w:sz w:val="18"/>
                      <w:szCs w:val="18"/>
                      <w:highlight w:val="none"/>
                    </w:rPr>
                    <w:t>规划区严格落实污水集中处理及配套管网建设要求。</w:t>
                  </w:r>
                </w:p>
              </w:tc>
              <w:tc>
                <w:tcPr>
                  <w:tcW w:w="552" w:type="pct"/>
                  <w:tcBorders>
                    <w:top w:val="single" w:color="auto" w:sz="4" w:space="0"/>
                    <w:left w:val="single" w:color="auto" w:sz="4" w:space="0"/>
                    <w:bottom w:val="single" w:color="auto" w:sz="4" w:space="0"/>
                    <w:right w:val="single" w:color="auto" w:sz="6" w:space="0"/>
                  </w:tcBorders>
                  <w:vAlign w:val="center"/>
                </w:tcPr>
                <w:p>
                  <w:pPr>
                    <w:widowControl/>
                    <w:jc w:val="center"/>
                    <w:rPr>
                      <w:color w:val="auto"/>
                      <w:sz w:val="18"/>
                      <w:szCs w:val="18"/>
                      <w:highlight w:val="none"/>
                    </w:rPr>
                  </w:pPr>
                  <w:r>
                    <w:rPr>
                      <w:color w:val="auto"/>
                      <w:sz w:val="18"/>
                      <w:szCs w:val="18"/>
                      <w:highlight w:val="none"/>
                    </w:rPr>
                    <w:t>符合</w:t>
                  </w:r>
                </w:p>
              </w:tc>
            </w:tr>
          </w:tbl>
          <w:p>
            <w:pPr>
              <w:autoSpaceDE w:val="0"/>
              <w:autoSpaceDN w:val="0"/>
              <w:adjustRightInd w:val="0"/>
              <w:spacing w:line="440" w:lineRule="exact"/>
              <w:ind w:firstLine="480"/>
              <w:jc w:val="left"/>
              <w:rPr>
                <w:rFonts w:hint="eastAsia"/>
                <w:color w:val="auto"/>
                <w:highlight w:val="none"/>
                <w:lang w:val="en-US" w:eastAsia="zh-CN"/>
              </w:rPr>
            </w:pPr>
            <w:r>
              <w:rPr>
                <w:rFonts w:hint="eastAsia"/>
                <w:color w:val="auto"/>
                <w:szCs w:val="21"/>
                <w:highlight w:val="none"/>
              </w:rPr>
              <w:t>由上表分析可知，</w:t>
            </w:r>
            <w:r>
              <w:rPr>
                <w:rFonts w:hint="eastAsia"/>
                <w:color w:val="auto"/>
                <w:szCs w:val="21"/>
                <w:highlight w:val="none"/>
                <w:lang w:val="en-US" w:eastAsia="zh-CN"/>
              </w:rPr>
              <w:t>本项目</w:t>
            </w:r>
            <w:r>
              <w:rPr>
                <w:rFonts w:hint="eastAsia"/>
                <w:color w:val="auto"/>
                <w:szCs w:val="21"/>
                <w:highlight w:val="none"/>
              </w:rPr>
              <w:t>符合</w:t>
            </w:r>
            <w:r>
              <w:rPr>
                <w:rFonts w:hint="eastAsia" w:ascii="Times New Roman" w:hAnsi="Times New Roman" w:eastAsia="宋体" w:cs="Times New Roman"/>
                <w:b w:val="0"/>
                <w:bCs w:val="0"/>
                <w:color w:val="auto"/>
                <w:szCs w:val="21"/>
                <w:highlight w:val="none"/>
                <w:lang w:eastAsia="zh-CN"/>
              </w:rPr>
              <w:t>《中华人民共和国长江保护法》</w:t>
            </w:r>
            <w:r>
              <w:rPr>
                <w:rFonts w:hint="eastAsia"/>
                <w:color w:val="auto"/>
                <w:szCs w:val="21"/>
                <w:highlight w:val="none"/>
              </w:rPr>
              <w:t>的要求。</w:t>
            </w:r>
          </w:p>
          <w:p>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eastAsia" w:ascii="Times New Roman" w:hAnsi="Times New Roman" w:eastAsia="宋体" w:cs="宋体"/>
                <w:b/>
                <w:bCs/>
                <w:color w:val="auto"/>
                <w:kern w:val="0"/>
                <w:sz w:val="21"/>
                <w:szCs w:val="21"/>
                <w:highlight w:val="none"/>
                <w:lang w:eastAsia="zh-CN"/>
              </w:rPr>
            </w:pPr>
            <w:r>
              <w:rPr>
                <w:rFonts w:hint="eastAsia" w:ascii="Times New Roman" w:hAnsi="Times New Roman" w:eastAsia="宋体" w:cs="宋体"/>
                <w:b/>
                <w:bCs/>
                <w:color w:val="auto"/>
                <w:kern w:val="0"/>
                <w:sz w:val="21"/>
                <w:szCs w:val="21"/>
                <w:highlight w:val="none"/>
                <w:lang w:val="en-US" w:eastAsia="zh-CN"/>
              </w:rPr>
              <w:t>1.2.</w:t>
            </w:r>
            <w:r>
              <w:rPr>
                <w:rFonts w:hint="eastAsia" w:cs="宋体"/>
                <w:b/>
                <w:bCs/>
                <w:color w:val="auto"/>
                <w:kern w:val="0"/>
                <w:sz w:val="21"/>
                <w:szCs w:val="21"/>
                <w:highlight w:val="none"/>
                <w:lang w:val="en-US" w:eastAsia="zh-CN"/>
              </w:rPr>
              <w:t>4</w:t>
            </w:r>
            <w:r>
              <w:rPr>
                <w:rFonts w:hint="eastAsia" w:ascii="Times New Roman" w:hAnsi="Times New Roman" w:eastAsia="宋体" w:cs="宋体"/>
                <w:b/>
                <w:bCs/>
                <w:color w:val="auto"/>
                <w:kern w:val="0"/>
                <w:sz w:val="21"/>
                <w:szCs w:val="21"/>
                <w:highlight w:val="none"/>
                <w:lang w:val="en-US" w:eastAsia="zh-CN"/>
              </w:rPr>
              <w:t xml:space="preserve"> 与</w:t>
            </w:r>
            <w:r>
              <w:rPr>
                <w:rFonts w:hint="eastAsia" w:ascii="Times New Roman" w:hAnsi="Times New Roman" w:eastAsia="宋体" w:cs="宋体"/>
                <w:b/>
                <w:bCs/>
                <w:color w:val="auto"/>
                <w:kern w:val="0"/>
                <w:sz w:val="21"/>
                <w:szCs w:val="21"/>
                <w:highlight w:val="none"/>
                <w:lang w:eastAsia="zh-CN"/>
              </w:rPr>
              <w:t>《长江经济带发展负面清单指南</w:t>
            </w:r>
            <w:r>
              <w:rPr>
                <w:rFonts w:hint="eastAsia" w:ascii="Times New Roman" w:hAnsi="Times New Roman" w:eastAsia="宋体" w:cs="宋体"/>
                <w:b/>
                <w:bCs/>
                <w:color w:val="auto"/>
                <w:kern w:val="0"/>
                <w:sz w:val="21"/>
                <w:szCs w:val="21"/>
                <w:highlight w:val="none"/>
                <w:lang w:val="en-US" w:eastAsia="zh-CN"/>
              </w:rPr>
              <w:t>（</w:t>
            </w:r>
            <w:r>
              <w:rPr>
                <w:rFonts w:hint="eastAsia" w:ascii="Times New Roman" w:hAnsi="Times New Roman" w:eastAsia="宋体" w:cs="宋体"/>
                <w:b/>
                <w:bCs/>
                <w:color w:val="auto"/>
                <w:kern w:val="0"/>
                <w:sz w:val="21"/>
                <w:szCs w:val="21"/>
                <w:highlight w:val="none"/>
                <w:lang w:eastAsia="zh-CN"/>
              </w:rPr>
              <w:t>试行，2022年版</w:t>
            </w:r>
            <w:r>
              <w:rPr>
                <w:rFonts w:hint="eastAsia" w:ascii="Times New Roman" w:hAnsi="Times New Roman" w:eastAsia="宋体" w:cs="宋体"/>
                <w:b/>
                <w:bCs/>
                <w:color w:val="auto"/>
                <w:kern w:val="0"/>
                <w:sz w:val="21"/>
                <w:szCs w:val="21"/>
                <w:highlight w:val="none"/>
                <w:lang w:val="en-US" w:eastAsia="zh-CN"/>
              </w:rPr>
              <w:t>）</w:t>
            </w:r>
            <w:r>
              <w:rPr>
                <w:rFonts w:hint="eastAsia" w:ascii="Times New Roman" w:hAnsi="Times New Roman" w:eastAsia="宋体" w:cs="宋体"/>
                <w:b/>
                <w:bCs/>
                <w:color w:val="auto"/>
                <w:kern w:val="0"/>
                <w:sz w:val="21"/>
                <w:szCs w:val="21"/>
                <w:highlight w:val="none"/>
                <w:lang w:eastAsia="zh-CN"/>
              </w:rPr>
              <w:t>》</w:t>
            </w:r>
            <w:r>
              <w:rPr>
                <w:rFonts w:hint="eastAsia" w:ascii="Times New Roman" w:hAnsi="Times New Roman" w:eastAsia="宋体" w:cs="宋体"/>
                <w:b/>
                <w:bCs/>
                <w:color w:val="auto"/>
                <w:kern w:val="0"/>
                <w:sz w:val="21"/>
                <w:szCs w:val="21"/>
                <w:highlight w:val="none"/>
                <w:lang w:val="en-US" w:eastAsia="zh-CN"/>
              </w:rPr>
              <w:t>（</w:t>
            </w:r>
            <w:r>
              <w:rPr>
                <w:rFonts w:hint="eastAsia" w:ascii="Times New Roman" w:hAnsi="Times New Roman" w:eastAsia="宋体" w:cs="宋体"/>
                <w:b/>
                <w:bCs/>
                <w:color w:val="auto"/>
                <w:kern w:val="0"/>
                <w:sz w:val="21"/>
                <w:szCs w:val="21"/>
                <w:highlight w:val="none"/>
                <w:lang w:eastAsia="zh-CN"/>
              </w:rPr>
              <w:t>长江办〔2022〕7号</w:t>
            </w:r>
            <w:r>
              <w:rPr>
                <w:rFonts w:hint="eastAsia" w:ascii="Times New Roman" w:hAnsi="Times New Roman" w:eastAsia="宋体" w:cs="宋体"/>
                <w:b/>
                <w:bCs/>
                <w:color w:val="auto"/>
                <w:kern w:val="0"/>
                <w:sz w:val="21"/>
                <w:szCs w:val="21"/>
                <w:highlight w:val="none"/>
                <w:lang w:val="en-US" w:eastAsia="zh-CN"/>
              </w:rPr>
              <w:t>）</w:t>
            </w:r>
            <w:r>
              <w:rPr>
                <w:rFonts w:hint="eastAsia" w:ascii="Times New Roman" w:hAnsi="Times New Roman" w:eastAsia="宋体" w:cs="宋体"/>
                <w:b/>
                <w:bCs/>
                <w:color w:val="auto"/>
                <w:kern w:val="0"/>
                <w:sz w:val="21"/>
                <w:szCs w:val="21"/>
                <w:highlight w:val="none"/>
                <w:lang w:eastAsia="zh-CN"/>
              </w:rPr>
              <w:t>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default"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eastAsia="zh-CN"/>
              </w:rPr>
              <w:t>本项目与《长江经济带发展负面清单指南（试行，2022年版）》（长江办</w:t>
            </w:r>
            <w:r>
              <w:rPr>
                <w:rFonts w:hint="eastAsia" w:ascii="仿宋" w:hAnsi="仿宋" w:eastAsia="仿宋" w:cs="仿宋"/>
                <w:color w:val="auto"/>
                <w:kern w:val="0"/>
                <w:sz w:val="21"/>
                <w:szCs w:val="21"/>
                <w:highlight w:val="none"/>
                <w:lang w:eastAsia="zh-CN"/>
              </w:rPr>
              <w:t>〔</w:t>
            </w:r>
            <w:r>
              <w:rPr>
                <w:rFonts w:hint="eastAsia" w:ascii="Times New Roman" w:hAnsi="Times New Roman" w:eastAsia="宋体" w:cs="宋体"/>
                <w:color w:val="auto"/>
                <w:kern w:val="0"/>
                <w:sz w:val="21"/>
                <w:szCs w:val="21"/>
                <w:highlight w:val="none"/>
                <w:lang w:eastAsia="zh-CN"/>
              </w:rPr>
              <w:t>2022</w:t>
            </w:r>
            <w:r>
              <w:rPr>
                <w:rFonts w:hint="eastAsia" w:ascii="仿宋" w:hAnsi="仿宋" w:eastAsia="仿宋" w:cs="仿宋"/>
                <w:color w:val="auto"/>
                <w:kern w:val="0"/>
                <w:sz w:val="21"/>
                <w:szCs w:val="21"/>
                <w:highlight w:val="none"/>
                <w:lang w:eastAsia="zh-CN"/>
              </w:rPr>
              <w:t>〕</w:t>
            </w:r>
            <w:r>
              <w:rPr>
                <w:rFonts w:hint="eastAsia" w:ascii="Times New Roman" w:hAnsi="Times New Roman" w:eastAsia="宋体" w:cs="宋体"/>
                <w:color w:val="auto"/>
                <w:kern w:val="0"/>
                <w:sz w:val="21"/>
                <w:szCs w:val="21"/>
                <w:highlight w:val="none"/>
                <w:lang w:eastAsia="zh-CN"/>
              </w:rPr>
              <w:t>7号）的符合性分析见表</w:t>
            </w:r>
            <w:r>
              <w:rPr>
                <w:rFonts w:hint="eastAsia" w:ascii="Times New Roman" w:hAnsi="Times New Roman" w:eastAsia="宋体" w:cs="宋体"/>
                <w:color w:val="auto"/>
                <w:kern w:val="0"/>
                <w:sz w:val="21"/>
                <w:szCs w:val="21"/>
                <w:highlight w:val="none"/>
                <w:lang w:val="en-US" w:eastAsia="zh-CN"/>
              </w:rPr>
              <w:t>1.2-</w:t>
            </w:r>
            <w:r>
              <w:rPr>
                <w:rFonts w:hint="eastAsia" w:cs="宋体"/>
                <w:color w:val="auto"/>
                <w:kern w:val="0"/>
                <w:sz w:val="21"/>
                <w:szCs w:val="21"/>
                <w:highlight w:val="none"/>
                <w:lang w:val="en-US" w:eastAsia="zh-CN"/>
              </w:rPr>
              <w:t>5</w:t>
            </w:r>
            <w:r>
              <w:rPr>
                <w:rFonts w:hint="eastAsia" w:ascii="Times New Roman" w:hAnsi="Times New Roman" w:eastAsia="宋体" w:cs="宋体"/>
                <w:color w:val="auto"/>
                <w:kern w:val="0"/>
                <w:sz w:val="21"/>
                <w:szCs w:val="21"/>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宋体"/>
                <w:b w:val="0"/>
                <w:bCs w:val="0"/>
                <w:color w:val="auto"/>
                <w:kern w:val="0"/>
                <w:sz w:val="21"/>
                <w:szCs w:val="21"/>
                <w:highlight w:val="none"/>
                <w:lang w:eastAsia="zh-CN"/>
              </w:rPr>
            </w:pPr>
            <w:r>
              <w:rPr>
                <w:rFonts w:hint="eastAsia" w:ascii="Times New Roman" w:hAnsi="Times New Roman" w:eastAsia="宋体" w:cs="宋体"/>
                <w:b w:val="0"/>
                <w:bCs w:val="0"/>
                <w:color w:val="auto"/>
                <w:kern w:val="0"/>
                <w:sz w:val="21"/>
                <w:szCs w:val="21"/>
                <w:highlight w:val="none"/>
                <w:lang w:eastAsia="zh-CN"/>
              </w:rPr>
              <w:t>表1</w:t>
            </w:r>
            <w:r>
              <w:rPr>
                <w:rFonts w:hint="eastAsia" w:ascii="Times New Roman" w:hAnsi="Times New Roman" w:eastAsia="宋体" w:cs="宋体"/>
                <w:b w:val="0"/>
                <w:bCs w:val="0"/>
                <w:color w:val="auto"/>
                <w:kern w:val="0"/>
                <w:sz w:val="21"/>
                <w:szCs w:val="21"/>
                <w:highlight w:val="none"/>
                <w:lang w:val="en-US" w:eastAsia="zh-CN"/>
              </w:rPr>
              <w:t>.2</w:t>
            </w:r>
            <w:r>
              <w:rPr>
                <w:rFonts w:hint="eastAsia" w:ascii="Times New Roman" w:hAnsi="Times New Roman" w:eastAsia="宋体" w:cs="宋体"/>
                <w:b w:val="0"/>
                <w:bCs w:val="0"/>
                <w:color w:val="auto"/>
                <w:kern w:val="0"/>
                <w:sz w:val="21"/>
                <w:szCs w:val="21"/>
                <w:highlight w:val="none"/>
                <w:lang w:eastAsia="zh-CN"/>
              </w:rPr>
              <w:t>-</w:t>
            </w:r>
            <w:r>
              <w:rPr>
                <w:rFonts w:hint="eastAsia" w:cs="宋体"/>
                <w:b w:val="0"/>
                <w:bCs w:val="0"/>
                <w:color w:val="auto"/>
                <w:kern w:val="0"/>
                <w:sz w:val="21"/>
                <w:szCs w:val="21"/>
                <w:highlight w:val="none"/>
                <w:lang w:val="en-US" w:eastAsia="zh-CN"/>
              </w:rPr>
              <w:t>5</w:t>
            </w:r>
            <w:r>
              <w:rPr>
                <w:rFonts w:hint="eastAsia" w:ascii="Times New Roman" w:hAnsi="Times New Roman" w:eastAsia="宋体" w:cs="宋体"/>
                <w:b w:val="0"/>
                <w:bCs w:val="0"/>
                <w:color w:val="auto"/>
                <w:kern w:val="0"/>
                <w:sz w:val="21"/>
                <w:szCs w:val="21"/>
                <w:highlight w:val="none"/>
                <w:lang w:eastAsia="zh-CN"/>
              </w:rPr>
              <w:t xml:space="preserve"> 与长江经济带发展负面清单指南（试行，2022年版）符合性分析</w:t>
            </w:r>
          </w:p>
          <w:tbl>
            <w:tblPr>
              <w:tblStyle w:val="30"/>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3640"/>
              <w:gridCol w:w="1993"/>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宋体"/>
                      <w:color w:val="auto"/>
                      <w:kern w:val="0"/>
                      <w:sz w:val="18"/>
                      <w:szCs w:val="18"/>
                      <w:highlight w:val="none"/>
                      <w:vertAlign w:val="baseline"/>
                      <w:lang w:eastAsia="zh-CN"/>
                    </w:rPr>
                  </w:pPr>
                  <w:r>
                    <w:rPr>
                      <w:rFonts w:hint="eastAsia" w:ascii="Times New Roman" w:hAnsi="Times New Roman" w:eastAsia="宋体" w:cs="宋体"/>
                      <w:color w:val="auto"/>
                      <w:kern w:val="0"/>
                      <w:sz w:val="18"/>
                      <w:szCs w:val="18"/>
                      <w:highlight w:val="none"/>
                      <w:vertAlign w:val="baseline"/>
                      <w:lang w:eastAsia="zh-CN"/>
                    </w:rPr>
                    <w:t>序号</w:t>
                  </w:r>
                </w:p>
              </w:tc>
              <w:tc>
                <w:tcPr>
                  <w:tcW w:w="3513"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宋体"/>
                      <w:color w:val="auto"/>
                      <w:kern w:val="0"/>
                      <w:sz w:val="18"/>
                      <w:szCs w:val="18"/>
                      <w:highlight w:val="none"/>
                      <w:vertAlign w:val="baseline"/>
                      <w:lang w:eastAsia="zh-CN"/>
                    </w:rPr>
                  </w:pPr>
                  <w:r>
                    <w:rPr>
                      <w:rFonts w:hint="eastAsia" w:ascii="Times New Roman" w:hAnsi="Times New Roman" w:eastAsia="宋体" w:cs="宋体"/>
                      <w:color w:val="auto"/>
                      <w:kern w:val="0"/>
                      <w:sz w:val="18"/>
                      <w:szCs w:val="18"/>
                      <w:highlight w:val="none"/>
                      <w:vertAlign w:val="baseline"/>
                      <w:lang w:eastAsia="zh-CN"/>
                    </w:rPr>
                    <w:t>指南要求</w:t>
                  </w:r>
                </w:p>
              </w:tc>
              <w:tc>
                <w:tcPr>
                  <w:tcW w:w="192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宋体"/>
                      <w:color w:val="auto"/>
                      <w:kern w:val="0"/>
                      <w:sz w:val="18"/>
                      <w:szCs w:val="18"/>
                      <w:highlight w:val="none"/>
                      <w:vertAlign w:val="baseline"/>
                      <w:lang w:eastAsia="zh-CN"/>
                    </w:rPr>
                  </w:pPr>
                  <w:r>
                    <w:rPr>
                      <w:rFonts w:hint="eastAsia" w:ascii="Times New Roman" w:hAnsi="Times New Roman" w:eastAsia="宋体" w:cs="宋体"/>
                      <w:color w:val="auto"/>
                      <w:kern w:val="0"/>
                      <w:sz w:val="18"/>
                      <w:szCs w:val="18"/>
                      <w:highlight w:val="none"/>
                      <w:vertAlign w:val="baseline"/>
                      <w:lang w:eastAsia="zh-CN"/>
                    </w:rPr>
                    <w:t>项目情况</w:t>
                  </w:r>
                </w:p>
              </w:tc>
              <w:tc>
                <w:tcPr>
                  <w:tcW w:w="78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宋体"/>
                      <w:color w:val="auto"/>
                      <w:kern w:val="0"/>
                      <w:sz w:val="18"/>
                      <w:szCs w:val="18"/>
                      <w:highlight w:val="none"/>
                      <w:vertAlign w:val="baseline"/>
                      <w:lang w:eastAsia="zh-CN"/>
                    </w:rPr>
                  </w:pPr>
                  <w:r>
                    <w:rPr>
                      <w:rFonts w:hint="eastAsia" w:ascii="Times New Roman" w:hAnsi="Times New Roman" w:eastAsia="宋体" w:cs="宋体"/>
                      <w:color w:val="auto"/>
                      <w:kern w:val="0"/>
                      <w:sz w:val="18"/>
                      <w:szCs w:val="18"/>
                      <w:highlight w:val="none"/>
                      <w:vertAlign w:val="baseline"/>
                      <w:lang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宋体"/>
                      <w:color w:val="auto"/>
                      <w:kern w:val="0"/>
                      <w:sz w:val="18"/>
                      <w:szCs w:val="18"/>
                      <w:highlight w:val="none"/>
                      <w:vertAlign w:val="baseline"/>
                      <w:lang w:val="en-US" w:eastAsia="zh-CN"/>
                    </w:rPr>
                  </w:pPr>
                  <w:r>
                    <w:rPr>
                      <w:rFonts w:hint="eastAsia" w:ascii="Times New Roman" w:hAnsi="Times New Roman" w:eastAsia="宋体" w:cs="宋体"/>
                      <w:color w:val="auto"/>
                      <w:kern w:val="0"/>
                      <w:sz w:val="18"/>
                      <w:szCs w:val="18"/>
                      <w:highlight w:val="none"/>
                      <w:vertAlign w:val="baseline"/>
                      <w:lang w:val="en-US" w:eastAsia="zh-CN"/>
                    </w:rPr>
                    <w:t>1</w:t>
                  </w:r>
                </w:p>
              </w:tc>
              <w:tc>
                <w:tcPr>
                  <w:tcW w:w="3513"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Times New Roman" w:hAnsi="Times New Roman" w:eastAsia="宋体" w:cs="宋体"/>
                      <w:color w:val="auto"/>
                      <w:kern w:val="0"/>
                      <w:sz w:val="18"/>
                      <w:szCs w:val="18"/>
                      <w:highlight w:val="none"/>
                      <w:vertAlign w:val="baseline"/>
                      <w:lang w:eastAsia="zh-CN"/>
                    </w:rPr>
                  </w:pPr>
                  <w:r>
                    <w:rPr>
                      <w:rFonts w:hint="default" w:ascii="Times New Roman" w:hAnsi="Times New Roman" w:eastAsia="宋体" w:cs="宋体"/>
                      <w:color w:val="auto"/>
                      <w:kern w:val="0"/>
                      <w:sz w:val="18"/>
                      <w:szCs w:val="18"/>
                      <w:highlight w:val="none"/>
                      <w:vertAlign w:val="baseline"/>
                      <w:lang w:val="en-US" w:eastAsia="zh-CN" w:bidi="ar-SA"/>
                    </w:rPr>
                    <w:t>禁止建设不符合全国和省级港口布局规划以及港口总体规划的码头项目，禁止建设不符合《长江干线过江通道布局规划》的过长江通道项目。</w:t>
                  </w:r>
                </w:p>
              </w:tc>
              <w:tc>
                <w:tcPr>
                  <w:tcW w:w="192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imes New Roman" w:hAnsi="Times New Roman" w:eastAsia="宋体" w:cs="宋体"/>
                      <w:color w:val="auto"/>
                      <w:kern w:val="0"/>
                      <w:sz w:val="18"/>
                      <w:szCs w:val="18"/>
                      <w:highlight w:val="none"/>
                      <w:vertAlign w:val="baseline"/>
                      <w:lang w:eastAsia="zh-CN"/>
                    </w:rPr>
                  </w:pPr>
                  <w:r>
                    <w:rPr>
                      <w:rFonts w:hint="eastAsia" w:ascii="Times New Roman" w:hAnsi="Times New Roman" w:eastAsia="宋体" w:cs="宋体"/>
                      <w:color w:val="auto"/>
                      <w:kern w:val="0"/>
                      <w:sz w:val="18"/>
                      <w:szCs w:val="18"/>
                      <w:highlight w:val="none"/>
                      <w:vertAlign w:val="baseline"/>
                      <w:lang w:eastAsia="zh-CN"/>
                    </w:rPr>
                    <w:t>本项目不属于码头项目和过长江通道项目。</w:t>
                  </w:r>
                </w:p>
              </w:tc>
              <w:tc>
                <w:tcPr>
                  <w:tcW w:w="78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宋体"/>
                      <w:color w:val="auto"/>
                      <w:kern w:val="0"/>
                      <w:sz w:val="18"/>
                      <w:szCs w:val="18"/>
                      <w:highlight w:val="none"/>
                      <w:vertAlign w:val="baseline"/>
                      <w:lang w:eastAsia="zh-CN"/>
                    </w:rPr>
                  </w:pPr>
                  <w:r>
                    <w:rPr>
                      <w:rFonts w:hint="eastAsia" w:ascii="Times New Roman" w:hAnsi="Times New Roman" w:eastAsia="宋体" w:cs="宋体"/>
                      <w:color w:val="auto"/>
                      <w:kern w:val="0"/>
                      <w:sz w:val="18"/>
                      <w:szCs w:val="18"/>
                      <w:highlight w:val="none"/>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宋体"/>
                      <w:color w:val="auto"/>
                      <w:kern w:val="0"/>
                      <w:sz w:val="18"/>
                      <w:szCs w:val="18"/>
                      <w:highlight w:val="none"/>
                      <w:vertAlign w:val="baseline"/>
                      <w:lang w:val="en-US" w:eastAsia="zh-CN"/>
                    </w:rPr>
                  </w:pPr>
                  <w:r>
                    <w:rPr>
                      <w:rFonts w:hint="eastAsia" w:ascii="Times New Roman" w:hAnsi="Times New Roman" w:eastAsia="宋体" w:cs="宋体"/>
                      <w:color w:val="auto"/>
                      <w:kern w:val="0"/>
                      <w:sz w:val="18"/>
                      <w:szCs w:val="18"/>
                      <w:highlight w:val="none"/>
                      <w:vertAlign w:val="baseline"/>
                      <w:lang w:val="en-US" w:eastAsia="zh-CN"/>
                    </w:rPr>
                    <w:t>2</w:t>
                  </w:r>
                </w:p>
              </w:tc>
              <w:tc>
                <w:tcPr>
                  <w:tcW w:w="3513"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Times New Roman" w:hAnsi="Times New Roman" w:eastAsia="宋体" w:cs="宋体"/>
                      <w:color w:val="auto"/>
                      <w:kern w:val="0"/>
                      <w:sz w:val="18"/>
                      <w:szCs w:val="18"/>
                      <w:highlight w:val="none"/>
                      <w:vertAlign w:val="baseline"/>
                      <w:lang w:eastAsia="zh-CN"/>
                    </w:rPr>
                  </w:pPr>
                  <w:r>
                    <w:rPr>
                      <w:rFonts w:hint="default" w:ascii="Times New Roman" w:hAnsi="Times New Roman" w:eastAsia="宋体" w:cs="宋体"/>
                      <w:color w:val="auto"/>
                      <w:kern w:val="0"/>
                      <w:sz w:val="18"/>
                      <w:szCs w:val="18"/>
                      <w:highlight w:val="none"/>
                      <w:vertAlign w:val="baseline"/>
                      <w:lang w:val="en-US" w:eastAsia="zh-CN" w:bidi="ar-SA"/>
                    </w:rPr>
                    <w:t>禁止在自然保护区核心区、缓冲区的岸线和河段范围内投资</w:t>
                  </w:r>
                  <w:r>
                    <w:rPr>
                      <w:rFonts w:hint="eastAsia" w:ascii="Times New Roman" w:hAnsi="Times New Roman" w:eastAsia="宋体" w:cs="宋体"/>
                      <w:color w:val="auto"/>
                      <w:kern w:val="0"/>
                      <w:sz w:val="18"/>
                      <w:szCs w:val="18"/>
                      <w:highlight w:val="none"/>
                      <w:vertAlign w:val="baseline"/>
                      <w:lang w:val="en-US" w:eastAsia="zh-CN" w:bidi="ar-SA"/>
                    </w:rPr>
                    <w:t>建设旅游和生产经营项目。禁止在风景名胜区核心景区的岸线和河段范围内投资建设与风景名胜资源保护无关的项目。</w:t>
                  </w:r>
                </w:p>
              </w:tc>
              <w:tc>
                <w:tcPr>
                  <w:tcW w:w="192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imes New Roman" w:hAnsi="Times New Roman" w:eastAsia="宋体" w:cs="宋体"/>
                      <w:color w:val="auto"/>
                      <w:kern w:val="0"/>
                      <w:sz w:val="18"/>
                      <w:szCs w:val="18"/>
                      <w:highlight w:val="none"/>
                      <w:vertAlign w:val="baseline"/>
                      <w:lang w:eastAsia="zh-CN"/>
                    </w:rPr>
                  </w:pPr>
                  <w:r>
                    <w:rPr>
                      <w:rFonts w:hint="eastAsia" w:ascii="Times New Roman" w:hAnsi="Times New Roman" w:eastAsia="宋体" w:cs="宋体"/>
                      <w:color w:val="auto"/>
                      <w:kern w:val="0"/>
                      <w:sz w:val="18"/>
                      <w:szCs w:val="18"/>
                      <w:highlight w:val="none"/>
                      <w:vertAlign w:val="baseline"/>
                      <w:lang w:eastAsia="zh-CN"/>
                    </w:rPr>
                    <w:t>本项目属于</w:t>
                  </w:r>
                  <w:r>
                    <w:rPr>
                      <w:rFonts w:hint="eastAsia" w:ascii="Times New Roman" w:hAnsi="Times New Roman" w:eastAsia="宋体" w:cs="宋体"/>
                      <w:color w:val="auto"/>
                      <w:kern w:val="0"/>
                      <w:sz w:val="18"/>
                      <w:szCs w:val="18"/>
                      <w:highlight w:val="none"/>
                      <w:vertAlign w:val="baseline"/>
                      <w:lang w:val="en-US" w:eastAsia="zh-CN"/>
                    </w:rPr>
                    <w:t>水库</w:t>
                  </w:r>
                  <w:r>
                    <w:rPr>
                      <w:rFonts w:hint="eastAsia" w:ascii="Times New Roman" w:hAnsi="Times New Roman" w:eastAsia="宋体" w:cs="宋体"/>
                      <w:color w:val="auto"/>
                      <w:kern w:val="0"/>
                      <w:sz w:val="18"/>
                      <w:szCs w:val="18"/>
                      <w:highlight w:val="none"/>
                      <w:vertAlign w:val="baseline"/>
                      <w:lang w:eastAsia="zh-CN"/>
                    </w:rPr>
                    <w:t>项目，不涉及自然保护区</w:t>
                  </w:r>
                  <w:r>
                    <w:rPr>
                      <w:rFonts w:hint="eastAsia" w:ascii="Times New Roman" w:hAnsi="Times New Roman" w:eastAsia="宋体"/>
                      <w:color w:val="auto"/>
                      <w:sz w:val="18"/>
                      <w:szCs w:val="18"/>
                      <w:highlight w:val="none"/>
                      <w:lang w:eastAsia="zh-CN"/>
                    </w:rPr>
                    <w:t>、风景名胜区</w:t>
                  </w:r>
                  <w:r>
                    <w:rPr>
                      <w:rFonts w:hint="eastAsia" w:ascii="Times New Roman" w:hAnsi="Times New Roman" w:eastAsia="宋体" w:cs="宋体"/>
                      <w:color w:val="auto"/>
                      <w:kern w:val="0"/>
                      <w:sz w:val="18"/>
                      <w:szCs w:val="18"/>
                      <w:highlight w:val="none"/>
                      <w:vertAlign w:val="baseline"/>
                      <w:lang w:eastAsia="zh-CN"/>
                    </w:rPr>
                    <w:t>。</w:t>
                  </w:r>
                </w:p>
              </w:tc>
              <w:tc>
                <w:tcPr>
                  <w:tcW w:w="78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宋体"/>
                      <w:color w:val="auto"/>
                      <w:kern w:val="0"/>
                      <w:sz w:val="18"/>
                      <w:szCs w:val="18"/>
                      <w:highlight w:val="none"/>
                      <w:vertAlign w:val="baseline"/>
                      <w:lang w:eastAsia="zh-CN"/>
                    </w:rPr>
                  </w:pPr>
                  <w:r>
                    <w:rPr>
                      <w:rFonts w:hint="eastAsia" w:ascii="Times New Roman" w:hAnsi="Times New Roman" w:eastAsia="宋体" w:cs="宋体"/>
                      <w:color w:val="auto"/>
                      <w:kern w:val="0"/>
                      <w:sz w:val="18"/>
                      <w:szCs w:val="18"/>
                      <w:highlight w:val="none"/>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宋体"/>
                      <w:color w:val="auto"/>
                      <w:kern w:val="0"/>
                      <w:sz w:val="18"/>
                      <w:szCs w:val="18"/>
                      <w:highlight w:val="none"/>
                      <w:vertAlign w:val="baseline"/>
                      <w:lang w:val="en-US" w:eastAsia="zh-CN"/>
                    </w:rPr>
                  </w:pPr>
                  <w:r>
                    <w:rPr>
                      <w:rFonts w:hint="eastAsia" w:ascii="Times New Roman" w:hAnsi="Times New Roman" w:eastAsia="宋体" w:cs="宋体"/>
                      <w:color w:val="auto"/>
                      <w:kern w:val="0"/>
                      <w:sz w:val="18"/>
                      <w:szCs w:val="18"/>
                      <w:highlight w:val="none"/>
                      <w:vertAlign w:val="baseline"/>
                      <w:lang w:val="en-US" w:eastAsia="zh-CN"/>
                    </w:rPr>
                    <w:t>3</w:t>
                  </w:r>
                </w:p>
              </w:tc>
              <w:tc>
                <w:tcPr>
                  <w:tcW w:w="3513"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Times New Roman" w:hAnsi="Times New Roman" w:eastAsia="宋体" w:cs="宋体"/>
                      <w:color w:val="auto"/>
                      <w:kern w:val="0"/>
                      <w:sz w:val="18"/>
                      <w:szCs w:val="18"/>
                      <w:highlight w:val="none"/>
                      <w:vertAlign w:val="baseline"/>
                      <w:lang w:eastAsia="zh-CN"/>
                    </w:rPr>
                  </w:pPr>
                  <w:r>
                    <w:rPr>
                      <w:rFonts w:hint="default" w:ascii="Times New Roman" w:hAnsi="Times New Roman" w:eastAsia="宋体" w:cs="宋体"/>
                      <w:color w:val="auto"/>
                      <w:kern w:val="0"/>
                      <w:sz w:val="18"/>
                      <w:szCs w:val="18"/>
                      <w:highlight w:val="none"/>
                      <w:vertAlign w:val="baseline"/>
                      <w:lang w:val="en-US" w:eastAsia="zh-CN" w:bidi="ar-SA"/>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r>
                    <w:rPr>
                      <w:rFonts w:hint="eastAsia" w:ascii="Times New Roman" w:hAnsi="Times New Roman" w:eastAsia="宋体" w:cs="宋体"/>
                      <w:color w:val="auto"/>
                      <w:kern w:val="0"/>
                      <w:sz w:val="18"/>
                      <w:szCs w:val="18"/>
                      <w:highlight w:val="none"/>
                      <w:vertAlign w:val="baseline"/>
                      <w:lang w:val="en-US" w:eastAsia="zh-CN" w:bidi="ar-SA"/>
                    </w:rPr>
                    <w:t>。</w:t>
                  </w:r>
                </w:p>
              </w:tc>
              <w:tc>
                <w:tcPr>
                  <w:tcW w:w="192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imes New Roman" w:hAnsi="Times New Roman" w:eastAsia="宋体" w:cs="宋体"/>
                      <w:color w:val="auto"/>
                      <w:kern w:val="0"/>
                      <w:sz w:val="18"/>
                      <w:szCs w:val="18"/>
                      <w:highlight w:val="none"/>
                      <w:vertAlign w:val="baseline"/>
                      <w:lang w:eastAsia="zh-CN"/>
                    </w:rPr>
                  </w:pPr>
                  <w:r>
                    <w:rPr>
                      <w:rFonts w:hint="eastAsia" w:ascii="Times New Roman" w:hAnsi="Times New Roman" w:eastAsia="宋体" w:cs="宋体"/>
                      <w:color w:val="auto"/>
                      <w:kern w:val="0"/>
                      <w:sz w:val="18"/>
                      <w:szCs w:val="18"/>
                      <w:highlight w:val="none"/>
                      <w:vertAlign w:val="baseline"/>
                      <w:lang w:eastAsia="zh-CN"/>
                    </w:rPr>
                    <w:t>本项目不在饮用水水源一级保护区和二级保护区岸线和河段范围内。</w:t>
                  </w:r>
                </w:p>
              </w:tc>
              <w:tc>
                <w:tcPr>
                  <w:tcW w:w="78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宋体"/>
                      <w:color w:val="auto"/>
                      <w:kern w:val="0"/>
                      <w:sz w:val="18"/>
                      <w:szCs w:val="18"/>
                      <w:highlight w:val="none"/>
                      <w:vertAlign w:val="baseline"/>
                      <w:lang w:eastAsia="zh-CN"/>
                    </w:rPr>
                  </w:pPr>
                  <w:r>
                    <w:rPr>
                      <w:rFonts w:hint="eastAsia" w:ascii="Times New Roman" w:hAnsi="Times New Roman" w:eastAsia="宋体" w:cs="宋体"/>
                      <w:color w:val="auto"/>
                      <w:kern w:val="0"/>
                      <w:sz w:val="18"/>
                      <w:szCs w:val="18"/>
                      <w:highlight w:val="none"/>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宋体"/>
                      <w:color w:val="auto"/>
                      <w:kern w:val="0"/>
                      <w:sz w:val="18"/>
                      <w:szCs w:val="18"/>
                      <w:highlight w:val="none"/>
                      <w:vertAlign w:val="baseline"/>
                      <w:lang w:val="en-US" w:eastAsia="zh-CN"/>
                    </w:rPr>
                  </w:pPr>
                  <w:r>
                    <w:rPr>
                      <w:rFonts w:hint="eastAsia" w:ascii="Times New Roman" w:hAnsi="Times New Roman" w:eastAsia="宋体" w:cs="宋体"/>
                      <w:color w:val="auto"/>
                      <w:kern w:val="0"/>
                      <w:sz w:val="18"/>
                      <w:szCs w:val="18"/>
                      <w:highlight w:val="none"/>
                      <w:vertAlign w:val="baseline"/>
                      <w:lang w:val="en-US" w:eastAsia="zh-CN"/>
                    </w:rPr>
                    <w:t>4</w:t>
                  </w:r>
                </w:p>
              </w:tc>
              <w:tc>
                <w:tcPr>
                  <w:tcW w:w="3513"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Times New Roman" w:hAnsi="Times New Roman" w:eastAsia="宋体" w:cs="宋体"/>
                      <w:color w:val="auto"/>
                      <w:kern w:val="0"/>
                      <w:sz w:val="18"/>
                      <w:szCs w:val="18"/>
                      <w:highlight w:val="none"/>
                      <w:vertAlign w:val="baseline"/>
                      <w:lang w:eastAsia="zh-CN"/>
                    </w:rPr>
                  </w:pPr>
                  <w:r>
                    <w:rPr>
                      <w:rFonts w:hint="default" w:ascii="Times New Roman" w:hAnsi="Times New Roman" w:eastAsia="宋体" w:cs="宋体"/>
                      <w:color w:val="auto"/>
                      <w:kern w:val="0"/>
                      <w:sz w:val="18"/>
                      <w:szCs w:val="18"/>
                      <w:highlight w:val="none"/>
                      <w:vertAlign w:val="baseline"/>
                      <w:lang w:val="en-US" w:eastAsia="zh-CN" w:bidi="ar-SA"/>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92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imes New Roman" w:hAnsi="Times New Roman" w:eastAsia="宋体" w:cs="宋体"/>
                      <w:color w:val="auto"/>
                      <w:kern w:val="0"/>
                      <w:sz w:val="18"/>
                      <w:szCs w:val="18"/>
                      <w:highlight w:val="none"/>
                      <w:vertAlign w:val="baseline"/>
                      <w:lang w:eastAsia="zh-CN"/>
                    </w:rPr>
                  </w:pPr>
                  <w:r>
                    <w:rPr>
                      <w:rFonts w:hint="eastAsia" w:ascii="Times New Roman" w:hAnsi="Times New Roman" w:eastAsia="宋体" w:cs="宋体"/>
                      <w:color w:val="auto"/>
                      <w:kern w:val="0"/>
                      <w:sz w:val="18"/>
                      <w:szCs w:val="18"/>
                      <w:highlight w:val="none"/>
                      <w:vertAlign w:val="baseline"/>
                      <w:lang w:eastAsia="zh-CN"/>
                    </w:rPr>
                    <w:t>本项目不在水产种质资源保护区的岸线和河段范围、</w:t>
                  </w:r>
                  <w:r>
                    <w:rPr>
                      <w:rFonts w:hint="default" w:ascii="Times New Roman" w:hAnsi="Times New Roman" w:eastAsia="宋体" w:cs="宋体"/>
                      <w:color w:val="auto"/>
                      <w:kern w:val="0"/>
                      <w:sz w:val="18"/>
                      <w:szCs w:val="18"/>
                      <w:highlight w:val="none"/>
                      <w:vertAlign w:val="baseline"/>
                      <w:lang w:val="en-US" w:eastAsia="zh-CN" w:bidi="ar-SA"/>
                    </w:rPr>
                    <w:t>国家湿地公园的岸线和河段</w:t>
                  </w:r>
                  <w:r>
                    <w:rPr>
                      <w:rFonts w:hint="eastAsia" w:ascii="Times New Roman" w:hAnsi="Times New Roman" w:eastAsia="宋体" w:cs="宋体"/>
                      <w:color w:val="auto"/>
                      <w:kern w:val="0"/>
                      <w:sz w:val="18"/>
                      <w:szCs w:val="18"/>
                      <w:highlight w:val="none"/>
                      <w:vertAlign w:val="baseline"/>
                      <w:lang w:val="en-US" w:eastAsia="zh-CN" w:bidi="ar-SA"/>
                    </w:rPr>
                    <w:t>内</w:t>
                  </w:r>
                  <w:r>
                    <w:rPr>
                      <w:rFonts w:hint="eastAsia" w:ascii="Times New Roman" w:hAnsi="Times New Roman" w:eastAsia="宋体" w:cs="宋体"/>
                      <w:color w:val="auto"/>
                      <w:kern w:val="0"/>
                      <w:sz w:val="18"/>
                      <w:szCs w:val="18"/>
                      <w:highlight w:val="none"/>
                      <w:vertAlign w:val="baseline"/>
                      <w:lang w:eastAsia="zh-CN"/>
                    </w:rPr>
                    <w:t>。</w:t>
                  </w:r>
                </w:p>
              </w:tc>
              <w:tc>
                <w:tcPr>
                  <w:tcW w:w="78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宋体"/>
                      <w:color w:val="auto"/>
                      <w:kern w:val="0"/>
                      <w:sz w:val="18"/>
                      <w:szCs w:val="18"/>
                      <w:highlight w:val="none"/>
                      <w:vertAlign w:val="baseline"/>
                      <w:lang w:eastAsia="zh-CN"/>
                    </w:rPr>
                  </w:pPr>
                  <w:r>
                    <w:rPr>
                      <w:rFonts w:hint="eastAsia" w:ascii="Times New Roman" w:hAnsi="Times New Roman" w:eastAsia="宋体" w:cs="宋体"/>
                      <w:color w:val="auto"/>
                      <w:kern w:val="0"/>
                      <w:sz w:val="18"/>
                      <w:szCs w:val="18"/>
                      <w:highlight w:val="none"/>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宋体"/>
                      <w:color w:val="auto"/>
                      <w:kern w:val="0"/>
                      <w:sz w:val="18"/>
                      <w:szCs w:val="18"/>
                      <w:highlight w:val="none"/>
                      <w:vertAlign w:val="baseline"/>
                      <w:lang w:val="en-US" w:eastAsia="zh-CN"/>
                    </w:rPr>
                  </w:pPr>
                  <w:r>
                    <w:rPr>
                      <w:rFonts w:hint="eastAsia" w:ascii="Times New Roman" w:hAnsi="Times New Roman" w:eastAsia="宋体" w:cs="宋体"/>
                      <w:color w:val="auto"/>
                      <w:kern w:val="0"/>
                      <w:sz w:val="18"/>
                      <w:szCs w:val="18"/>
                      <w:highlight w:val="none"/>
                      <w:vertAlign w:val="baseline"/>
                      <w:lang w:val="en-US" w:eastAsia="zh-CN"/>
                    </w:rPr>
                    <w:t>5</w:t>
                  </w:r>
                </w:p>
              </w:tc>
              <w:tc>
                <w:tcPr>
                  <w:tcW w:w="3513"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Times New Roman" w:hAnsi="Times New Roman" w:eastAsia="宋体" w:cs="宋体"/>
                      <w:color w:val="auto"/>
                      <w:kern w:val="0"/>
                      <w:sz w:val="18"/>
                      <w:szCs w:val="18"/>
                      <w:highlight w:val="none"/>
                      <w:vertAlign w:val="baseline"/>
                      <w:lang w:eastAsia="zh-CN"/>
                    </w:rPr>
                  </w:pPr>
                  <w:r>
                    <w:rPr>
                      <w:rFonts w:hint="default" w:ascii="Times New Roman" w:hAnsi="Times New Roman" w:eastAsia="宋体" w:cs="宋体"/>
                      <w:color w:val="auto"/>
                      <w:kern w:val="0"/>
                      <w:sz w:val="18"/>
                      <w:szCs w:val="18"/>
                      <w:highlight w:val="none"/>
                      <w:vertAlign w:val="baseline"/>
                      <w:lang w:val="en-US" w:eastAsia="zh-CN" w:bidi="ar-SA"/>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92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imes New Roman" w:hAnsi="Times New Roman" w:eastAsia="宋体" w:cs="宋体"/>
                      <w:color w:val="auto"/>
                      <w:kern w:val="0"/>
                      <w:sz w:val="18"/>
                      <w:szCs w:val="18"/>
                      <w:highlight w:val="none"/>
                      <w:vertAlign w:val="baseline"/>
                      <w:lang w:eastAsia="zh-CN"/>
                    </w:rPr>
                  </w:pPr>
                  <w:r>
                    <w:rPr>
                      <w:rFonts w:hint="eastAsia" w:ascii="Times New Roman" w:hAnsi="Times New Roman" w:eastAsia="宋体" w:cs="宋体"/>
                      <w:color w:val="auto"/>
                      <w:kern w:val="0"/>
                      <w:sz w:val="18"/>
                      <w:szCs w:val="18"/>
                      <w:highlight w:val="none"/>
                      <w:vertAlign w:val="baseline"/>
                      <w:lang w:eastAsia="zh-CN"/>
                    </w:rPr>
                    <w:t>本项目属于</w:t>
                  </w:r>
                  <w:r>
                    <w:rPr>
                      <w:rFonts w:hint="eastAsia" w:ascii="Times New Roman" w:hAnsi="Times New Roman" w:eastAsia="宋体" w:cs="宋体"/>
                      <w:color w:val="auto"/>
                      <w:kern w:val="0"/>
                      <w:sz w:val="18"/>
                      <w:szCs w:val="18"/>
                      <w:highlight w:val="none"/>
                      <w:vertAlign w:val="baseline"/>
                      <w:lang w:val="en-US" w:eastAsia="zh-CN"/>
                    </w:rPr>
                    <w:t>水库</w:t>
                  </w:r>
                  <w:r>
                    <w:rPr>
                      <w:rFonts w:hint="eastAsia" w:ascii="Times New Roman" w:hAnsi="Times New Roman" w:eastAsia="宋体" w:cs="宋体"/>
                      <w:color w:val="auto"/>
                      <w:kern w:val="0"/>
                      <w:sz w:val="18"/>
                      <w:szCs w:val="18"/>
                      <w:highlight w:val="none"/>
                      <w:vertAlign w:val="baseline"/>
                      <w:lang w:eastAsia="zh-CN"/>
                    </w:rPr>
                    <w:t>项目，不违法利用、占用长江流域河湖岸线，有利于自然生态保护。</w:t>
                  </w:r>
                </w:p>
              </w:tc>
              <w:tc>
                <w:tcPr>
                  <w:tcW w:w="78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宋体"/>
                      <w:color w:val="auto"/>
                      <w:kern w:val="0"/>
                      <w:sz w:val="18"/>
                      <w:szCs w:val="18"/>
                      <w:highlight w:val="none"/>
                      <w:vertAlign w:val="baseline"/>
                      <w:lang w:eastAsia="zh-CN"/>
                    </w:rPr>
                  </w:pPr>
                  <w:r>
                    <w:rPr>
                      <w:rFonts w:hint="eastAsia" w:ascii="Times New Roman" w:hAnsi="Times New Roman" w:eastAsia="宋体" w:cs="宋体"/>
                      <w:color w:val="auto"/>
                      <w:kern w:val="0"/>
                      <w:sz w:val="18"/>
                      <w:szCs w:val="18"/>
                      <w:highlight w:val="none"/>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宋体"/>
                      <w:color w:val="auto"/>
                      <w:kern w:val="0"/>
                      <w:sz w:val="18"/>
                      <w:szCs w:val="18"/>
                      <w:highlight w:val="none"/>
                      <w:vertAlign w:val="baseline"/>
                      <w:lang w:val="en-US" w:eastAsia="zh-CN"/>
                    </w:rPr>
                  </w:pPr>
                  <w:r>
                    <w:rPr>
                      <w:rFonts w:hint="eastAsia" w:ascii="Times New Roman" w:hAnsi="Times New Roman" w:eastAsia="宋体" w:cs="宋体"/>
                      <w:color w:val="auto"/>
                      <w:kern w:val="0"/>
                      <w:sz w:val="18"/>
                      <w:szCs w:val="18"/>
                      <w:highlight w:val="none"/>
                      <w:vertAlign w:val="baseline"/>
                      <w:lang w:val="en-US" w:eastAsia="zh-CN"/>
                    </w:rPr>
                    <w:t>6</w:t>
                  </w:r>
                </w:p>
              </w:tc>
              <w:tc>
                <w:tcPr>
                  <w:tcW w:w="3513"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Times New Roman" w:hAnsi="Times New Roman" w:eastAsia="宋体" w:cs="宋体"/>
                      <w:color w:val="auto"/>
                      <w:kern w:val="0"/>
                      <w:sz w:val="18"/>
                      <w:szCs w:val="18"/>
                      <w:highlight w:val="none"/>
                      <w:vertAlign w:val="baseline"/>
                      <w:lang w:eastAsia="zh-CN"/>
                    </w:rPr>
                  </w:pPr>
                  <w:r>
                    <w:rPr>
                      <w:rFonts w:hint="default" w:ascii="Times New Roman" w:hAnsi="Times New Roman" w:eastAsia="宋体" w:cs="宋体"/>
                      <w:color w:val="auto"/>
                      <w:kern w:val="0"/>
                      <w:sz w:val="18"/>
                      <w:szCs w:val="18"/>
                      <w:highlight w:val="none"/>
                      <w:vertAlign w:val="baseline"/>
                      <w:lang w:val="en-US" w:eastAsia="zh-CN" w:bidi="ar-SA"/>
                    </w:rPr>
                    <w:t>禁止未经许可在长江干支流及湖泊新设、改设或扩大排污</w:t>
                  </w:r>
                  <w:r>
                    <w:rPr>
                      <w:rFonts w:hint="eastAsia" w:ascii="Times New Roman" w:hAnsi="Times New Roman" w:eastAsia="宋体" w:cs="宋体"/>
                      <w:color w:val="auto"/>
                      <w:kern w:val="0"/>
                      <w:sz w:val="18"/>
                      <w:szCs w:val="18"/>
                      <w:highlight w:val="none"/>
                      <w:vertAlign w:val="baseline"/>
                      <w:lang w:val="en-US" w:eastAsia="zh-CN" w:bidi="ar-SA"/>
                    </w:rPr>
                    <w:t>口。</w:t>
                  </w:r>
                </w:p>
              </w:tc>
              <w:tc>
                <w:tcPr>
                  <w:tcW w:w="192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imes New Roman" w:hAnsi="Times New Roman" w:eastAsia="宋体" w:cs="宋体"/>
                      <w:color w:val="auto"/>
                      <w:kern w:val="0"/>
                      <w:sz w:val="18"/>
                      <w:szCs w:val="18"/>
                      <w:highlight w:val="none"/>
                      <w:vertAlign w:val="baseline"/>
                      <w:lang w:eastAsia="zh-CN"/>
                    </w:rPr>
                  </w:pPr>
                  <w:r>
                    <w:rPr>
                      <w:rFonts w:hint="eastAsia" w:ascii="Times New Roman" w:hAnsi="Times New Roman" w:eastAsia="宋体" w:cs="宋体"/>
                      <w:color w:val="auto"/>
                      <w:kern w:val="0"/>
                      <w:sz w:val="18"/>
                      <w:szCs w:val="18"/>
                      <w:highlight w:val="none"/>
                      <w:vertAlign w:val="baseline"/>
                      <w:lang w:eastAsia="zh-CN"/>
                    </w:rPr>
                    <w:t>本项目不在长江干支流及湖泊建设排污口。</w:t>
                  </w:r>
                </w:p>
              </w:tc>
              <w:tc>
                <w:tcPr>
                  <w:tcW w:w="78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宋体"/>
                      <w:color w:val="auto"/>
                      <w:kern w:val="0"/>
                      <w:sz w:val="18"/>
                      <w:szCs w:val="18"/>
                      <w:highlight w:val="none"/>
                      <w:vertAlign w:val="baseline"/>
                      <w:lang w:eastAsia="zh-CN"/>
                    </w:rPr>
                  </w:pPr>
                  <w:r>
                    <w:rPr>
                      <w:rFonts w:hint="eastAsia" w:ascii="Times New Roman" w:hAnsi="Times New Roman" w:eastAsia="宋体" w:cs="宋体"/>
                      <w:color w:val="auto"/>
                      <w:kern w:val="0"/>
                      <w:sz w:val="18"/>
                      <w:szCs w:val="18"/>
                      <w:highlight w:val="none"/>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宋体"/>
                      <w:color w:val="auto"/>
                      <w:kern w:val="0"/>
                      <w:sz w:val="18"/>
                      <w:szCs w:val="18"/>
                      <w:highlight w:val="none"/>
                      <w:vertAlign w:val="baseline"/>
                      <w:lang w:val="en-US" w:eastAsia="zh-CN"/>
                    </w:rPr>
                  </w:pPr>
                  <w:r>
                    <w:rPr>
                      <w:rFonts w:hint="eastAsia" w:ascii="Times New Roman" w:hAnsi="Times New Roman" w:eastAsia="宋体" w:cs="宋体"/>
                      <w:color w:val="auto"/>
                      <w:kern w:val="0"/>
                      <w:sz w:val="18"/>
                      <w:szCs w:val="18"/>
                      <w:highlight w:val="none"/>
                      <w:vertAlign w:val="baseline"/>
                      <w:lang w:val="en-US" w:eastAsia="zh-CN"/>
                    </w:rPr>
                    <w:t>7</w:t>
                  </w:r>
                </w:p>
              </w:tc>
              <w:tc>
                <w:tcPr>
                  <w:tcW w:w="3513"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Times New Roman" w:hAnsi="Times New Roman" w:eastAsia="宋体" w:cs="宋体"/>
                      <w:color w:val="auto"/>
                      <w:kern w:val="0"/>
                      <w:sz w:val="18"/>
                      <w:szCs w:val="18"/>
                      <w:highlight w:val="none"/>
                      <w:vertAlign w:val="baseline"/>
                      <w:lang w:eastAsia="zh-CN"/>
                    </w:rPr>
                  </w:pPr>
                  <w:r>
                    <w:rPr>
                      <w:rFonts w:hint="default" w:ascii="Times New Roman" w:hAnsi="Times New Roman" w:eastAsia="宋体" w:cs="宋体"/>
                      <w:color w:val="auto"/>
                      <w:kern w:val="0"/>
                      <w:sz w:val="18"/>
                      <w:szCs w:val="18"/>
                      <w:highlight w:val="none"/>
                      <w:vertAlign w:val="baseline"/>
                      <w:lang w:val="en-US" w:eastAsia="zh-CN" w:bidi="ar-SA"/>
                    </w:rPr>
                    <w:t>禁止在</w:t>
                  </w:r>
                  <w:r>
                    <w:rPr>
                      <w:rFonts w:hint="eastAsia" w:ascii="Times New Roman" w:hAnsi="Times New Roman" w:eastAsia="宋体" w:cs="宋体"/>
                      <w:color w:val="auto"/>
                      <w:kern w:val="0"/>
                      <w:sz w:val="18"/>
                      <w:szCs w:val="18"/>
                      <w:highlight w:val="none"/>
                      <w:vertAlign w:val="baseline"/>
                      <w:lang w:val="en-US" w:eastAsia="zh-CN" w:bidi="ar-SA"/>
                    </w:rPr>
                    <w:t>“</w:t>
                  </w:r>
                  <w:r>
                    <w:rPr>
                      <w:rFonts w:hint="default" w:ascii="Times New Roman" w:hAnsi="Times New Roman" w:eastAsia="宋体" w:cs="宋体"/>
                      <w:color w:val="auto"/>
                      <w:kern w:val="0"/>
                      <w:sz w:val="18"/>
                      <w:szCs w:val="18"/>
                      <w:highlight w:val="none"/>
                      <w:vertAlign w:val="baseline"/>
                      <w:lang w:val="en-US" w:eastAsia="zh-CN" w:bidi="ar-SA"/>
                    </w:rPr>
                    <w:t>一江一口两湖七河</w:t>
                  </w:r>
                  <w:r>
                    <w:rPr>
                      <w:rFonts w:hint="eastAsia" w:ascii="Times New Roman" w:hAnsi="Times New Roman" w:eastAsia="宋体" w:cs="宋体"/>
                      <w:color w:val="auto"/>
                      <w:kern w:val="0"/>
                      <w:sz w:val="18"/>
                      <w:szCs w:val="18"/>
                      <w:highlight w:val="none"/>
                      <w:vertAlign w:val="baseline"/>
                      <w:lang w:val="en-US" w:eastAsia="zh-CN" w:bidi="ar-SA"/>
                    </w:rPr>
                    <w:t>”</w:t>
                  </w:r>
                  <w:r>
                    <w:rPr>
                      <w:rFonts w:hint="default" w:ascii="Times New Roman" w:hAnsi="Times New Roman" w:eastAsia="宋体" w:cs="宋体"/>
                      <w:color w:val="auto"/>
                      <w:kern w:val="0"/>
                      <w:sz w:val="18"/>
                      <w:szCs w:val="18"/>
                      <w:highlight w:val="none"/>
                      <w:vertAlign w:val="baseline"/>
                      <w:lang w:val="en-US" w:eastAsia="zh-CN" w:bidi="ar-SA"/>
                    </w:rPr>
                    <w:t>和332个水生生物保护区开展生产性捕捞。</w:t>
                  </w:r>
                </w:p>
              </w:tc>
              <w:tc>
                <w:tcPr>
                  <w:tcW w:w="192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宋体"/>
                      <w:color w:val="auto"/>
                      <w:kern w:val="0"/>
                      <w:sz w:val="18"/>
                      <w:szCs w:val="18"/>
                      <w:highlight w:val="none"/>
                      <w:vertAlign w:val="baseline"/>
                      <w:lang w:eastAsia="zh-CN"/>
                    </w:rPr>
                  </w:pPr>
                  <w:r>
                    <w:rPr>
                      <w:rFonts w:hint="eastAsia" w:ascii="Times New Roman" w:hAnsi="Times New Roman" w:eastAsia="宋体" w:cs="宋体"/>
                      <w:color w:val="auto"/>
                      <w:kern w:val="0"/>
                      <w:sz w:val="18"/>
                      <w:szCs w:val="18"/>
                      <w:highlight w:val="none"/>
                      <w:vertAlign w:val="baseline"/>
                      <w:lang w:eastAsia="zh-CN"/>
                    </w:rPr>
                    <w:t>本项目不开展</w:t>
                  </w:r>
                  <w:r>
                    <w:rPr>
                      <w:rFonts w:hint="default" w:ascii="Times New Roman" w:hAnsi="Times New Roman" w:eastAsia="宋体" w:cs="宋体"/>
                      <w:color w:val="auto"/>
                      <w:kern w:val="0"/>
                      <w:sz w:val="18"/>
                      <w:szCs w:val="18"/>
                      <w:highlight w:val="none"/>
                      <w:vertAlign w:val="baseline"/>
                      <w:lang w:val="en-US" w:eastAsia="zh-CN" w:bidi="ar-SA"/>
                    </w:rPr>
                    <w:t>捕捞</w:t>
                  </w:r>
                  <w:r>
                    <w:rPr>
                      <w:rFonts w:hint="eastAsia" w:ascii="Times New Roman" w:hAnsi="Times New Roman" w:eastAsia="宋体" w:cs="宋体"/>
                      <w:color w:val="auto"/>
                      <w:kern w:val="0"/>
                      <w:sz w:val="18"/>
                      <w:szCs w:val="18"/>
                      <w:highlight w:val="none"/>
                      <w:vertAlign w:val="baseline"/>
                      <w:lang w:val="en-US" w:eastAsia="zh-CN" w:bidi="ar-SA"/>
                    </w:rPr>
                    <w:t>。</w:t>
                  </w:r>
                </w:p>
              </w:tc>
              <w:tc>
                <w:tcPr>
                  <w:tcW w:w="78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宋体"/>
                      <w:color w:val="auto"/>
                      <w:kern w:val="0"/>
                      <w:sz w:val="18"/>
                      <w:szCs w:val="18"/>
                      <w:highlight w:val="none"/>
                      <w:vertAlign w:val="baseline"/>
                      <w:lang w:eastAsia="zh-CN"/>
                    </w:rPr>
                  </w:pPr>
                  <w:r>
                    <w:rPr>
                      <w:rFonts w:hint="eastAsia" w:ascii="Times New Roman" w:hAnsi="Times New Roman" w:eastAsia="宋体" w:cs="宋体"/>
                      <w:color w:val="auto"/>
                      <w:kern w:val="0"/>
                      <w:sz w:val="18"/>
                      <w:szCs w:val="18"/>
                      <w:highlight w:val="none"/>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宋体"/>
                      <w:color w:val="auto"/>
                      <w:kern w:val="0"/>
                      <w:sz w:val="18"/>
                      <w:szCs w:val="18"/>
                      <w:highlight w:val="none"/>
                      <w:vertAlign w:val="baseline"/>
                      <w:lang w:val="en-US" w:eastAsia="zh-CN"/>
                    </w:rPr>
                  </w:pPr>
                  <w:r>
                    <w:rPr>
                      <w:rFonts w:hint="eastAsia" w:ascii="Times New Roman" w:hAnsi="Times New Roman" w:eastAsia="宋体" w:cs="宋体"/>
                      <w:color w:val="auto"/>
                      <w:kern w:val="0"/>
                      <w:sz w:val="18"/>
                      <w:szCs w:val="18"/>
                      <w:highlight w:val="none"/>
                      <w:vertAlign w:val="baseline"/>
                      <w:lang w:val="en-US" w:eastAsia="zh-CN"/>
                    </w:rPr>
                    <w:t>8</w:t>
                  </w:r>
                </w:p>
              </w:tc>
              <w:tc>
                <w:tcPr>
                  <w:tcW w:w="3513"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Times New Roman" w:hAnsi="Times New Roman" w:eastAsia="宋体" w:cs="宋体"/>
                      <w:color w:val="auto"/>
                      <w:kern w:val="0"/>
                      <w:sz w:val="18"/>
                      <w:szCs w:val="18"/>
                      <w:highlight w:val="none"/>
                      <w:vertAlign w:val="baseline"/>
                      <w:lang w:eastAsia="zh-CN"/>
                    </w:rPr>
                  </w:pPr>
                  <w:r>
                    <w:rPr>
                      <w:rFonts w:hint="default" w:ascii="Times New Roman" w:hAnsi="Times New Roman" w:eastAsia="宋体" w:cs="宋体"/>
                      <w:color w:val="auto"/>
                      <w:kern w:val="0"/>
                      <w:sz w:val="18"/>
                      <w:szCs w:val="18"/>
                      <w:highlight w:val="none"/>
                      <w:vertAlign w:val="baseline"/>
                      <w:lang w:val="en-US" w:eastAsia="zh-CN" w:bidi="ar-SA"/>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92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imes New Roman" w:hAnsi="Times New Roman" w:eastAsia="宋体" w:cs="宋体"/>
                      <w:color w:val="auto"/>
                      <w:kern w:val="0"/>
                      <w:sz w:val="18"/>
                      <w:szCs w:val="18"/>
                      <w:highlight w:val="none"/>
                      <w:vertAlign w:val="baseline"/>
                      <w:lang w:eastAsia="zh-CN"/>
                    </w:rPr>
                  </w:pPr>
                  <w:r>
                    <w:rPr>
                      <w:rFonts w:hint="eastAsia" w:ascii="Times New Roman" w:hAnsi="Times New Roman" w:eastAsia="宋体" w:cs="宋体"/>
                      <w:color w:val="auto"/>
                      <w:kern w:val="0"/>
                      <w:sz w:val="18"/>
                      <w:szCs w:val="18"/>
                      <w:highlight w:val="none"/>
                      <w:vertAlign w:val="baseline"/>
                      <w:lang w:eastAsia="zh-CN"/>
                    </w:rPr>
                    <w:t>本项目属于</w:t>
                  </w:r>
                  <w:r>
                    <w:rPr>
                      <w:rFonts w:hint="eastAsia" w:ascii="Times New Roman" w:hAnsi="Times New Roman" w:eastAsia="宋体" w:cs="宋体"/>
                      <w:color w:val="auto"/>
                      <w:kern w:val="0"/>
                      <w:sz w:val="18"/>
                      <w:szCs w:val="18"/>
                      <w:highlight w:val="none"/>
                      <w:vertAlign w:val="baseline"/>
                      <w:lang w:val="en-US" w:eastAsia="zh-CN"/>
                    </w:rPr>
                    <w:t>水库</w:t>
                  </w:r>
                  <w:r>
                    <w:rPr>
                      <w:rFonts w:hint="eastAsia" w:ascii="Times New Roman" w:hAnsi="Times New Roman" w:eastAsia="宋体" w:cs="宋体"/>
                      <w:color w:val="auto"/>
                      <w:kern w:val="0"/>
                      <w:sz w:val="18"/>
                      <w:szCs w:val="18"/>
                      <w:highlight w:val="none"/>
                      <w:vertAlign w:val="baseline"/>
                      <w:lang w:eastAsia="zh-CN"/>
                    </w:rPr>
                    <w:t>项目，不属于化工园区和化工项目，也不属于</w:t>
                  </w:r>
                  <w:r>
                    <w:rPr>
                      <w:rFonts w:hint="eastAsia" w:ascii="Times New Roman" w:hAnsi="Times New Roman" w:eastAsia="宋体" w:cs="宋体"/>
                      <w:color w:val="auto"/>
                      <w:kern w:val="0"/>
                      <w:sz w:val="18"/>
                      <w:szCs w:val="18"/>
                      <w:highlight w:val="none"/>
                      <w:vertAlign w:val="baseline"/>
                      <w:lang w:val="en-US" w:eastAsia="zh-CN"/>
                    </w:rPr>
                    <w:t>尾矿库、冶炼渣库和磷石膏库项目</w:t>
                  </w:r>
                  <w:r>
                    <w:rPr>
                      <w:rFonts w:hint="eastAsia" w:ascii="Times New Roman" w:hAnsi="Times New Roman" w:eastAsia="宋体" w:cs="宋体"/>
                      <w:color w:val="auto"/>
                      <w:kern w:val="0"/>
                      <w:sz w:val="18"/>
                      <w:szCs w:val="18"/>
                      <w:highlight w:val="none"/>
                      <w:vertAlign w:val="baseline"/>
                      <w:lang w:eastAsia="zh-CN"/>
                    </w:rPr>
                    <w:t>。</w:t>
                  </w:r>
                </w:p>
              </w:tc>
              <w:tc>
                <w:tcPr>
                  <w:tcW w:w="78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宋体"/>
                      <w:color w:val="auto"/>
                      <w:kern w:val="0"/>
                      <w:sz w:val="18"/>
                      <w:szCs w:val="18"/>
                      <w:highlight w:val="none"/>
                      <w:vertAlign w:val="baseline"/>
                      <w:lang w:eastAsia="zh-CN"/>
                    </w:rPr>
                  </w:pPr>
                  <w:r>
                    <w:rPr>
                      <w:rFonts w:hint="eastAsia" w:ascii="Times New Roman" w:hAnsi="Times New Roman" w:eastAsia="宋体" w:cs="宋体"/>
                      <w:color w:val="auto"/>
                      <w:kern w:val="0"/>
                      <w:sz w:val="18"/>
                      <w:szCs w:val="18"/>
                      <w:highlight w:val="none"/>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宋体"/>
                      <w:color w:val="auto"/>
                      <w:kern w:val="0"/>
                      <w:sz w:val="18"/>
                      <w:szCs w:val="18"/>
                      <w:highlight w:val="none"/>
                      <w:vertAlign w:val="baseline"/>
                      <w:lang w:val="en-US" w:eastAsia="zh-CN"/>
                    </w:rPr>
                  </w:pPr>
                  <w:r>
                    <w:rPr>
                      <w:rFonts w:hint="eastAsia" w:ascii="Times New Roman" w:hAnsi="Times New Roman" w:eastAsia="宋体" w:cs="宋体"/>
                      <w:color w:val="auto"/>
                      <w:kern w:val="0"/>
                      <w:sz w:val="18"/>
                      <w:szCs w:val="18"/>
                      <w:highlight w:val="none"/>
                      <w:vertAlign w:val="baseline"/>
                      <w:lang w:val="en-US" w:eastAsia="zh-CN"/>
                    </w:rPr>
                    <w:t>9</w:t>
                  </w:r>
                </w:p>
              </w:tc>
              <w:tc>
                <w:tcPr>
                  <w:tcW w:w="3513"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Times New Roman" w:hAnsi="Times New Roman" w:eastAsia="宋体" w:cs="宋体"/>
                      <w:color w:val="auto"/>
                      <w:kern w:val="0"/>
                      <w:sz w:val="18"/>
                      <w:szCs w:val="18"/>
                      <w:highlight w:val="none"/>
                      <w:vertAlign w:val="baseline"/>
                      <w:lang w:eastAsia="zh-CN"/>
                    </w:rPr>
                  </w:pPr>
                  <w:r>
                    <w:rPr>
                      <w:rFonts w:hint="default" w:ascii="Times New Roman" w:hAnsi="Times New Roman" w:eastAsia="宋体" w:cs="宋体"/>
                      <w:color w:val="auto"/>
                      <w:kern w:val="0"/>
                      <w:sz w:val="18"/>
                      <w:szCs w:val="18"/>
                      <w:highlight w:val="none"/>
                      <w:vertAlign w:val="baseline"/>
                      <w:lang w:val="en-US" w:eastAsia="zh-CN" w:bidi="ar-SA"/>
                    </w:rPr>
                    <w:t>禁止在合规园区外新建、扩建钢铁、石化、化工、焦化、建材、有色、制浆造纸等高污染项目。</w:t>
                  </w:r>
                </w:p>
              </w:tc>
              <w:tc>
                <w:tcPr>
                  <w:tcW w:w="192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imes New Roman" w:hAnsi="Times New Roman" w:eastAsia="宋体" w:cs="宋体"/>
                      <w:color w:val="auto"/>
                      <w:kern w:val="0"/>
                      <w:sz w:val="18"/>
                      <w:szCs w:val="18"/>
                      <w:highlight w:val="none"/>
                      <w:vertAlign w:val="baseline"/>
                      <w:lang w:eastAsia="zh-CN"/>
                    </w:rPr>
                  </w:pPr>
                  <w:r>
                    <w:rPr>
                      <w:rFonts w:hint="eastAsia" w:ascii="Times New Roman" w:hAnsi="Times New Roman" w:eastAsia="宋体" w:cs="宋体"/>
                      <w:color w:val="auto"/>
                      <w:kern w:val="0"/>
                      <w:sz w:val="18"/>
                      <w:szCs w:val="18"/>
                      <w:highlight w:val="none"/>
                      <w:vertAlign w:val="baseline"/>
                      <w:lang w:eastAsia="zh-CN"/>
                    </w:rPr>
                    <w:t>本项目属于</w:t>
                  </w:r>
                  <w:r>
                    <w:rPr>
                      <w:rFonts w:hint="eastAsia" w:ascii="Times New Roman" w:hAnsi="Times New Roman" w:eastAsia="宋体" w:cs="宋体"/>
                      <w:color w:val="auto"/>
                      <w:kern w:val="0"/>
                      <w:sz w:val="18"/>
                      <w:szCs w:val="18"/>
                      <w:highlight w:val="none"/>
                      <w:vertAlign w:val="baseline"/>
                      <w:lang w:val="en-US" w:eastAsia="zh-CN"/>
                    </w:rPr>
                    <w:t>水库</w:t>
                  </w:r>
                  <w:r>
                    <w:rPr>
                      <w:rFonts w:hint="eastAsia" w:ascii="Times New Roman" w:hAnsi="Times New Roman" w:eastAsia="宋体" w:cs="宋体"/>
                      <w:color w:val="auto"/>
                      <w:kern w:val="0"/>
                      <w:sz w:val="18"/>
                      <w:szCs w:val="18"/>
                      <w:highlight w:val="none"/>
                      <w:vertAlign w:val="baseline"/>
                      <w:lang w:eastAsia="zh-CN"/>
                    </w:rPr>
                    <w:t>项目，不属于高污染项目。</w:t>
                  </w:r>
                </w:p>
              </w:tc>
              <w:tc>
                <w:tcPr>
                  <w:tcW w:w="78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宋体"/>
                      <w:color w:val="auto"/>
                      <w:kern w:val="0"/>
                      <w:sz w:val="18"/>
                      <w:szCs w:val="18"/>
                      <w:highlight w:val="none"/>
                      <w:vertAlign w:val="baseline"/>
                      <w:lang w:eastAsia="zh-CN"/>
                    </w:rPr>
                  </w:pPr>
                  <w:r>
                    <w:rPr>
                      <w:rFonts w:hint="eastAsia" w:ascii="Times New Roman" w:hAnsi="Times New Roman" w:eastAsia="宋体" w:cs="宋体"/>
                      <w:color w:val="auto"/>
                      <w:kern w:val="0"/>
                      <w:sz w:val="18"/>
                      <w:szCs w:val="18"/>
                      <w:highlight w:val="none"/>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宋体"/>
                      <w:color w:val="auto"/>
                      <w:kern w:val="0"/>
                      <w:sz w:val="18"/>
                      <w:szCs w:val="18"/>
                      <w:highlight w:val="none"/>
                      <w:vertAlign w:val="baseline"/>
                      <w:lang w:val="en-US" w:eastAsia="zh-CN"/>
                    </w:rPr>
                  </w:pPr>
                  <w:r>
                    <w:rPr>
                      <w:rFonts w:hint="eastAsia" w:ascii="Times New Roman" w:hAnsi="Times New Roman" w:eastAsia="宋体" w:cs="宋体"/>
                      <w:color w:val="auto"/>
                      <w:kern w:val="0"/>
                      <w:sz w:val="18"/>
                      <w:szCs w:val="18"/>
                      <w:highlight w:val="none"/>
                      <w:vertAlign w:val="baseline"/>
                      <w:lang w:val="en-US" w:eastAsia="zh-CN"/>
                    </w:rPr>
                    <w:t>10</w:t>
                  </w:r>
                </w:p>
              </w:tc>
              <w:tc>
                <w:tcPr>
                  <w:tcW w:w="3513"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Times New Roman" w:hAnsi="Times New Roman" w:eastAsia="宋体" w:cs="宋体"/>
                      <w:color w:val="auto"/>
                      <w:kern w:val="0"/>
                      <w:sz w:val="18"/>
                      <w:szCs w:val="18"/>
                      <w:highlight w:val="none"/>
                      <w:vertAlign w:val="baseline"/>
                      <w:lang w:eastAsia="zh-CN"/>
                    </w:rPr>
                  </w:pPr>
                  <w:r>
                    <w:rPr>
                      <w:rFonts w:hint="default" w:ascii="Times New Roman" w:hAnsi="Times New Roman" w:eastAsia="宋体" w:cs="宋体"/>
                      <w:color w:val="auto"/>
                      <w:kern w:val="0"/>
                      <w:sz w:val="18"/>
                      <w:szCs w:val="18"/>
                      <w:highlight w:val="none"/>
                      <w:vertAlign w:val="baseline"/>
                      <w:lang w:val="en-US" w:eastAsia="zh-CN" w:bidi="ar-SA"/>
                    </w:rPr>
                    <w:t>禁止新建、扩建不符合国家石化、现代煤化工等产业布局规划的项目。</w:t>
                  </w:r>
                </w:p>
              </w:tc>
              <w:tc>
                <w:tcPr>
                  <w:tcW w:w="192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imes New Roman" w:hAnsi="Times New Roman" w:eastAsia="宋体" w:cs="宋体"/>
                      <w:color w:val="auto"/>
                      <w:kern w:val="0"/>
                      <w:sz w:val="18"/>
                      <w:szCs w:val="18"/>
                      <w:highlight w:val="none"/>
                      <w:vertAlign w:val="baseline"/>
                      <w:lang w:eastAsia="zh-CN"/>
                    </w:rPr>
                  </w:pPr>
                  <w:r>
                    <w:rPr>
                      <w:rFonts w:hint="eastAsia" w:ascii="Times New Roman" w:hAnsi="Times New Roman" w:eastAsia="宋体" w:cs="宋体"/>
                      <w:color w:val="auto"/>
                      <w:kern w:val="0"/>
                      <w:sz w:val="18"/>
                      <w:szCs w:val="18"/>
                      <w:highlight w:val="none"/>
                      <w:vertAlign w:val="baseline"/>
                      <w:lang w:eastAsia="zh-CN"/>
                    </w:rPr>
                    <w:t>本项目属于</w:t>
                  </w:r>
                  <w:r>
                    <w:rPr>
                      <w:rFonts w:hint="eastAsia" w:ascii="Times New Roman" w:hAnsi="Times New Roman" w:eastAsia="宋体" w:cs="宋体"/>
                      <w:color w:val="auto"/>
                      <w:kern w:val="0"/>
                      <w:sz w:val="18"/>
                      <w:szCs w:val="18"/>
                      <w:highlight w:val="none"/>
                      <w:vertAlign w:val="baseline"/>
                      <w:lang w:val="en-US" w:eastAsia="zh-CN"/>
                    </w:rPr>
                    <w:t>水库</w:t>
                  </w:r>
                  <w:r>
                    <w:rPr>
                      <w:rFonts w:hint="eastAsia" w:ascii="Times New Roman" w:hAnsi="Times New Roman" w:eastAsia="宋体" w:cs="宋体"/>
                      <w:color w:val="auto"/>
                      <w:kern w:val="0"/>
                      <w:sz w:val="18"/>
                      <w:szCs w:val="18"/>
                      <w:highlight w:val="none"/>
                      <w:vertAlign w:val="baseline"/>
                      <w:lang w:eastAsia="zh-CN"/>
                    </w:rPr>
                    <w:t>项目，不属于石化、现代煤化工等产业。</w:t>
                  </w:r>
                </w:p>
              </w:tc>
              <w:tc>
                <w:tcPr>
                  <w:tcW w:w="78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宋体"/>
                      <w:color w:val="auto"/>
                      <w:kern w:val="0"/>
                      <w:sz w:val="18"/>
                      <w:szCs w:val="18"/>
                      <w:highlight w:val="none"/>
                      <w:vertAlign w:val="baseline"/>
                      <w:lang w:eastAsia="zh-CN"/>
                    </w:rPr>
                  </w:pPr>
                  <w:r>
                    <w:rPr>
                      <w:rFonts w:hint="eastAsia" w:ascii="Times New Roman" w:hAnsi="Times New Roman" w:eastAsia="宋体" w:cs="宋体"/>
                      <w:color w:val="auto"/>
                      <w:kern w:val="0"/>
                      <w:sz w:val="18"/>
                      <w:szCs w:val="18"/>
                      <w:highlight w:val="none"/>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宋体"/>
                      <w:color w:val="auto"/>
                      <w:kern w:val="0"/>
                      <w:sz w:val="18"/>
                      <w:szCs w:val="18"/>
                      <w:highlight w:val="none"/>
                      <w:vertAlign w:val="baseline"/>
                      <w:lang w:val="en-US" w:eastAsia="zh-CN"/>
                    </w:rPr>
                  </w:pPr>
                  <w:r>
                    <w:rPr>
                      <w:rFonts w:hint="eastAsia" w:ascii="Times New Roman" w:hAnsi="Times New Roman" w:eastAsia="宋体" w:cs="宋体"/>
                      <w:color w:val="auto"/>
                      <w:kern w:val="0"/>
                      <w:sz w:val="18"/>
                      <w:szCs w:val="18"/>
                      <w:highlight w:val="none"/>
                      <w:vertAlign w:val="baseline"/>
                      <w:lang w:val="en-US" w:eastAsia="zh-CN"/>
                    </w:rPr>
                    <w:t>11</w:t>
                  </w:r>
                </w:p>
              </w:tc>
              <w:tc>
                <w:tcPr>
                  <w:tcW w:w="3513"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Times New Roman" w:hAnsi="Times New Roman" w:eastAsia="宋体" w:cs="宋体"/>
                      <w:color w:val="auto"/>
                      <w:kern w:val="0"/>
                      <w:sz w:val="18"/>
                      <w:szCs w:val="18"/>
                      <w:highlight w:val="none"/>
                      <w:vertAlign w:val="baseline"/>
                      <w:lang w:eastAsia="zh-CN"/>
                    </w:rPr>
                  </w:pPr>
                  <w:r>
                    <w:rPr>
                      <w:rFonts w:hint="default" w:ascii="Times New Roman" w:hAnsi="Times New Roman" w:eastAsia="宋体" w:cs="宋体"/>
                      <w:color w:val="auto"/>
                      <w:kern w:val="0"/>
                      <w:sz w:val="18"/>
                      <w:szCs w:val="18"/>
                      <w:highlight w:val="none"/>
                      <w:vertAlign w:val="baseline"/>
                      <w:lang w:val="en-US" w:eastAsia="zh-CN" w:bidi="ar-SA"/>
                    </w:rPr>
                    <w:t>禁止新建、扩建法律法规和相关政策明令禁止的落后产能项目。禁止新建、扩建不符合国家产能置换要求的严重过剩产能行业的项目。禁止新建、扩建不符合要求的高耗能高排放项目。</w:t>
                  </w:r>
                </w:p>
              </w:tc>
              <w:tc>
                <w:tcPr>
                  <w:tcW w:w="192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imes New Roman" w:hAnsi="Times New Roman" w:eastAsia="宋体" w:cs="宋体"/>
                      <w:color w:val="auto"/>
                      <w:kern w:val="0"/>
                      <w:sz w:val="18"/>
                      <w:szCs w:val="18"/>
                      <w:highlight w:val="none"/>
                      <w:vertAlign w:val="baseline"/>
                      <w:lang w:eastAsia="zh-CN"/>
                    </w:rPr>
                  </w:pPr>
                  <w:r>
                    <w:rPr>
                      <w:rFonts w:hint="eastAsia" w:ascii="Times New Roman" w:hAnsi="Times New Roman" w:eastAsia="宋体" w:cs="宋体"/>
                      <w:color w:val="auto"/>
                      <w:kern w:val="0"/>
                      <w:sz w:val="18"/>
                      <w:szCs w:val="18"/>
                      <w:highlight w:val="none"/>
                      <w:vertAlign w:val="baseline"/>
                      <w:lang w:eastAsia="zh-CN"/>
                    </w:rPr>
                    <w:t>本项目不属于法律法规和相关政策明令禁止的落后产能项目，也不属于国家产能置换要求的严重过剩产能行业的项目及</w:t>
                  </w:r>
                  <w:r>
                    <w:rPr>
                      <w:rFonts w:hint="default" w:ascii="Times New Roman" w:hAnsi="Times New Roman" w:eastAsia="宋体" w:cs="宋体"/>
                      <w:color w:val="auto"/>
                      <w:kern w:val="0"/>
                      <w:sz w:val="18"/>
                      <w:szCs w:val="18"/>
                      <w:highlight w:val="none"/>
                      <w:vertAlign w:val="baseline"/>
                      <w:lang w:val="en-US" w:eastAsia="zh-CN" w:bidi="ar-SA"/>
                    </w:rPr>
                    <w:t>高耗能高排放项目</w:t>
                  </w:r>
                  <w:r>
                    <w:rPr>
                      <w:rFonts w:hint="eastAsia" w:ascii="Times New Roman" w:hAnsi="Times New Roman" w:eastAsia="宋体" w:cs="宋体"/>
                      <w:color w:val="auto"/>
                      <w:kern w:val="0"/>
                      <w:sz w:val="18"/>
                      <w:szCs w:val="18"/>
                      <w:highlight w:val="none"/>
                      <w:vertAlign w:val="baseline"/>
                      <w:lang w:eastAsia="zh-CN"/>
                    </w:rPr>
                    <w:t>。</w:t>
                  </w:r>
                </w:p>
              </w:tc>
              <w:tc>
                <w:tcPr>
                  <w:tcW w:w="78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宋体"/>
                      <w:color w:val="auto"/>
                      <w:kern w:val="0"/>
                      <w:sz w:val="18"/>
                      <w:szCs w:val="18"/>
                      <w:highlight w:val="none"/>
                      <w:vertAlign w:val="baseline"/>
                      <w:lang w:eastAsia="zh-CN"/>
                    </w:rPr>
                  </w:pPr>
                  <w:r>
                    <w:rPr>
                      <w:rFonts w:hint="eastAsia" w:ascii="Times New Roman" w:hAnsi="Times New Roman" w:eastAsia="宋体" w:cs="宋体"/>
                      <w:color w:val="auto"/>
                      <w:kern w:val="0"/>
                      <w:sz w:val="18"/>
                      <w:szCs w:val="18"/>
                      <w:highlight w:val="none"/>
                      <w:vertAlign w:val="baseline"/>
                      <w:lang w:eastAsia="zh-CN"/>
                    </w:rPr>
                    <w:t>符合</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ascii="Times New Roman" w:hAnsi="Times New Roman" w:eastAsia="宋体"/>
                <w:b/>
                <w:color w:val="auto"/>
                <w:sz w:val="21"/>
                <w:szCs w:val="21"/>
                <w:highlight w:val="none"/>
                <w:lang w:val="en-US" w:eastAsia="zh-CN"/>
              </w:rPr>
            </w:pPr>
            <w:r>
              <w:rPr>
                <w:rFonts w:hint="eastAsia" w:ascii="Times New Roman" w:hAnsi="Times New Roman" w:eastAsia="宋体" w:cs="宋体"/>
                <w:color w:val="auto"/>
                <w:kern w:val="0"/>
                <w:sz w:val="21"/>
                <w:szCs w:val="21"/>
                <w:highlight w:val="none"/>
                <w:lang w:eastAsia="zh-CN"/>
              </w:rPr>
              <w:t>由上表可知，本项目符合《长江经济带发展负面清单指南（试行，2022年版）》（长江办</w:t>
            </w:r>
            <w:r>
              <w:rPr>
                <w:rFonts w:hint="eastAsia" w:ascii="仿宋" w:hAnsi="仿宋" w:eastAsia="仿宋" w:cs="仿宋"/>
                <w:color w:val="auto"/>
                <w:kern w:val="0"/>
                <w:sz w:val="21"/>
                <w:szCs w:val="21"/>
                <w:highlight w:val="none"/>
                <w:lang w:eastAsia="zh-CN"/>
              </w:rPr>
              <w:t>〔</w:t>
            </w:r>
            <w:r>
              <w:rPr>
                <w:rFonts w:hint="eastAsia" w:ascii="Times New Roman" w:hAnsi="Times New Roman" w:eastAsia="宋体" w:cs="宋体"/>
                <w:color w:val="auto"/>
                <w:kern w:val="0"/>
                <w:sz w:val="21"/>
                <w:szCs w:val="21"/>
                <w:highlight w:val="none"/>
                <w:lang w:eastAsia="zh-CN"/>
              </w:rPr>
              <w:t>2022</w:t>
            </w:r>
            <w:r>
              <w:rPr>
                <w:rFonts w:hint="eastAsia" w:ascii="仿宋" w:hAnsi="仿宋" w:eastAsia="仿宋" w:cs="仿宋"/>
                <w:color w:val="auto"/>
                <w:kern w:val="0"/>
                <w:sz w:val="21"/>
                <w:szCs w:val="21"/>
                <w:highlight w:val="none"/>
                <w:lang w:eastAsia="zh-CN"/>
              </w:rPr>
              <w:t>〕</w:t>
            </w:r>
            <w:r>
              <w:rPr>
                <w:rFonts w:hint="eastAsia" w:ascii="Times New Roman" w:hAnsi="Times New Roman" w:eastAsia="宋体" w:cs="宋体"/>
                <w:color w:val="auto"/>
                <w:kern w:val="0"/>
                <w:sz w:val="21"/>
                <w:szCs w:val="21"/>
                <w:highlight w:val="none"/>
                <w:lang w:eastAsia="zh-CN"/>
              </w:rPr>
              <w:t>7号）中的相关要求。</w:t>
            </w:r>
          </w:p>
          <w:p>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eastAsia" w:ascii="Times New Roman" w:hAnsi="Times New Roman" w:eastAsia="宋体" w:cs="宋体"/>
                <w:b/>
                <w:bCs/>
                <w:color w:val="auto"/>
                <w:kern w:val="0"/>
                <w:sz w:val="21"/>
                <w:szCs w:val="21"/>
                <w:highlight w:val="none"/>
                <w:lang w:eastAsia="zh-CN"/>
              </w:rPr>
            </w:pPr>
            <w:r>
              <w:rPr>
                <w:rFonts w:hint="eastAsia" w:ascii="Times New Roman" w:hAnsi="Times New Roman" w:eastAsia="宋体" w:cs="宋体"/>
                <w:b/>
                <w:bCs/>
                <w:color w:val="auto"/>
                <w:kern w:val="0"/>
                <w:sz w:val="21"/>
                <w:szCs w:val="21"/>
                <w:highlight w:val="none"/>
                <w:lang w:val="en-US" w:eastAsia="zh-CN"/>
              </w:rPr>
              <w:t>1.2.</w:t>
            </w:r>
            <w:r>
              <w:rPr>
                <w:rFonts w:hint="eastAsia" w:cs="宋体"/>
                <w:b/>
                <w:bCs/>
                <w:color w:val="auto"/>
                <w:kern w:val="0"/>
                <w:sz w:val="21"/>
                <w:szCs w:val="21"/>
                <w:highlight w:val="none"/>
                <w:lang w:val="en-US" w:eastAsia="zh-CN"/>
              </w:rPr>
              <w:t>5</w:t>
            </w:r>
            <w:r>
              <w:rPr>
                <w:rFonts w:hint="eastAsia" w:ascii="Times New Roman" w:hAnsi="Times New Roman" w:eastAsia="宋体" w:cs="宋体"/>
                <w:b/>
                <w:bCs/>
                <w:color w:val="auto"/>
                <w:kern w:val="0"/>
                <w:sz w:val="21"/>
                <w:szCs w:val="21"/>
                <w:highlight w:val="none"/>
                <w:lang w:eastAsia="zh-CN"/>
              </w:rPr>
              <w:t>与《四川省、重庆市长江经济带发展负面清单实施细则（试行，2022年版）》的符合性</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ascii="Times New Roman" w:hAnsi="Times New Roman" w:eastAsia="宋体" w:cs="宋体"/>
                <w:color w:val="auto"/>
                <w:kern w:val="0"/>
                <w:sz w:val="21"/>
                <w:szCs w:val="21"/>
                <w:highlight w:val="none"/>
                <w:lang w:val="en-US" w:eastAsia="zh-CN"/>
              </w:rPr>
            </w:pPr>
            <w:r>
              <w:rPr>
                <w:rFonts w:hint="eastAsia" w:ascii="Times New Roman" w:hAnsi="Times New Roman" w:eastAsia="宋体" w:cs="宋体"/>
                <w:color w:val="auto"/>
                <w:kern w:val="0"/>
                <w:sz w:val="21"/>
                <w:szCs w:val="21"/>
                <w:highlight w:val="none"/>
                <w:lang w:eastAsia="zh-CN"/>
              </w:rPr>
              <w:t>本项目与《四川省、重庆市长江经济带发展负面清单实施细则（试行，2022年版）》符合性分析详见表1</w:t>
            </w:r>
            <w:r>
              <w:rPr>
                <w:rFonts w:hint="eastAsia" w:ascii="Times New Roman" w:hAnsi="Times New Roman" w:eastAsia="宋体" w:cs="宋体"/>
                <w:color w:val="auto"/>
                <w:kern w:val="0"/>
                <w:sz w:val="21"/>
                <w:szCs w:val="21"/>
                <w:highlight w:val="none"/>
                <w:lang w:val="en-US" w:eastAsia="zh-CN"/>
              </w:rPr>
              <w:t>.2-</w:t>
            </w:r>
            <w:r>
              <w:rPr>
                <w:rFonts w:hint="eastAsia" w:cs="宋体"/>
                <w:color w:val="auto"/>
                <w:kern w:val="0"/>
                <w:sz w:val="21"/>
                <w:szCs w:val="21"/>
                <w:highlight w:val="none"/>
                <w:lang w:val="en-US" w:eastAsia="zh-CN"/>
              </w:rPr>
              <w:t>6</w:t>
            </w:r>
            <w:r>
              <w:rPr>
                <w:rFonts w:hint="eastAsia" w:ascii="Times New Roman" w:hAnsi="Times New Roman" w:eastAsia="宋体" w:cs="宋体"/>
                <w:color w:val="auto"/>
                <w:kern w:val="0"/>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宋体"/>
                <w:b w:val="0"/>
                <w:bCs w:val="0"/>
                <w:color w:val="auto"/>
                <w:kern w:val="0"/>
                <w:sz w:val="21"/>
                <w:szCs w:val="21"/>
                <w:highlight w:val="none"/>
                <w:lang w:eastAsia="zh-CN"/>
              </w:rPr>
            </w:pPr>
            <w:r>
              <w:rPr>
                <w:rFonts w:hint="eastAsia" w:ascii="Times New Roman" w:hAnsi="Times New Roman" w:eastAsia="宋体" w:cs="宋体"/>
                <w:b w:val="0"/>
                <w:bCs w:val="0"/>
                <w:color w:val="auto"/>
                <w:kern w:val="0"/>
                <w:sz w:val="21"/>
                <w:szCs w:val="21"/>
                <w:highlight w:val="none"/>
                <w:lang w:eastAsia="zh-CN"/>
              </w:rPr>
              <w:t>表1</w:t>
            </w:r>
            <w:r>
              <w:rPr>
                <w:rFonts w:hint="eastAsia" w:ascii="Times New Roman" w:hAnsi="Times New Roman" w:eastAsia="宋体" w:cs="宋体"/>
                <w:b w:val="0"/>
                <w:bCs w:val="0"/>
                <w:color w:val="auto"/>
                <w:kern w:val="0"/>
                <w:sz w:val="21"/>
                <w:szCs w:val="21"/>
                <w:highlight w:val="none"/>
                <w:lang w:val="en-US" w:eastAsia="zh-CN"/>
              </w:rPr>
              <w:t>.2</w:t>
            </w:r>
            <w:r>
              <w:rPr>
                <w:rFonts w:hint="eastAsia" w:ascii="Times New Roman" w:hAnsi="Times New Roman" w:eastAsia="宋体" w:cs="宋体"/>
                <w:b w:val="0"/>
                <w:bCs w:val="0"/>
                <w:color w:val="auto"/>
                <w:kern w:val="0"/>
                <w:sz w:val="21"/>
                <w:szCs w:val="21"/>
                <w:highlight w:val="none"/>
                <w:lang w:eastAsia="zh-CN"/>
              </w:rPr>
              <w:t>-</w:t>
            </w:r>
            <w:r>
              <w:rPr>
                <w:rFonts w:hint="eastAsia" w:cs="宋体"/>
                <w:b w:val="0"/>
                <w:bCs w:val="0"/>
                <w:color w:val="auto"/>
                <w:kern w:val="0"/>
                <w:sz w:val="21"/>
                <w:szCs w:val="21"/>
                <w:highlight w:val="none"/>
                <w:lang w:val="en-US" w:eastAsia="zh-CN"/>
              </w:rPr>
              <w:t>6</w:t>
            </w:r>
            <w:r>
              <w:rPr>
                <w:rFonts w:hint="eastAsia" w:ascii="Times New Roman" w:hAnsi="Times New Roman" w:eastAsia="宋体" w:cs="宋体"/>
                <w:b w:val="0"/>
                <w:bCs w:val="0"/>
                <w:color w:val="auto"/>
                <w:kern w:val="0"/>
                <w:sz w:val="21"/>
                <w:szCs w:val="21"/>
                <w:highlight w:val="none"/>
                <w:lang w:eastAsia="zh-CN"/>
              </w:rPr>
              <w:t xml:space="preserve"> 与《四川省、重庆市长江经济带发展负面清单实施细则（试行，2022年版）》符合性分析</w:t>
            </w:r>
          </w:p>
          <w:tbl>
            <w:tblPr>
              <w:tblStyle w:val="29"/>
              <w:tblW w:w="699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3919"/>
              <w:gridCol w:w="1581"/>
              <w:gridCol w:w="85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4"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序号</w:t>
                  </w:r>
                </w:p>
              </w:tc>
              <w:tc>
                <w:tcPr>
                  <w:tcW w:w="391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rPr>
                    <w:t>相关内容</w:t>
                  </w:r>
                </w:p>
              </w:tc>
              <w:tc>
                <w:tcPr>
                  <w:tcW w:w="158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lang w:eastAsia="zh-CN"/>
                    </w:rPr>
                    <w:t>本</w:t>
                  </w:r>
                  <w:r>
                    <w:rPr>
                      <w:rFonts w:ascii="Times New Roman" w:hAnsi="Times New Roman" w:eastAsia="宋体"/>
                      <w:color w:val="auto"/>
                      <w:sz w:val="18"/>
                      <w:szCs w:val="18"/>
                      <w:highlight w:val="none"/>
                    </w:rPr>
                    <w:t>项目情况</w:t>
                  </w:r>
                </w:p>
              </w:tc>
              <w:tc>
                <w:tcPr>
                  <w:tcW w:w="850"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4"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1</w:t>
                  </w:r>
                </w:p>
              </w:tc>
              <w:tc>
                <w:tcPr>
                  <w:tcW w:w="391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rPr>
                    <w:t>禁止新建、改建和扩建不符合全国港口布局规划以及《四川省内河水运发展规划》《泸州—宜宾—乐山港口群布局规划》《重庆港总体规划</w:t>
                  </w:r>
                  <w:r>
                    <w:rPr>
                      <w:rFonts w:hint="eastAsia" w:ascii="Times New Roman" w:hAnsi="Times New Roman" w:eastAsia="宋体"/>
                      <w:color w:val="auto"/>
                      <w:sz w:val="18"/>
                      <w:szCs w:val="18"/>
                      <w:highlight w:val="none"/>
                      <w:lang w:eastAsia="zh-CN"/>
                    </w:rPr>
                    <w:t>（</w:t>
                  </w:r>
                  <w:r>
                    <w:rPr>
                      <w:rFonts w:hint="eastAsia" w:ascii="Times New Roman" w:hAnsi="Times New Roman" w:eastAsia="宋体"/>
                      <w:color w:val="auto"/>
                      <w:sz w:val="18"/>
                      <w:szCs w:val="18"/>
                      <w:highlight w:val="none"/>
                    </w:rPr>
                    <w:t>203</w:t>
                  </w:r>
                  <w:r>
                    <w:rPr>
                      <w:rFonts w:hint="eastAsia" w:ascii="Times New Roman" w:hAnsi="Times New Roman" w:eastAsia="宋体"/>
                      <w:color w:val="auto"/>
                      <w:sz w:val="18"/>
                      <w:szCs w:val="18"/>
                      <w:highlight w:val="none"/>
                      <w:lang w:val="en-US" w:eastAsia="zh-CN"/>
                    </w:rPr>
                    <w:t>5</w:t>
                  </w:r>
                  <w:r>
                    <w:rPr>
                      <w:rFonts w:hint="eastAsia" w:ascii="Times New Roman" w:hAnsi="Times New Roman" w:eastAsia="宋体"/>
                      <w:color w:val="auto"/>
                      <w:sz w:val="18"/>
                      <w:szCs w:val="18"/>
                      <w:highlight w:val="none"/>
                    </w:rPr>
                    <w:t>年</w:t>
                  </w:r>
                  <w:r>
                    <w:rPr>
                      <w:rFonts w:hint="eastAsia" w:ascii="Times New Roman" w:hAnsi="Times New Roman" w:eastAsia="宋体"/>
                      <w:color w:val="auto"/>
                      <w:sz w:val="18"/>
                      <w:szCs w:val="18"/>
                      <w:highlight w:val="none"/>
                      <w:lang w:eastAsia="zh-CN"/>
                    </w:rPr>
                    <w:t>）</w:t>
                  </w:r>
                  <w:r>
                    <w:rPr>
                      <w:rFonts w:hint="eastAsia" w:ascii="Times New Roman" w:hAnsi="Times New Roman" w:eastAsia="宋体"/>
                      <w:color w:val="auto"/>
                      <w:sz w:val="18"/>
                      <w:szCs w:val="18"/>
                      <w:highlight w:val="none"/>
                    </w:rPr>
                    <w:t>》等省级港口布局规划及市级港口总体规划的码头项目</w:t>
                  </w:r>
                  <w:r>
                    <w:rPr>
                      <w:rFonts w:hint="eastAsia" w:ascii="Times New Roman" w:hAnsi="Times New Roman" w:eastAsia="宋体"/>
                      <w:color w:val="auto"/>
                      <w:sz w:val="18"/>
                      <w:szCs w:val="18"/>
                      <w:highlight w:val="none"/>
                      <w:lang w:eastAsia="zh-CN"/>
                    </w:rPr>
                    <w:t>。</w:t>
                  </w:r>
                </w:p>
              </w:tc>
              <w:tc>
                <w:tcPr>
                  <w:tcW w:w="158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本项目不属于码头项目。</w:t>
                  </w:r>
                </w:p>
              </w:tc>
              <w:tc>
                <w:tcPr>
                  <w:tcW w:w="850"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4"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2</w:t>
                  </w:r>
                </w:p>
              </w:tc>
              <w:tc>
                <w:tcPr>
                  <w:tcW w:w="391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rPr>
                    <w:t>禁止新建、改建和扩建不符合《长江</w:t>
                  </w:r>
                  <w:r>
                    <w:rPr>
                      <w:rFonts w:hint="eastAsia" w:ascii="Times New Roman" w:hAnsi="Times New Roman" w:eastAsia="宋体"/>
                      <w:color w:val="auto"/>
                      <w:sz w:val="18"/>
                      <w:szCs w:val="18"/>
                      <w:highlight w:val="none"/>
                      <w:lang w:eastAsia="zh-CN"/>
                    </w:rPr>
                    <w:t>干</w:t>
                  </w:r>
                  <w:r>
                    <w:rPr>
                      <w:rFonts w:hint="eastAsia" w:ascii="Times New Roman" w:hAnsi="Times New Roman" w:eastAsia="宋体"/>
                      <w:color w:val="auto"/>
                      <w:sz w:val="18"/>
                      <w:szCs w:val="18"/>
                      <w:highlight w:val="none"/>
                    </w:rPr>
                    <w:t>线过江通道布局规划</w:t>
                  </w:r>
                  <w:r>
                    <w:rPr>
                      <w:rFonts w:hint="eastAsia" w:ascii="Times New Roman" w:hAnsi="Times New Roman" w:eastAsia="宋体"/>
                      <w:color w:val="auto"/>
                      <w:sz w:val="18"/>
                      <w:szCs w:val="18"/>
                      <w:highlight w:val="none"/>
                      <w:lang w:val="en-US" w:eastAsia="zh-CN"/>
                    </w:rPr>
                    <w:t>（</w:t>
                  </w:r>
                  <w:r>
                    <w:rPr>
                      <w:rFonts w:hint="eastAsia" w:ascii="Times New Roman" w:hAnsi="Times New Roman" w:eastAsia="宋体"/>
                      <w:color w:val="auto"/>
                      <w:sz w:val="18"/>
                      <w:szCs w:val="18"/>
                      <w:highlight w:val="none"/>
                    </w:rPr>
                    <w:t>2020</w:t>
                  </w:r>
                  <w:r>
                    <w:rPr>
                      <w:rFonts w:hint="eastAsia" w:ascii="Times New Roman" w:hAnsi="Times New Roman" w:eastAsia="宋体"/>
                      <w:color w:val="auto"/>
                      <w:sz w:val="18"/>
                      <w:szCs w:val="18"/>
                      <w:highlight w:val="none"/>
                      <w:lang w:val="en-US" w:eastAsia="zh-CN"/>
                    </w:rPr>
                    <w:t>-</w:t>
                  </w:r>
                  <w:r>
                    <w:rPr>
                      <w:rFonts w:hint="eastAsia" w:ascii="Times New Roman" w:hAnsi="Times New Roman" w:eastAsia="宋体"/>
                      <w:color w:val="auto"/>
                      <w:sz w:val="18"/>
                      <w:szCs w:val="18"/>
                      <w:highlight w:val="none"/>
                    </w:rPr>
                    <w:t>2035年</w:t>
                  </w:r>
                  <w:r>
                    <w:rPr>
                      <w:rFonts w:hint="eastAsia" w:ascii="Times New Roman" w:hAnsi="Times New Roman" w:eastAsia="宋体"/>
                      <w:color w:val="auto"/>
                      <w:sz w:val="18"/>
                      <w:szCs w:val="18"/>
                      <w:highlight w:val="none"/>
                      <w:lang w:eastAsia="zh-CN"/>
                    </w:rPr>
                    <w:t>）</w:t>
                  </w:r>
                  <w:r>
                    <w:rPr>
                      <w:rFonts w:hint="eastAsia" w:ascii="Times New Roman" w:hAnsi="Times New Roman" w:eastAsia="宋体"/>
                      <w:color w:val="auto"/>
                      <w:sz w:val="18"/>
                      <w:szCs w:val="18"/>
                      <w:highlight w:val="none"/>
                    </w:rPr>
                    <w:t>》的过长江通道项目</w:t>
                  </w:r>
                  <w:r>
                    <w:rPr>
                      <w:rFonts w:hint="eastAsia" w:ascii="Times New Roman" w:hAnsi="Times New Roman" w:eastAsia="宋体"/>
                      <w:color w:val="auto"/>
                      <w:sz w:val="18"/>
                      <w:szCs w:val="18"/>
                      <w:highlight w:val="none"/>
                      <w:lang w:eastAsia="zh-CN"/>
                    </w:rPr>
                    <w:t>（</w:t>
                  </w:r>
                  <w:r>
                    <w:rPr>
                      <w:rFonts w:hint="eastAsia" w:ascii="Times New Roman" w:hAnsi="Times New Roman" w:eastAsia="宋体"/>
                      <w:color w:val="auto"/>
                      <w:sz w:val="18"/>
                      <w:szCs w:val="18"/>
                      <w:highlight w:val="none"/>
                    </w:rPr>
                    <w:t>含桥梁、隧道</w:t>
                  </w:r>
                  <w:r>
                    <w:rPr>
                      <w:rFonts w:hint="eastAsia" w:ascii="Times New Roman" w:hAnsi="Times New Roman" w:eastAsia="宋体"/>
                      <w:color w:val="auto"/>
                      <w:sz w:val="18"/>
                      <w:szCs w:val="18"/>
                      <w:highlight w:val="none"/>
                      <w:lang w:eastAsia="zh-CN"/>
                    </w:rPr>
                    <w:t>）</w:t>
                  </w:r>
                  <w:r>
                    <w:rPr>
                      <w:rFonts w:hint="eastAsia" w:ascii="Times New Roman" w:hAnsi="Times New Roman" w:eastAsia="宋体"/>
                      <w:color w:val="auto"/>
                      <w:sz w:val="18"/>
                      <w:szCs w:val="18"/>
                      <w:highlight w:val="none"/>
                    </w:rPr>
                    <w:t>，国家发展改革委同意过长江通道线位调整的除外</w:t>
                  </w:r>
                  <w:r>
                    <w:rPr>
                      <w:rFonts w:hint="eastAsia" w:ascii="Times New Roman" w:hAnsi="Times New Roman" w:eastAsia="宋体"/>
                      <w:color w:val="auto"/>
                      <w:sz w:val="18"/>
                      <w:szCs w:val="18"/>
                      <w:highlight w:val="none"/>
                      <w:lang w:eastAsia="zh-CN"/>
                    </w:rPr>
                    <w:t>。</w:t>
                  </w:r>
                </w:p>
              </w:tc>
              <w:tc>
                <w:tcPr>
                  <w:tcW w:w="158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本项目不属于过长江通道项目。</w:t>
                  </w:r>
                </w:p>
              </w:tc>
              <w:tc>
                <w:tcPr>
                  <w:tcW w:w="850"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4"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3</w:t>
                  </w:r>
                </w:p>
              </w:tc>
              <w:tc>
                <w:tcPr>
                  <w:tcW w:w="391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rPr>
                    <w:t>禁止在自然保护区核心区、缓冲区的岸线和河段范围内投资建设旅游和生产经营项目</w:t>
                  </w:r>
                  <w:r>
                    <w:rPr>
                      <w:rFonts w:hint="eastAsia" w:ascii="Times New Roman" w:hAnsi="Times New Roman" w:eastAsia="宋体"/>
                      <w:color w:val="auto"/>
                      <w:sz w:val="18"/>
                      <w:szCs w:val="18"/>
                      <w:highlight w:val="none"/>
                      <w:lang w:eastAsia="zh-CN"/>
                    </w:rPr>
                    <w:t>。</w:t>
                  </w:r>
                  <w:r>
                    <w:rPr>
                      <w:rFonts w:hint="eastAsia" w:ascii="Times New Roman" w:hAnsi="Times New Roman" w:eastAsia="宋体"/>
                      <w:color w:val="auto"/>
                      <w:sz w:val="18"/>
                      <w:szCs w:val="18"/>
                      <w:highlight w:val="none"/>
                    </w:rPr>
                    <w:t>自然保护区的内部未分区的，依照核心区和缓冲区的规定管控</w:t>
                  </w:r>
                  <w:r>
                    <w:rPr>
                      <w:rFonts w:hint="eastAsia" w:ascii="Times New Roman" w:hAnsi="Times New Roman" w:eastAsia="宋体"/>
                      <w:color w:val="auto"/>
                      <w:sz w:val="18"/>
                      <w:szCs w:val="18"/>
                      <w:highlight w:val="none"/>
                      <w:lang w:eastAsia="zh-CN"/>
                    </w:rPr>
                    <w:t>。</w:t>
                  </w:r>
                </w:p>
              </w:tc>
              <w:tc>
                <w:tcPr>
                  <w:tcW w:w="158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本项目不涉及</w:t>
                  </w:r>
                  <w:r>
                    <w:rPr>
                      <w:rFonts w:hint="eastAsia" w:ascii="Times New Roman" w:hAnsi="Times New Roman" w:eastAsia="宋体"/>
                      <w:color w:val="auto"/>
                      <w:sz w:val="18"/>
                      <w:szCs w:val="18"/>
                      <w:highlight w:val="none"/>
                    </w:rPr>
                    <w:t>自然保护区</w:t>
                  </w:r>
                  <w:r>
                    <w:rPr>
                      <w:rFonts w:hint="eastAsia" w:ascii="Times New Roman" w:hAnsi="Times New Roman" w:eastAsia="宋体"/>
                      <w:color w:val="auto"/>
                      <w:sz w:val="18"/>
                      <w:szCs w:val="18"/>
                      <w:highlight w:val="none"/>
                      <w:lang w:eastAsia="zh-CN"/>
                    </w:rPr>
                    <w:t>。</w:t>
                  </w:r>
                </w:p>
              </w:tc>
              <w:tc>
                <w:tcPr>
                  <w:tcW w:w="850"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4"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4</w:t>
                  </w:r>
                </w:p>
              </w:tc>
              <w:tc>
                <w:tcPr>
                  <w:tcW w:w="391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禁止违反风景名胜区规划，在风景名胜区内设立</w:t>
                  </w:r>
                  <w:r>
                    <w:rPr>
                      <w:rFonts w:hint="eastAsia" w:ascii="Times New Roman" w:hAnsi="Times New Roman" w:eastAsia="宋体"/>
                      <w:color w:val="auto"/>
                      <w:sz w:val="18"/>
                      <w:szCs w:val="18"/>
                      <w:highlight w:val="none"/>
                    </w:rPr>
                    <w:t>各类开发区</w:t>
                  </w:r>
                  <w:r>
                    <w:rPr>
                      <w:rFonts w:hint="eastAsia" w:ascii="Times New Roman" w:hAnsi="Times New Roman" w:eastAsia="宋体"/>
                      <w:color w:val="auto"/>
                      <w:sz w:val="18"/>
                      <w:szCs w:val="18"/>
                      <w:highlight w:val="none"/>
                      <w:lang w:eastAsia="zh-CN"/>
                    </w:rPr>
                    <w:t>。</w:t>
                  </w:r>
                  <w:r>
                    <w:rPr>
                      <w:rFonts w:hint="eastAsia" w:ascii="Times New Roman" w:hAnsi="Times New Roman" w:eastAsia="宋体"/>
                      <w:color w:val="auto"/>
                      <w:sz w:val="18"/>
                      <w:szCs w:val="18"/>
                      <w:highlight w:val="none"/>
                    </w:rPr>
                    <w:t>在风景名胜区核心景区的岸线和河段范围内建设宾馆</w:t>
                  </w:r>
                  <w:r>
                    <w:rPr>
                      <w:rFonts w:hint="eastAsia" w:ascii="Times New Roman" w:hAnsi="Times New Roman" w:eastAsia="宋体"/>
                      <w:color w:val="auto"/>
                      <w:sz w:val="18"/>
                      <w:szCs w:val="18"/>
                      <w:highlight w:val="none"/>
                      <w:lang w:eastAsia="zh-CN"/>
                    </w:rPr>
                    <w:t>、</w:t>
                  </w:r>
                  <w:r>
                    <w:rPr>
                      <w:rFonts w:hint="eastAsia" w:ascii="Times New Roman" w:hAnsi="Times New Roman" w:eastAsia="宋体"/>
                      <w:color w:val="auto"/>
                      <w:sz w:val="18"/>
                      <w:szCs w:val="18"/>
                      <w:highlight w:val="none"/>
                    </w:rPr>
                    <w:t>招待所</w:t>
                  </w:r>
                  <w:r>
                    <w:rPr>
                      <w:rFonts w:hint="eastAsia" w:ascii="Times New Roman" w:hAnsi="Times New Roman" w:eastAsia="宋体"/>
                      <w:color w:val="auto"/>
                      <w:sz w:val="18"/>
                      <w:szCs w:val="18"/>
                      <w:highlight w:val="none"/>
                      <w:lang w:eastAsia="zh-CN"/>
                    </w:rPr>
                    <w:t>、培</w:t>
                  </w:r>
                  <w:r>
                    <w:rPr>
                      <w:rFonts w:hint="eastAsia" w:ascii="Times New Roman" w:hAnsi="Times New Roman" w:eastAsia="宋体"/>
                      <w:color w:val="auto"/>
                      <w:sz w:val="18"/>
                      <w:szCs w:val="18"/>
                      <w:highlight w:val="none"/>
                    </w:rPr>
                    <w:t>训中心、疗养院以及与风景名胜资源保护无关的项目</w:t>
                  </w:r>
                  <w:r>
                    <w:rPr>
                      <w:rFonts w:hint="eastAsia" w:ascii="Times New Roman" w:hAnsi="Times New Roman" w:eastAsia="宋体"/>
                      <w:color w:val="auto"/>
                      <w:sz w:val="18"/>
                      <w:szCs w:val="18"/>
                      <w:highlight w:val="none"/>
                      <w:lang w:eastAsia="zh-CN"/>
                    </w:rPr>
                    <w:t>。</w:t>
                  </w:r>
                </w:p>
              </w:tc>
              <w:tc>
                <w:tcPr>
                  <w:tcW w:w="158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本项目不涉及</w:t>
                  </w:r>
                  <w:r>
                    <w:rPr>
                      <w:rFonts w:hint="eastAsia" w:ascii="Times New Roman" w:hAnsi="Times New Roman" w:eastAsia="宋体"/>
                      <w:color w:val="auto"/>
                      <w:sz w:val="18"/>
                      <w:szCs w:val="18"/>
                      <w:highlight w:val="none"/>
                    </w:rPr>
                    <w:t>风景名胜区</w:t>
                  </w:r>
                  <w:r>
                    <w:rPr>
                      <w:rFonts w:hint="eastAsia" w:ascii="Times New Roman" w:hAnsi="Times New Roman" w:eastAsia="宋体"/>
                      <w:color w:val="auto"/>
                      <w:sz w:val="18"/>
                      <w:szCs w:val="18"/>
                      <w:highlight w:val="none"/>
                      <w:lang w:eastAsia="zh-CN"/>
                    </w:rPr>
                    <w:t>。</w:t>
                  </w:r>
                </w:p>
              </w:tc>
              <w:tc>
                <w:tcPr>
                  <w:tcW w:w="850"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4"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5</w:t>
                  </w:r>
                </w:p>
              </w:tc>
              <w:tc>
                <w:tcPr>
                  <w:tcW w:w="391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rPr>
                    <w:t>禁止在饮用水水源</w:t>
                  </w:r>
                  <w:r>
                    <w:rPr>
                      <w:rFonts w:hint="eastAsia"/>
                      <w:color w:val="auto"/>
                      <w:sz w:val="18"/>
                      <w:szCs w:val="18"/>
                      <w:highlight w:val="none"/>
                      <w:lang w:eastAsia="zh-CN"/>
                    </w:rPr>
                    <w:t>地保</w:t>
                  </w:r>
                  <w:r>
                    <w:rPr>
                      <w:rFonts w:hint="eastAsia" w:ascii="Times New Roman" w:hAnsi="Times New Roman" w:eastAsia="宋体"/>
                      <w:color w:val="auto"/>
                      <w:sz w:val="18"/>
                      <w:szCs w:val="18"/>
                      <w:highlight w:val="none"/>
                    </w:rPr>
                    <w:t>护区的岸线和河段范围内新建</w:t>
                  </w:r>
                  <w:r>
                    <w:rPr>
                      <w:rFonts w:hint="eastAsia" w:ascii="Times New Roman" w:hAnsi="Times New Roman" w:eastAsia="宋体"/>
                      <w:color w:val="auto"/>
                      <w:sz w:val="18"/>
                      <w:szCs w:val="18"/>
                      <w:highlight w:val="none"/>
                      <w:lang w:eastAsia="zh-CN"/>
                    </w:rPr>
                    <w:t>、</w:t>
                  </w:r>
                  <w:r>
                    <w:rPr>
                      <w:rFonts w:hint="eastAsia" w:ascii="Times New Roman" w:hAnsi="Times New Roman" w:eastAsia="宋体"/>
                      <w:color w:val="auto"/>
                      <w:sz w:val="18"/>
                      <w:szCs w:val="18"/>
                      <w:highlight w:val="none"/>
                    </w:rPr>
                    <w:t>扩建对水体污染严重的建设项目</w:t>
                  </w:r>
                  <w:r>
                    <w:rPr>
                      <w:rFonts w:hint="eastAsia" w:ascii="Times New Roman" w:hAnsi="Times New Roman" w:eastAsia="宋体"/>
                      <w:color w:val="auto"/>
                      <w:sz w:val="18"/>
                      <w:szCs w:val="18"/>
                      <w:highlight w:val="none"/>
                      <w:lang w:eastAsia="zh-CN"/>
                    </w:rPr>
                    <w:t>，禁止</w:t>
                  </w:r>
                  <w:r>
                    <w:rPr>
                      <w:rFonts w:hint="eastAsia" w:ascii="Times New Roman" w:hAnsi="Times New Roman" w:eastAsia="宋体"/>
                      <w:color w:val="auto"/>
                      <w:sz w:val="18"/>
                      <w:szCs w:val="18"/>
                      <w:highlight w:val="none"/>
                    </w:rPr>
                    <w:t>改建增加排污量的建设项目</w:t>
                  </w:r>
                  <w:r>
                    <w:rPr>
                      <w:rFonts w:hint="eastAsia" w:ascii="Times New Roman" w:hAnsi="Times New Roman" w:eastAsia="宋体"/>
                      <w:color w:val="auto"/>
                      <w:sz w:val="18"/>
                      <w:szCs w:val="18"/>
                      <w:highlight w:val="none"/>
                      <w:lang w:eastAsia="zh-CN"/>
                    </w:rPr>
                    <w:t>。</w:t>
                  </w:r>
                </w:p>
              </w:tc>
              <w:tc>
                <w:tcPr>
                  <w:tcW w:w="158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本项目不涉及</w:t>
                  </w:r>
                  <w:r>
                    <w:rPr>
                      <w:rFonts w:hint="eastAsia" w:ascii="Times New Roman" w:hAnsi="Times New Roman" w:eastAsia="宋体"/>
                      <w:color w:val="auto"/>
                      <w:sz w:val="18"/>
                      <w:szCs w:val="18"/>
                      <w:highlight w:val="none"/>
                    </w:rPr>
                    <w:t>饮用水水源准保护区的岸线和河段</w:t>
                  </w:r>
                  <w:r>
                    <w:rPr>
                      <w:rFonts w:hint="eastAsia" w:ascii="Times New Roman" w:hAnsi="Times New Roman" w:eastAsia="宋体"/>
                      <w:color w:val="auto"/>
                      <w:sz w:val="18"/>
                      <w:szCs w:val="18"/>
                      <w:highlight w:val="none"/>
                      <w:lang w:eastAsia="zh-CN"/>
                    </w:rPr>
                    <w:t>。</w:t>
                  </w:r>
                </w:p>
              </w:tc>
              <w:tc>
                <w:tcPr>
                  <w:tcW w:w="850"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4"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6</w:t>
                  </w:r>
                </w:p>
              </w:tc>
              <w:tc>
                <w:tcPr>
                  <w:tcW w:w="391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rPr>
                    <w:t>饮用水水源二级保护区的岸线和河段范围内</w:t>
                  </w:r>
                  <w:r>
                    <w:rPr>
                      <w:rFonts w:hint="eastAsia" w:ascii="Times New Roman" w:hAnsi="Times New Roman" w:eastAsia="宋体"/>
                      <w:color w:val="auto"/>
                      <w:sz w:val="18"/>
                      <w:szCs w:val="18"/>
                      <w:highlight w:val="none"/>
                      <w:lang w:eastAsia="zh-CN"/>
                    </w:rPr>
                    <w:t>，</w:t>
                  </w:r>
                  <w:r>
                    <w:rPr>
                      <w:rFonts w:hint="eastAsia" w:ascii="Times New Roman" w:hAnsi="Times New Roman" w:eastAsia="宋体"/>
                      <w:color w:val="auto"/>
                      <w:sz w:val="18"/>
                      <w:szCs w:val="18"/>
                      <w:highlight w:val="none"/>
                    </w:rPr>
                    <w:t>除遵守准保护区规定外</w:t>
                  </w:r>
                  <w:r>
                    <w:rPr>
                      <w:rFonts w:hint="eastAsia" w:ascii="Times New Roman" w:hAnsi="Times New Roman" w:eastAsia="宋体"/>
                      <w:color w:val="auto"/>
                      <w:sz w:val="18"/>
                      <w:szCs w:val="18"/>
                      <w:highlight w:val="none"/>
                      <w:lang w:eastAsia="zh-CN"/>
                    </w:rPr>
                    <w:t>，</w:t>
                  </w:r>
                  <w:r>
                    <w:rPr>
                      <w:rFonts w:hint="eastAsia" w:ascii="Times New Roman" w:hAnsi="Times New Roman" w:eastAsia="宋体"/>
                      <w:color w:val="auto"/>
                      <w:sz w:val="18"/>
                      <w:szCs w:val="18"/>
                      <w:highlight w:val="none"/>
                    </w:rPr>
                    <w:t>禁止新建、改建、扩建排放污染物的投资建设项目</w:t>
                  </w:r>
                  <w:r>
                    <w:rPr>
                      <w:rFonts w:hint="eastAsia" w:ascii="Times New Roman" w:hAnsi="Times New Roman" w:eastAsia="宋体"/>
                      <w:color w:val="auto"/>
                      <w:sz w:val="18"/>
                      <w:szCs w:val="18"/>
                      <w:highlight w:val="none"/>
                      <w:lang w:eastAsia="zh-CN"/>
                    </w:rPr>
                    <w:t>；</w:t>
                  </w:r>
                  <w:r>
                    <w:rPr>
                      <w:rFonts w:hint="eastAsia" w:ascii="Times New Roman" w:hAnsi="Times New Roman" w:eastAsia="宋体"/>
                      <w:color w:val="auto"/>
                      <w:sz w:val="18"/>
                      <w:szCs w:val="18"/>
                      <w:highlight w:val="none"/>
                    </w:rPr>
                    <w:t>禁止从事对水体有污染的水产养殖等活动</w:t>
                  </w:r>
                  <w:r>
                    <w:rPr>
                      <w:rFonts w:hint="eastAsia" w:ascii="Times New Roman" w:hAnsi="Times New Roman" w:eastAsia="宋体"/>
                      <w:color w:val="auto"/>
                      <w:sz w:val="18"/>
                      <w:szCs w:val="18"/>
                      <w:highlight w:val="none"/>
                      <w:lang w:eastAsia="zh-CN"/>
                    </w:rPr>
                    <w:t>。</w:t>
                  </w:r>
                </w:p>
              </w:tc>
              <w:tc>
                <w:tcPr>
                  <w:tcW w:w="158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本项目不涉及</w:t>
                  </w:r>
                  <w:r>
                    <w:rPr>
                      <w:rFonts w:hint="eastAsia" w:ascii="Times New Roman" w:hAnsi="Times New Roman" w:eastAsia="宋体"/>
                      <w:color w:val="auto"/>
                      <w:sz w:val="18"/>
                      <w:szCs w:val="18"/>
                      <w:highlight w:val="none"/>
                    </w:rPr>
                    <w:t>饮用水水源二级保护区的岸线和河段</w:t>
                  </w:r>
                  <w:r>
                    <w:rPr>
                      <w:rFonts w:hint="eastAsia" w:ascii="Times New Roman" w:hAnsi="Times New Roman" w:eastAsia="宋体"/>
                      <w:color w:val="auto"/>
                      <w:sz w:val="18"/>
                      <w:szCs w:val="18"/>
                      <w:highlight w:val="none"/>
                      <w:lang w:eastAsia="zh-CN"/>
                    </w:rPr>
                    <w:t>。</w:t>
                  </w:r>
                </w:p>
              </w:tc>
              <w:tc>
                <w:tcPr>
                  <w:tcW w:w="850"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4"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7</w:t>
                  </w:r>
                </w:p>
              </w:tc>
              <w:tc>
                <w:tcPr>
                  <w:tcW w:w="391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rPr>
                    <w:t>饮用水水源一级保护区的岸线和河段范围内，除遵守二级保护区规定外</w:t>
                  </w:r>
                  <w:r>
                    <w:rPr>
                      <w:rFonts w:hint="eastAsia" w:ascii="Times New Roman" w:hAnsi="Times New Roman" w:eastAsia="宋体"/>
                      <w:color w:val="auto"/>
                      <w:sz w:val="18"/>
                      <w:szCs w:val="18"/>
                      <w:highlight w:val="none"/>
                      <w:lang w:eastAsia="zh-CN"/>
                    </w:rPr>
                    <w:t>，</w:t>
                  </w:r>
                  <w:r>
                    <w:rPr>
                      <w:rFonts w:hint="eastAsia" w:ascii="Times New Roman" w:hAnsi="Times New Roman" w:eastAsia="宋体"/>
                      <w:color w:val="auto"/>
                      <w:sz w:val="18"/>
                      <w:szCs w:val="18"/>
                      <w:highlight w:val="none"/>
                    </w:rPr>
                    <w:t>禁止新建、改建、扩建与供水设施和保护水源无关的项目，以及网箱养殖、畜禽养殖、旅游等可能污染饮用水水体的投资建设项目</w:t>
                  </w:r>
                  <w:r>
                    <w:rPr>
                      <w:rFonts w:hint="eastAsia" w:ascii="Times New Roman" w:hAnsi="Times New Roman" w:eastAsia="宋体"/>
                      <w:color w:val="auto"/>
                      <w:sz w:val="18"/>
                      <w:szCs w:val="18"/>
                      <w:highlight w:val="none"/>
                      <w:lang w:eastAsia="zh-CN"/>
                    </w:rPr>
                    <w:t>。</w:t>
                  </w:r>
                </w:p>
              </w:tc>
              <w:tc>
                <w:tcPr>
                  <w:tcW w:w="158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本项目不涉及</w:t>
                  </w:r>
                  <w:r>
                    <w:rPr>
                      <w:rFonts w:hint="eastAsia" w:ascii="Times New Roman" w:hAnsi="Times New Roman" w:eastAsia="宋体"/>
                      <w:color w:val="auto"/>
                      <w:sz w:val="18"/>
                      <w:szCs w:val="18"/>
                      <w:highlight w:val="none"/>
                    </w:rPr>
                    <w:t>饮用水水源一级保护区的岸线和河段</w:t>
                  </w:r>
                  <w:r>
                    <w:rPr>
                      <w:rFonts w:hint="eastAsia" w:ascii="Times New Roman" w:hAnsi="Times New Roman" w:eastAsia="宋体"/>
                      <w:color w:val="auto"/>
                      <w:sz w:val="18"/>
                      <w:szCs w:val="18"/>
                      <w:highlight w:val="none"/>
                      <w:lang w:eastAsia="zh-CN"/>
                    </w:rPr>
                    <w:t>。</w:t>
                  </w:r>
                </w:p>
              </w:tc>
              <w:tc>
                <w:tcPr>
                  <w:tcW w:w="850"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4"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8</w:t>
                  </w:r>
                </w:p>
              </w:tc>
              <w:tc>
                <w:tcPr>
                  <w:tcW w:w="391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rPr>
                    <w:t>禁止在水产种质资源保护区岸线和河段范围内新建围湖造田、围湖造地或挖沙采石等投资建设项目</w:t>
                  </w:r>
                  <w:r>
                    <w:rPr>
                      <w:rFonts w:hint="eastAsia" w:ascii="Times New Roman" w:hAnsi="Times New Roman" w:eastAsia="宋体"/>
                      <w:color w:val="auto"/>
                      <w:sz w:val="18"/>
                      <w:szCs w:val="18"/>
                      <w:highlight w:val="none"/>
                      <w:lang w:eastAsia="zh-CN"/>
                    </w:rPr>
                    <w:t>。</w:t>
                  </w:r>
                </w:p>
              </w:tc>
              <w:tc>
                <w:tcPr>
                  <w:tcW w:w="158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本项目不涉及</w:t>
                  </w:r>
                  <w:r>
                    <w:rPr>
                      <w:rFonts w:hint="eastAsia" w:ascii="Times New Roman" w:hAnsi="Times New Roman" w:eastAsia="宋体"/>
                      <w:color w:val="auto"/>
                      <w:sz w:val="18"/>
                      <w:szCs w:val="18"/>
                      <w:highlight w:val="none"/>
                    </w:rPr>
                    <w:t>水产种质资源保护区岸线和河段</w:t>
                  </w:r>
                  <w:r>
                    <w:rPr>
                      <w:rFonts w:hint="eastAsia" w:ascii="Times New Roman" w:hAnsi="Times New Roman" w:eastAsia="宋体"/>
                      <w:color w:val="auto"/>
                      <w:sz w:val="18"/>
                      <w:szCs w:val="18"/>
                      <w:highlight w:val="none"/>
                      <w:lang w:eastAsia="zh-CN"/>
                    </w:rPr>
                    <w:t>。</w:t>
                  </w:r>
                </w:p>
              </w:tc>
              <w:tc>
                <w:tcPr>
                  <w:tcW w:w="850"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4"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9</w:t>
                  </w:r>
                </w:p>
              </w:tc>
              <w:tc>
                <w:tcPr>
                  <w:tcW w:w="391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rPr>
                    <w:t>禁止在国家湿地公园的岸线和河段范围内开</w:t>
                  </w:r>
                  <w:r>
                    <w:rPr>
                      <w:rFonts w:hint="eastAsia" w:ascii="Times New Roman" w:hAnsi="Times New Roman" w:eastAsia="宋体"/>
                      <w:color w:val="auto"/>
                      <w:sz w:val="18"/>
                      <w:szCs w:val="18"/>
                      <w:highlight w:val="none"/>
                      <w:lang w:eastAsia="zh-CN"/>
                    </w:rPr>
                    <w:t>（</w:t>
                  </w:r>
                  <w:r>
                    <w:rPr>
                      <w:rFonts w:hint="eastAsia" w:ascii="Times New Roman" w:hAnsi="Times New Roman" w:eastAsia="宋体"/>
                      <w:color w:val="auto"/>
                      <w:sz w:val="18"/>
                      <w:szCs w:val="18"/>
                      <w:highlight w:val="none"/>
                    </w:rPr>
                    <w:t>围</w:t>
                  </w:r>
                  <w:r>
                    <w:rPr>
                      <w:rFonts w:hint="eastAsia" w:ascii="Times New Roman" w:hAnsi="Times New Roman" w:eastAsia="宋体"/>
                      <w:color w:val="auto"/>
                      <w:sz w:val="18"/>
                      <w:szCs w:val="18"/>
                      <w:highlight w:val="none"/>
                      <w:lang w:eastAsia="zh-CN"/>
                    </w:rPr>
                    <w:t>）</w:t>
                  </w:r>
                  <w:r>
                    <w:rPr>
                      <w:rFonts w:hint="eastAsia" w:ascii="Times New Roman" w:hAnsi="Times New Roman" w:eastAsia="宋体"/>
                      <w:color w:val="auto"/>
                      <w:sz w:val="18"/>
                      <w:szCs w:val="18"/>
                      <w:highlight w:val="none"/>
                    </w:rPr>
                    <w:t>垦、填埋或者排干湿地，截断湿地水源，挖沙、采矿，倾</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rPr>
                    <w:t>倒有毒有害物质、废弃物、垃圾，从事房地产、度假村、高尔夫球场、风力发电、光伏发电等任何不符合主体功能定位的建设项目和开发活动，破坏野生动物栖息地和迁徙通道、</w:t>
                  </w:r>
                  <w:r>
                    <w:rPr>
                      <w:rFonts w:hint="eastAsia"/>
                      <w:color w:val="auto"/>
                      <w:sz w:val="18"/>
                      <w:szCs w:val="18"/>
                      <w:highlight w:val="none"/>
                      <w:lang w:eastAsia="zh-CN"/>
                    </w:rPr>
                    <w:t>鱼类回游</w:t>
                  </w:r>
                  <w:r>
                    <w:rPr>
                      <w:rFonts w:hint="eastAsia" w:ascii="Times New Roman" w:hAnsi="Times New Roman" w:eastAsia="宋体"/>
                      <w:color w:val="auto"/>
                      <w:sz w:val="18"/>
                      <w:szCs w:val="18"/>
                      <w:highlight w:val="none"/>
                    </w:rPr>
                    <w:t>通道</w:t>
                  </w:r>
                  <w:r>
                    <w:rPr>
                      <w:rFonts w:hint="eastAsia" w:ascii="Times New Roman" w:hAnsi="Times New Roman" w:eastAsia="宋体"/>
                      <w:color w:val="auto"/>
                      <w:sz w:val="18"/>
                      <w:szCs w:val="18"/>
                      <w:highlight w:val="none"/>
                      <w:lang w:eastAsia="zh-CN"/>
                    </w:rPr>
                    <w:t>。</w:t>
                  </w:r>
                </w:p>
              </w:tc>
              <w:tc>
                <w:tcPr>
                  <w:tcW w:w="158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本项目不涉及</w:t>
                  </w:r>
                  <w:r>
                    <w:rPr>
                      <w:rFonts w:hint="eastAsia" w:ascii="Times New Roman" w:hAnsi="Times New Roman" w:eastAsia="宋体"/>
                      <w:color w:val="auto"/>
                      <w:sz w:val="18"/>
                      <w:szCs w:val="18"/>
                      <w:highlight w:val="none"/>
                    </w:rPr>
                    <w:t>国家湿地公园的岸线和河段</w:t>
                  </w:r>
                  <w:r>
                    <w:rPr>
                      <w:rFonts w:hint="eastAsia" w:ascii="Times New Roman" w:hAnsi="Times New Roman" w:eastAsia="宋体"/>
                      <w:color w:val="auto"/>
                      <w:sz w:val="18"/>
                      <w:szCs w:val="18"/>
                      <w:highlight w:val="none"/>
                      <w:lang w:eastAsia="zh-CN"/>
                    </w:rPr>
                    <w:t>。</w:t>
                  </w:r>
                </w:p>
              </w:tc>
              <w:tc>
                <w:tcPr>
                  <w:tcW w:w="850"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4"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10</w:t>
                  </w:r>
                </w:p>
              </w:tc>
              <w:tc>
                <w:tcPr>
                  <w:tcW w:w="391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rPr>
                    <w:t>禁止违法利用、占用长江流域河湖岸线</w:t>
                  </w:r>
                  <w:r>
                    <w:rPr>
                      <w:rFonts w:hint="eastAsia" w:ascii="Times New Roman" w:hAnsi="Times New Roman" w:eastAsia="宋体"/>
                      <w:color w:val="auto"/>
                      <w:sz w:val="18"/>
                      <w:szCs w:val="18"/>
                      <w:highlight w:val="none"/>
                      <w:lang w:eastAsia="zh-CN"/>
                    </w:rPr>
                    <w:t>。</w:t>
                  </w:r>
                  <w:r>
                    <w:rPr>
                      <w:rFonts w:hint="eastAsia" w:ascii="Times New Roman" w:hAnsi="Times New Roman" w:eastAsia="宋体"/>
                      <w:color w:val="auto"/>
                      <w:sz w:val="18"/>
                      <w:szCs w:val="18"/>
                      <w:highlight w:val="none"/>
                    </w:rPr>
                    <w:t>禁止在《长江岸线保护和开发利用总体规划》划定的岸线保护区和岸线保留区内投资建设除事关公共安全及公众利益的防洪护岸、河道治理、供水、生态环境保护、航道整治、国家重要基础设施以外的项目</w:t>
                  </w:r>
                  <w:r>
                    <w:rPr>
                      <w:rFonts w:hint="eastAsia" w:ascii="Times New Roman" w:hAnsi="Times New Roman" w:eastAsia="宋体"/>
                      <w:color w:val="auto"/>
                      <w:sz w:val="18"/>
                      <w:szCs w:val="18"/>
                      <w:highlight w:val="none"/>
                      <w:lang w:eastAsia="zh-CN"/>
                    </w:rPr>
                    <w:t>。</w:t>
                  </w:r>
                </w:p>
              </w:tc>
              <w:tc>
                <w:tcPr>
                  <w:tcW w:w="158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s="宋体"/>
                      <w:color w:val="auto"/>
                      <w:kern w:val="0"/>
                      <w:sz w:val="18"/>
                      <w:szCs w:val="18"/>
                      <w:highlight w:val="none"/>
                      <w:vertAlign w:val="baseline"/>
                      <w:lang w:eastAsia="zh-CN"/>
                    </w:rPr>
                    <w:t>本项目属于</w:t>
                  </w:r>
                  <w:r>
                    <w:rPr>
                      <w:rFonts w:hint="eastAsia" w:ascii="Times New Roman" w:hAnsi="Times New Roman" w:eastAsia="宋体" w:cs="宋体"/>
                      <w:color w:val="auto"/>
                      <w:kern w:val="0"/>
                      <w:sz w:val="18"/>
                      <w:szCs w:val="18"/>
                      <w:highlight w:val="none"/>
                      <w:vertAlign w:val="baseline"/>
                      <w:lang w:val="en-US" w:eastAsia="zh-CN"/>
                    </w:rPr>
                    <w:t>水库</w:t>
                  </w:r>
                  <w:r>
                    <w:rPr>
                      <w:rFonts w:hint="eastAsia" w:ascii="Times New Roman" w:hAnsi="Times New Roman" w:eastAsia="宋体" w:cs="宋体"/>
                      <w:color w:val="auto"/>
                      <w:kern w:val="0"/>
                      <w:sz w:val="18"/>
                      <w:szCs w:val="18"/>
                      <w:highlight w:val="none"/>
                      <w:vertAlign w:val="baseline"/>
                      <w:lang w:eastAsia="zh-CN"/>
                    </w:rPr>
                    <w:t>项目，</w:t>
                  </w:r>
                  <w:r>
                    <w:rPr>
                      <w:rFonts w:hint="eastAsia" w:ascii="Times New Roman" w:hAnsi="Times New Roman" w:eastAsia="宋体"/>
                      <w:color w:val="auto"/>
                      <w:sz w:val="18"/>
                      <w:szCs w:val="18"/>
                      <w:highlight w:val="none"/>
                      <w:lang w:eastAsia="zh-CN"/>
                    </w:rPr>
                    <w:t>不违法利用、占用长江流域河湖岸线。</w:t>
                  </w:r>
                </w:p>
              </w:tc>
              <w:tc>
                <w:tcPr>
                  <w:tcW w:w="850"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4"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11</w:t>
                  </w:r>
                </w:p>
              </w:tc>
              <w:tc>
                <w:tcPr>
                  <w:tcW w:w="391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rPr>
                    <w:t>禁止在《全国重要江河湖泊水功能区划》划定的河段及湖泊保护区、保留区内投资建设不利于水资源及自然生态保护的项目</w:t>
                  </w:r>
                  <w:r>
                    <w:rPr>
                      <w:rFonts w:hint="eastAsia" w:ascii="Times New Roman" w:hAnsi="Times New Roman" w:eastAsia="宋体"/>
                      <w:color w:val="auto"/>
                      <w:sz w:val="18"/>
                      <w:szCs w:val="18"/>
                      <w:highlight w:val="none"/>
                      <w:lang w:eastAsia="zh-CN"/>
                    </w:rPr>
                    <w:t>。</w:t>
                  </w:r>
                </w:p>
              </w:tc>
              <w:tc>
                <w:tcPr>
                  <w:tcW w:w="158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本项目</w:t>
                  </w:r>
                  <w:r>
                    <w:rPr>
                      <w:rFonts w:hint="eastAsia" w:ascii="Times New Roman" w:hAnsi="Times New Roman" w:eastAsia="宋体" w:cs="宋体"/>
                      <w:color w:val="auto"/>
                      <w:kern w:val="0"/>
                      <w:sz w:val="18"/>
                      <w:szCs w:val="18"/>
                      <w:highlight w:val="none"/>
                      <w:vertAlign w:val="baseline"/>
                      <w:lang w:eastAsia="zh-CN"/>
                    </w:rPr>
                    <w:t>属于</w:t>
                  </w:r>
                  <w:r>
                    <w:rPr>
                      <w:rFonts w:hint="eastAsia" w:ascii="Times New Roman" w:hAnsi="Times New Roman" w:eastAsia="宋体" w:cs="宋体"/>
                      <w:color w:val="auto"/>
                      <w:kern w:val="0"/>
                      <w:sz w:val="18"/>
                      <w:szCs w:val="18"/>
                      <w:highlight w:val="none"/>
                      <w:vertAlign w:val="baseline"/>
                      <w:lang w:val="en-US" w:eastAsia="zh-CN"/>
                    </w:rPr>
                    <w:t>水库</w:t>
                  </w:r>
                  <w:r>
                    <w:rPr>
                      <w:rFonts w:hint="eastAsia" w:ascii="Times New Roman" w:hAnsi="Times New Roman" w:eastAsia="宋体" w:cs="宋体"/>
                      <w:color w:val="auto"/>
                      <w:kern w:val="0"/>
                      <w:sz w:val="18"/>
                      <w:szCs w:val="18"/>
                      <w:highlight w:val="none"/>
                      <w:vertAlign w:val="baseline"/>
                      <w:lang w:eastAsia="zh-CN"/>
                    </w:rPr>
                    <w:t>项目，有利于自然生态保护</w:t>
                  </w:r>
                  <w:r>
                    <w:rPr>
                      <w:rFonts w:hint="eastAsia" w:ascii="Times New Roman" w:hAnsi="Times New Roman" w:eastAsia="宋体"/>
                      <w:color w:val="auto"/>
                      <w:sz w:val="18"/>
                      <w:szCs w:val="18"/>
                      <w:highlight w:val="none"/>
                      <w:lang w:eastAsia="zh-CN"/>
                    </w:rPr>
                    <w:t>。</w:t>
                  </w:r>
                </w:p>
              </w:tc>
              <w:tc>
                <w:tcPr>
                  <w:tcW w:w="850"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4"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12</w:t>
                  </w:r>
                </w:p>
              </w:tc>
              <w:tc>
                <w:tcPr>
                  <w:tcW w:w="391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rPr>
                    <w:t>禁止在长江流域江河、湖泊新设、改设或者扩大排污口</w:t>
                  </w:r>
                  <w:r>
                    <w:rPr>
                      <w:rFonts w:hint="eastAsia" w:ascii="Times New Roman" w:hAnsi="Times New Roman" w:eastAsia="宋体"/>
                      <w:color w:val="auto"/>
                      <w:sz w:val="18"/>
                      <w:szCs w:val="18"/>
                      <w:highlight w:val="none"/>
                      <w:lang w:eastAsia="zh-CN"/>
                    </w:rPr>
                    <w:t>，</w:t>
                  </w:r>
                  <w:r>
                    <w:rPr>
                      <w:rFonts w:hint="eastAsia" w:ascii="Times New Roman" w:hAnsi="Times New Roman" w:eastAsia="宋体"/>
                      <w:color w:val="auto"/>
                      <w:sz w:val="18"/>
                      <w:szCs w:val="18"/>
                      <w:highlight w:val="none"/>
                    </w:rPr>
                    <w:t>经有管辖权的生态环境主管部门或者长江流域生态环境监督管理机构同意的除外</w:t>
                  </w:r>
                  <w:r>
                    <w:rPr>
                      <w:rFonts w:hint="eastAsia" w:ascii="Times New Roman" w:hAnsi="Times New Roman" w:eastAsia="宋体"/>
                      <w:color w:val="auto"/>
                      <w:sz w:val="18"/>
                      <w:szCs w:val="18"/>
                      <w:highlight w:val="none"/>
                      <w:lang w:eastAsia="zh-CN"/>
                    </w:rPr>
                    <w:t>。</w:t>
                  </w:r>
                </w:p>
              </w:tc>
              <w:tc>
                <w:tcPr>
                  <w:tcW w:w="158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本项目不在</w:t>
                  </w:r>
                  <w:r>
                    <w:rPr>
                      <w:rFonts w:hint="eastAsia" w:ascii="Times New Roman" w:hAnsi="Times New Roman" w:eastAsia="宋体"/>
                      <w:color w:val="auto"/>
                      <w:sz w:val="18"/>
                      <w:szCs w:val="18"/>
                      <w:highlight w:val="none"/>
                    </w:rPr>
                    <w:t>长江流域江河、湖泊新设、改设或者扩大排污口</w:t>
                  </w:r>
                  <w:r>
                    <w:rPr>
                      <w:rFonts w:hint="eastAsia" w:ascii="Times New Roman" w:hAnsi="Times New Roman" w:eastAsia="宋体"/>
                      <w:color w:val="auto"/>
                      <w:sz w:val="18"/>
                      <w:szCs w:val="18"/>
                      <w:highlight w:val="none"/>
                      <w:lang w:eastAsia="zh-CN"/>
                    </w:rPr>
                    <w:t>。</w:t>
                  </w:r>
                </w:p>
              </w:tc>
              <w:tc>
                <w:tcPr>
                  <w:tcW w:w="850"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4"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13</w:t>
                  </w:r>
                </w:p>
              </w:tc>
              <w:tc>
                <w:tcPr>
                  <w:tcW w:w="391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rPr>
                    <w:t>禁止在长江</w:t>
                  </w:r>
                  <w:r>
                    <w:rPr>
                      <w:rFonts w:hint="eastAsia" w:ascii="Times New Roman" w:hAnsi="Times New Roman" w:eastAsia="宋体"/>
                      <w:color w:val="auto"/>
                      <w:sz w:val="18"/>
                      <w:szCs w:val="18"/>
                      <w:highlight w:val="none"/>
                      <w:lang w:eastAsia="zh-CN"/>
                    </w:rPr>
                    <w:t>干</w:t>
                  </w:r>
                  <w:r>
                    <w:rPr>
                      <w:rFonts w:hint="eastAsia" w:ascii="Times New Roman" w:hAnsi="Times New Roman" w:eastAsia="宋体"/>
                      <w:color w:val="auto"/>
                      <w:sz w:val="18"/>
                      <w:szCs w:val="18"/>
                      <w:highlight w:val="none"/>
                    </w:rPr>
                    <w:t>流、大渡河、</w:t>
                  </w:r>
                  <w:r>
                    <w:rPr>
                      <w:rFonts w:hint="eastAsia" w:ascii="Times New Roman" w:hAnsi="Times New Roman" w:eastAsia="宋体"/>
                      <w:color w:val="auto"/>
                      <w:sz w:val="18"/>
                      <w:szCs w:val="18"/>
                      <w:highlight w:val="none"/>
                      <w:lang w:eastAsia="zh-CN"/>
                    </w:rPr>
                    <w:t>岷</w:t>
                  </w:r>
                  <w:r>
                    <w:rPr>
                      <w:rFonts w:hint="eastAsia" w:ascii="Times New Roman" w:hAnsi="Times New Roman" w:eastAsia="宋体"/>
                      <w:color w:val="auto"/>
                      <w:sz w:val="18"/>
                      <w:szCs w:val="18"/>
                      <w:highlight w:val="none"/>
                    </w:rPr>
                    <w:t>江、赤水河、</w:t>
                  </w:r>
                  <w:r>
                    <w:rPr>
                      <w:rFonts w:hint="eastAsia" w:ascii="Times New Roman" w:hAnsi="Times New Roman" w:eastAsia="宋体"/>
                      <w:color w:val="auto"/>
                      <w:sz w:val="18"/>
                      <w:szCs w:val="18"/>
                      <w:highlight w:val="none"/>
                      <w:lang w:eastAsia="zh-CN"/>
                    </w:rPr>
                    <w:t>沱江</w:t>
                  </w:r>
                  <w:r>
                    <w:rPr>
                      <w:rFonts w:hint="eastAsia" w:ascii="Times New Roman" w:hAnsi="Times New Roman" w:eastAsia="宋体"/>
                      <w:color w:val="auto"/>
                      <w:sz w:val="18"/>
                      <w:szCs w:val="18"/>
                      <w:highlight w:val="none"/>
                    </w:rPr>
                    <w:t>、嘉陵江、乌江、汉江和51个</w:t>
                  </w:r>
                  <w:r>
                    <w:rPr>
                      <w:rFonts w:hint="eastAsia" w:ascii="Times New Roman" w:hAnsi="Times New Roman" w:eastAsia="宋体"/>
                      <w:color w:val="auto"/>
                      <w:sz w:val="18"/>
                      <w:szCs w:val="18"/>
                      <w:highlight w:val="none"/>
                      <w:lang w:eastAsia="zh-CN"/>
                    </w:rPr>
                    <w:t>（</w:t>
                  </w:r>
                  <w:r>
                    <w:rPr>
                      <w:rFonts w:hint="eastAsia" w:ascii="Times New Roman" w:hAnsi="Times New Roman" w:eastAsia="宋体"/>
                      <w:color w:val="auto"/>
                      <w:sz w:val="18"/>
                      <w:szCs w:val="18"/>
                      <w:highlight w:val="none"/>
                    </w:rPr>
                    <w:t>四川省45个、重庆市</w:t>
                  </w:r>
                  <w:r>
                    <w:rPr>
                      <w:rFonts w:hint="eastAsia" w:ascii="Times New Roman" w:hAnsi="Times New Roman" w:eastAsia="宋体"/>
                      <w:color w:val="auto"/>
                      <w:sz w:val="18"/>
                      <w:szCs w:val="18"/>
                      <w:highlight w:val="none"/>
                      <w:lang w:val="en-US" w:eastAsia="zh-CN"/>
                    </w:rPr>
                    <w:t>6</w:t>
                  </w:r>
                  <w:r>
                    <w:rPr>
                      <w:rFonts w:hint="eastAsia" w:ascii="Times New Roman" w:hAnsi="Times New Roman" w:eastAsia="宋体"/>
                      <w:color w:val="auto"/>
                      <w:sz w:val="18"/>
                      <w:szCs w:val="18"/>
                      <w:highlight w:val="none"/>
                    </w:rPr>
                    <w:t>个</w:t>
                  </w:r>
                  <w:r>
                    <w:rPr>
                      <w:rFonts w:hint="eastAsia" w:ascii="Times New Roman" w:hAnsi="Times New Roman" w:eastAsia="宋体"/>
                      <w:color w:val="auto"/>
                      <w:sz w:val="18"/>
                      <w:szCs w:val="18"/>
                      <w:highlight w:val="none"/>
                      <w:lang w:eastAsia="zh-CN"/>
                    </w:rPr>
                    <w:t>）</w:t>
                  </w:r>
                  <w:r>
                    <w:rPr>
                      <w:rFonts w:hint="eastAsia" w:ascii="Times New Roman" w:hAnsi="Times New Roman" w:eastAsia="宋体"/>
                      <w:color w:val="auto"/>
                      <w:sz w:val="18"/>
                      <w:szCs w:val="18"/>
                      <w:highlight w:val="none"/>
                    </w:rPr>
                    <w:t>水生生物保护区开展生产性捕捞</w:t>
                  </w:r>
                  <w:r>
                    <w:rPr>
                      <w:rFonts w:hint="eastAsia" w:ascii="Times New Roman" w:hAnsi="Times New Roman" w:eastAsia="宋体"/>
                      <w:color w:val="auto"/>
                      <w:sz w:val="18"/>
                      <w:szCs w:val="18"/>
                      <w:highlight w:val="none"/>
                      <w:lang w:eastAsia="zh-CN"/>
                    </w:rPr>
                    <w:t>。</w:t>
                  </w:r>
                </w:p>
              </w:tc>
              <w:tc>
                <w:tcPr>
                  <w:tcW w:w="158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本项目不开展生产性捕捞。</w:t>
                  </w:r>
                </w:p>
              </w:tc>
              <w:tc>
                <w:tcPr>
                  <w:tcW w:w="850"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44"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14</w:t>
                  </w:r>
                </w:p>
              </w:tc>
              <w:tc>
                <w:tcPr>
                  <w:tcW w:w="391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rPr>
                    <w:t>禁止在长江</w:t>
                  </w:r>
                  <w:r>
                    <w:rPr>
                      <w:rFonts w:hint="eastAsia" w:ascii="Times New Roman" w:hAnsi="Times New Roman" w:eastAsia="宋体"/>
                      <w:color w:val="auto"/>
                      <w:sz w:val="18"/>
                      <w:szCs w:val="18"/>
                      <w:highlight w:val="none"/>
                      <w:lang w:eastAsia="zh-CN"/>
                    </w:rPr>
                    <w:t>干</w:t>
                  </w:r>
                  <w:r>
                    <w:rPr>
                      <w:rFonts w:hint="eastAsia" w:ascii="Times New Roman" w:hAnsi="Times New Roman" w:eastAsia="宋体"/>
                      <w:color w:val="auto"/>
                      <w:sz w:val="18"/>
                      <w:szCs w:val="18"/>
                      <w:highlight w:val="none"/>
                    </w:rPr>
                    <w:t>支流、重要湖泊岸线一公里范围内新建、扩建化工园区和化工项目</w:t>
                  </w:r>
                  <w:r>
                    <w:rPr>
                      <w:rFonts w:hint="eastAsia" w:ascii="Times New Roman" w:hAnsi="Times New Roman" w:eastAsia="宋体"/>
                      <w:color w:val="auto"/>
                      <w:sz w:val="18"/>
                      <w:szCs w:val="18"/>
                      <w:highlight w:val="none"/>
                      <w:lang w:eastAsia="zh-CN"/>
                    </w:rPr>
                    <w:t>。</w:t>
                  </w:r>
                </w:p>
              </w:tc>
              <w:tc>
                <w:tcPr>
                  <w:tcW w:w="158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本项目不属于</w:t>
                  </w:r>
                  <w:r>
                    <w:rPr>
                      <w:rFonts w:hint="eastAsia" w:ascii="Times New Roman" w:hAnsi="Times New Roman" w:eastAsia="宋体"/>
                      <w:color w:val="auto"/>
                      <w:sz w:val="18"/>
                      <w:szCs w:val="18"/>
                      <w:highlight w:val="none"/>
                    </w:rPr>
                    <w:t>化工园区和化工项</w:t>
                  </w:r>
                  <w:r>
                    <w:rPr>
                      <w:rFonts w:hint="eastAsia" w:ascii="Times New Roman" w:hAnsi="Times New Roman" w:eastAsia="宋体"/>
                      <w:color w:val="auto"/>
                      <w:sz w:val="18"/>
                      <w:szCs w:val="18"/>
                      <w:highlight w:val="none"/>
                      <w:lang w:eastAsia="zh-CN"/>
                    </w:rPr>
                    <w:t>目。</w:t>
                  </w:r>
                </w:p>
              </w:tc>
              <w:tc>
                <w:tcPr>
                  <w:tcW w:w="850"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4"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15</w:t>
                  </w:r>
                </w:p>
              </w:tc>
              <w:tc>
                <w:tcPr>
                  <w:tcW w:w="391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rPr>
                    <w:t>禁止在长江干流岸线</w:t>
                  </w:r>
                  <w:r>
                    <w:rPr>
                      <w:rFonts w:hint="eastAsia" w:ascii="Times New Roman" w:hAnsi="Times New Roman" w:eastAsia="宋体"/>
                      <w:color w:val="auto"/>
                      <w:sz w:val="18"/>
                      <w:szCs w:val="18"/>
                      <w:highlight w:val="none"/>
                      <w:lang w:eastAsia="zh-CN"/>
                    </w:rPr>
                    <w:t>三</w:t>
                  </w:r>
                  <w:r>
                    <w:rPr>
                      <w:rFonts w:hint="eastAsia" w:ascii="Times New Roman" w:hAnsi="Times New Roman" w:eastAsia="宋体"/>
                      <w:color w:val="auto"/>
                      <w:sz w:val="18"/>
                      <w:szCs w:val="18"/>
                      <w:highlight w:val="none"/>
                    </w:rPr>
                    <w:t>公里范围内和重要支流岸线一公里范围内新建、改建</w:t>
                  </w:r>
                  <w:r>
                    <w:rPr>
                      <w:rFonts w:hint="eastAsia" w:ascii="Times New Roman" w:hAnsi="Times New Roman" w:eastAsia="宋体"/>
                      <w:color w:val="auto"/>
                      <w:sz w:val="18"/>
                      <w:szCs w:val="18"/>
                      <w:highlight w:val="none"/>
                      <w:lang w:eastAsia="zh-CN"/>
                    </w:rPr>
                    <w:t>、</w:t>
                  </w:r>
                  <w:r>
                    <w:rPr>
                      <w:rFonts w:hint="eastAsia" w:ascii="Times New Roman" w:hAnsi="Times New Roman" w:eastAsia="宋体"/>
                      <w:color w:val="auto"/>
                      <w:sz w:val="18"/>
                      <w:szCs w:val="18"/>
                      <w:highlight w:val="none"/>
                    </w:rPr>
                    <w:t>扩建尾矿库、冶炼渣库、磷石膏库，以提升安全、生态环境保护水平为目的改建除外</w:t>
                  </w:r>
                  <w:r>
                    <w:rPr>
                      <w:rFonts w:hint="eastAsia" w:ascii="Times New Roman" w:hAnsi="Times New Roman" w:eastAsia="宋体"/>
                      <w:color w:val="auto"/>
                      <w:sz w:val="18"/>
                      <w:szCs w:val="18"/>
                      <w:highlight w:val="none"/>
                      <w:lang w:eastAsia="zh-CN"/>
                    </w:rPr>
                    <w:t>。</w:t>
                  </w:r>
                </w:p>
              </w:tc>
              <w:tc>
                <w:tcPr>
                  <w:tcW w:w="158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本项目不属于</w:t>
                  </w:r>
                  <w:r>
                    <w:rPr>
                      <w:rFonts w:hint="eastAsia" w:ascii="Times New Roman" w:hAnsi="Times New Roman" w:eastAsia="宋体"/>
                      <w:color w:val="auto"/>
                      <w:sz w:val="18"/>
                      <w:szCs w:val="18"/>
                      <w:highlight w:val="none"/>
                    </w:rPr>
                    <w:t>尾矿库、冶炼渣库、磷石膏库</w:t>
                  </w:r>
                  <w:r>
                    <w:rPr>
                      <w:rFonts w:hint="eastAsia" w:ascii="Times New Roman" w:hAnsi="Times New Roman" w:eastAsia="宋体"/>
                      <w:color w:val="auto"/>
                      <w:sz w:val="18"/>
                      <w:szCs w:val="18"/>
                      <w:highlight w:val="none"/>
                      <w:lang w:eastAsia="zh-CN"/>
                    </w:rPr>
                    <w:t>项目。</w:t>
                  </w:r>
                </w:p>
              </w:tc>
              <w:tc>
                <w:tcPr>
                  <w:tcW w:w="850"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4"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16</w:t>
                  </w:r>
                </w:p>
              </w:tc>
              <w:tc>
                <w:tcPr>
                  <w:tcW w:w="391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rPr>
                    <w:t>禁止在生态保护</w:t>
                  </w:r>
                  <w:r>
                    <w:rPr>
                      <w:rFonts w:hint="eastAsia" w:ascii="Times New Roman" w:hAnsi="Times New Roman" w:eastAsia="宋体"/>
                      <w:color w:val="auto"/>
                      <w:sz w:val="18"/>
                      <w:szCs w:val="18"/>
                      <w:highlight w:val="none"/>
                      <w:lang w:eastAsia="zh-CN"/>
                    </w:rPr>
                    <w:t>红</w:t>
                  </w:r>
                  <w:r>
                    <w:rPr>
                      <w:rFonts w:hint="eastAsia" w:ascii="Times New Roman" w:hAnsi="Times New Roman" w:eastAsia="宋体"/>
                      <w:color w:val="auto"/>
                      <w:sz w:val="18"/>
                      <w:szCs w:val="18"/>
                      <w:highlight w:val="none"/>
                    </w:rPr>
                    <w:t>线区域、永久基本农田集中区域和其他需要特别保护的区域内选址建设尾矿库、冶炼渣库、磷石膏库</w:t>
                  </w:r>
                  <w:r>
                    <w:rPr>
                      <w:rFonts w:hint="eastAsia" w:ascii="Times New Roman" w:hAnsi="Times New Roman" w:eastAsia="宋体"/>
                      <w:color w:val="auto"/>
                      <w:sz w:val="18"/>
                      <w:szCs w:val="18"/>
                      <w:highlight w:val="none"/>
                      <w:lang w:eastAsia="zh-CN"/>
                    </w:rPr>
                    <w:t>。</w:t>
                  </w:r>
                </w:p>
              </w:tc>
              <w:tc>
                <w:tcPr>
                  <w:tcW w:w="158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本项目不属于</w:t>
                  </w:r>
                  <w:r>
                    <w:rPr>
                      <w:rFonts w:hint="eastAsia" w:ascii="Times New Roman" w:hAnsi="Times New Roman" w:eastAsia="宋体"/>
                      <w:color w:val="auto"/>
                      <w:sz w:val="18"/>
                      <w:szCs w:val="18"/>
                      <w:highlight w:val="none"/>
                    </w:rPr>
                    <w:t>尾矿库、冶炼渣库、磷石膏库</w:t>
                  </w:r>
                  <w:r>
                    <w:rPr>
                      <w:rFonts w:hint="eastAsia" w:ascii="Times New Roman" w:hAnsi="Times New Roman" w:eastAsia="宋体"/>
                      <w:color w:val="auto"/>
                      <w:sz w:val="18"/>
                      <w:szCs w:val="18"/>
                      <w:highlight w:val="none"/>
                      <w:lang w:eastAsia="zh-CN"/>
                    </w:rPr>
                    <w:t>项目，也不在生态保护红线区域、永久基本农田集中区域和其他需要特别保护的区域内。</w:t>
                  </w:r>
                </w:p>
              </w:tc>
              <w:tc>
                <w:tcPr>
                  <w:tcW w:w="850"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4"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17</w:t>
                  </w:r>
                </w:p>
              </w:tc>
              <w:tc>
                <w:tcPr>
                  <w:tcW w:w="391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rPr>
                    <w:t>禁止在合规园区外新建、扩建钢铁、石化、化工、焦化、建材、有色、制浆造纸等高污染项目</w:t>
                  </w:r>
                  <w:r>
                    <w:rPr>
                      <w:rFonts w:hint="eastAsia" w:ascii="Times New Roman" w:hAnsi="Times New Roman" w:eastAsia="宋体"/>
                      <w:color w:val="auto"/>
                      <w:sz w:val="18"/>
                      <w:szCs w:val="18"/>
                      <w:highlight w:val="none"/>
                      <w:lang w:eastAsia="zh-CN"/>
                    </w:rPr>
                    <w:t>。</w:t>
                  </w:r>
                </w:p>
              </w:tc>
              <w:tc>
                <w:tcPr>
                  <w:tcW w:w="158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本项目不属于</w:t>
                  </w:r>
                  <w:r>
                    <w:rPr>
                      <w:rFonts w:hint="eastAsia" w:ascii="Times New Roman" w:hAnsi="Times New Roman" w:eastAsia="宋体"/>
                      <w:color w:val="auto"/>
                      <w:sz w:val="18"/>
                      <w:szCs w:val="18"/>
                      <w:highlight w:val="none"/>
                    </w:rPr>
                    <w:t>钢铁、石化、化工、焦化、建材、有色、制浆造纸等高污染项目</w:t>
                  </w:r>
                  <w:r>
                    <w:rPr>
                      <w:rFonts w:hint="eastAsia" w:ascii="Times New Roman" w:hAnsi="Times New Roman" w:eastAsia="宋体"/>
                      <w:color w:val="auto"/>
                      <w:sz w:val="18"/>
                      <w:szCs w:val="18"/>
                      <w:highlight w:val="none"/>
                      <w:lang w:eastAsia="zh-CN"/>
                    </w:rPr>
                    <w:t>。</w:t>
                  </w:r>
                </w:p>
              </w:tc>
              <w:tc>
                <w:tcPr>
                  <w:tcW w:w="850"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4"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18</w:t>
                  </w:r>
                </w:p>
              </w:tc>
              <w:tc>
                <w:tcPr>
                  <w:tcW w:w="391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rPr>
                    <w:t>禁止新建、扩建不符合国家石化、现代煤化工等产业布局规划的项目</w:t>
                  </w:r>
                  <w:r>
                    <w:rPr>
                      <w:rFonts w:hint="eastAsia" w:ascii="Times New Roman" w:hAnsi="Times New Roman" w:eastAsia="宋体"/>
                      <w:color w:val="auto"/>
                      <w:sz w:val="18"/>
                      <w:szCs w:val="18"/>
                      <w:highlight w:val="none"/>
                      <w:lang w:eastAsia="zh-CN"/>
                    </w:rPr>
                    <w:t>。</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（一）严格控制新增炼油产能，未列入《石化产业规划布局方案（修订版）》的新增炼油产能一律不得建设。</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（二）新建煤制烯烃、煤制芳烃项目必须列入《现代煤化工产业创新发展布局方案》，必须符合《现代煤化工建设项目环境准入条件（试行）》要求。</w:t>
                  </w:r>
                </w:p>
              </w:tc>
              <w:tc>
                <w:tcPr>
                  <w:tcW w:w="158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本项目不属于</w:t>
                  </w:r>
                  <w:r>
                    <w:rPr>
                      <w:rFonts w:hint="eastAsia" w:ascii="Times New Roman" w:hAnsi="Times New Roman" w:eastAsia="宋体"/>
                      <w:color w:val="auto"/>
                      <w:sz w:val="18"/>
                      <w:szCs w:val="18"/>
                      <w:highlight w:val="none"/>
                    </w:rPr>
                    <w:t>石化、现代煤化工项目</w:t>
                  </w:r>
                  <w:r>
                    <w:rPr>
                      <w:rFonts w:hint="eastAsia" w:ascii="Times New Roman" w:hAnsi="Times New Roman" w:eastAsia="宋体"/>
                      <w:color w:val="auto"/>
                      <w:sz w:val="18"/>
                      <w:szCs w:val="18"/>
                      <w:highlight w:val="none"/>
                      <w:lang w:eastAsia="zh-CN"/>
                    </w:rPr>
                    <w:t>。</w:t>
                  </w:r>
                </w:p>
              </w:tc>
              <w:tc>
                <w:tcPr>
                  <w:tcW w:w="850"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sz w:val="18"/>
                      <w:szCs w:val="18"/>
                      <w:highlight w:val="none"/>
                    </w:rPr>
                  </w:pPr>
                  <w:r>
                    <w:rPr>
                      <w:rFonts w:hint="eastAsia" w:ascii="Times New Roman" w:hAnsi="Times New Roman" w:eastAsia="宋体"/>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4"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19</w:t>
                  </w:r>
                </w:p>
              </w:tc>
              <w:tc>
                <w:tcPr>
                  <w:tcW w:w="391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rPr>
                    <w:t>禁止新建、扩建法律法规和相关政策明令禁止的落后产能项目</w:t>
                  </w:r>
                  <w:r>
                    <w:rPr>
                      <w:rFonts w:hint="eastAsia" w:ascii="Times New Roman" w:hAnsi="Times New Roman" w:eastAsia="宋体"/>
                      <w:color w:val="auto"/>
                      <w:sz w:val="18"/>
                      <w:szCs w:val="18"/>
                      <w:highlight w:val="none"/>
                      <w:lang w:eastAsia="zh-CN"/>
                    </w:rPr>
                    <w:t>。</w:t>
                  </w:r>
                  <w:r>
                    <w:rPr>
                      <w:rFonts w:hint="eastAsia" w:ascii="Times New Roman" w:hAnsi="Times New Roman" w:eastAsia="宋体"/>
                      <w:color w:val="auto"/>
                      <w:sz w:val="18"/>
                      <w:szCs w:val="18"/>
                      <w:highlight w:val="none"/>
                    </w:rPr>
                    <w:t>对《产业结构调整指导目录》中淘汰类项目，禁止投资</w:t>
                  </w:r>
                  <w:r>
                    <w:rPr>
                      <w:rFonts w:hint="eastAsia" w:ascii="Times New Roman" w:hAnsi="Times New Roman" w:eastAsia="宋体"/>
                      <w:color w:val="auto"/>
                      <w:sz w:val="18"/>
                      <w:szCs w:val="18"/>
                      <w:highlight w:val="none"/>
                      <w:lang w:eastAsia="zh-CN"/>
                    </w:rPr>
                    <w:t>；</w:t>
                  </w:r>
                  <w:r>
                    <w:rPr>
                      <w:rFonts w:hint="eastAsia" w:ascii="Times New Roman" w:hAnsi="Times New Roman" w:eastAsia="宋体"/>
                      <w:color w:val="auto"/>
                      <w:sz w:val="18"/>
                      <w:szCs w:val="18"/>
                      <w:highlight w:val="none"/>
                    </w:rPr>
                    <w:t>限制类的新建项目，禁止投资，对属于限制类的现有生产能力，允许企业在一定期限内采取措施改造升级</w:t>
                  </w:r>
                  <w:r>
                    <w:rPr>
                      <w:rFonts w:hint="eastAsia" w:ascii="Times New Roman" w:hAnsi="Times New Roman" w:eastAsia="宋体"/>
                      <w:color w:val="auto"/>
                      <w:sz w:val="18"/>
                      <w:szCs w:val="18"/>
                      <w:highlight w:val="none"/>
                      <w:lang w:eastAsia="zh-CN"/>
                    </w:rPr>
                    <w:t>。</w:t>
                  </w:r>
                </w:p>
              </w:tc>
              <w:tc>
                <w:tcPr>
                  <w:tcW w:w="158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本项目属于</w:t>
                  </w:r>
                  <w:r>
                    <w:rPr>
                      <w:rFonts w:hint="eastAsia" w:ascii="Times New Roman" w:hAnsi="Times New Roman" w:eastAsia="宋体"/>
                      <w:color w:val="auto"/>
                      <w:sz w:val="18"/>
                      <w:szCs w:val="18"/>
                      <w:highlight w:val="none"/>
                    </w:rPr>
                    <w:t>《产业结构调整指导目录》中</w:t>
                  </w:r>
                  <w:r>
                    <w:rPr>
                      <w:rFonts w:hint="eastAsia" w:ascii="Times New Roman" w:hAnsi="Times New Roman" w:eastAsia="宋体"/>
                      <w:color w:val="auto"/>
                      <w:sz w:val="18"/>
                      <w:szCs w:val="18"/>
                      <w:highlight w:val="none"/>
                      <w:lang w:eastAsia="zh-CN"/>
                    </w:rPr>
                    <w:t>鼓励类项目。</w:t>
                  </w:r>
                </w:p>
              </w:tc>
              <w:tc>
                <w:tcPr>
                  <w:tcW w:w="850"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4"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20</w:t>
                  </w:r>
                </w:p>
              </w:tc>
              <w:tc>
                <w:tcPr>
                  <w:tcW w:w="391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rPr>
                    <w:t>禁止新建、扩建不符合国家产能置换要求的严重过剩产能行业的项目</w:t>
                  </w:r>
                  <w:r>
                    <w:rPr>
                      <w:rFonts w:hint="eastAsia" w:ascii="Times New Roman" w:hAnsi="Times New Roman" w:eastAsia="宋体"/>
                      <w:color w:val="auto"/>
                      <w:sz w:val="18"/>
                      <w:szCs w:val="18"/>
                      <w:highlight w:val="none"/>
                      <w:lang w:eastAsia="zh-CN"/>
                    </w:rPr>
                    <w:t>。</w:t>
                  </w:r>
                  <w:r>
                    <w:rPr>
                      <w:rFonts w:hint="eastAsia" w:ascii="Times New Roman" w:hAnsi="Times New Roman" w:eastAsia="宋体"/>
                      <w:color w:val="auto"/>
                      <w:sz w:val="18"/>
                      <w:szCs w:val="18"/>
                      <w:highlight w:val="none"/>
                    </w:rPr>
                    <w:t>对于不符合国家产能置换要求的严重过剩产能行业，不得以其他任何名义</w:t>
                  </w:r>
                  <w:r>
                    <w:rPr>
                      <w:rFonts w:hint="eastAsia" w:ascii="Times New Roman" w:hAnsi="Times New Roman" w:eastAsia="宋体"/>
                      <w:color w:val="auto"/>
                      <w:sz w:val="18"/>
                      <w:szCs w:val="18"/>
                      <w:highlight w:val="none"/>
                      <w:lang w:eastAsia="zh-CN"/>
                    </w:rPr>
                    <w:t>、</w:t>
                  </w:r>
                  <w:r>
                    <w:rPr>
                      <w:rFonts w:hint="eastAsia" w:ascii="Times New Roman" w:hAnsi="Times New Roman" w:eastAsia="宋体"/>
                      <w:color w:val="auto"/>
                      <w:sz w:val="18"/>
                      <w:szCs w:val="18"/>
                      <w:highlight w:val="none"/>
                    </w:rPr>
                    <w:t>任何方式备案新增产能项目</w:t>
                  </w:r>
                  <w:r>
                    <w:rPr>
                      <w:rFonts w:hint="eastAsia" w:ascii="Times New Roman" w:hAnsi="Times New Roman" w:eastAsia="宋体"/>
                      <w:color w:val="auto"/>
                      <w:sz w:val="18"/>
                      <w:szCs w:val="18"/>
                      <w:highlight w:val="none"/>
                      <w:lang w:eastAsia="zh-CN"/>
                    </w:rPr>
                    <w:t>。</w:t>
                  </w:r>
                </w:p>
              </w:tc>
              <w:tc>
                <w:tcPr>
                  <w:tcW w:w="158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本项目不属于</w:t>
                  </w:r>
                  <w:r>
                    <w:rPr>
                      <w:rFonts w:hint="eastAsia" w:ascii="Times New Roman" w:hAnsi="Times New Roman" w:eastAsia="宋体"/>
                      <w:color w:val="auto"/>
                      <w:sz w:val="18"/>
                      <w:szCs w:val="18"/>
                      <w:highlight w:val="none"/>
                    </w:rPr>
                    <w:t>国家产能置换要求的严重过剩产能行业的项目</w:t>
                  </w:r>
                  <w:r>
                    <w:rPr>
                      <w:rFonts w:hint="eastAsia" w:ascii="Times New Roman" w:hAnsi="Times New Roman" w:eastAsia="宋体"/>
                      <w:color w:val="auto"/>
                      <w:sz w:val="18"/>
                      <w:szCs w:val="18"/>
                      <w:highlight w:val="none"/>
                      <w:lang w:eastAsia="zh-CN"/>
                    </w:rPr>
                    <w:t>。</w:t>
                  </w:r>
                </w:p>
              </w:tc>
              <w:tc>
                <w:tcPr>
                  <w:tcW w:w="850"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4"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21</w:t>
                  </w:r>
                </w:p>
              </w:tc>
              <w:tc>
                <w:tcPr>
                  <w:tcW w:w="391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eastAsia="zh-CN"/>
                    </w:rPr>
                    <w:t>禁止</w:t>
                  </w:r>
                  <w:r>
                    <w:rPr>
                      <w:rFonts w:hint="eastAsia" w:ascii="Times New Roman" w:hAnsi="Times New Roman" w:eastAsia="宋体"/>
                      <w:color w:val="auto"/>
                      <w:sz w:val="18"/>
                      <w:szCs w:val="18"/>
                      <w:highlight w:val="none"/>
                    </w:rPr>
                    <w:t>建设以</w:t>
                  </w:r>
                  <w:r>
                    <w:rPr>
                      <w:rFonts w:hint="eastAsia" w:ascii="Times New Roman" w:hAnsi="Times New Roman" w:eastAsia="宋体"/>
                      <w:color w:val="auto"/>
                      <w:sz w:val="18"/>
                      <w:szCs w:val="18"/>
                      <w:highlight w:val="none"/>
                      <w:lang w:eastAsia="zh-CN"/>
                    </w:rPr>
                    <w:t>下</w:t>
                  </w:r>
                  <w:r>
                    <w:rPr>
                      <w:rFonts w:hint="eastAsia" w:ascii="Times New Roman" w:hAnsi="Times New Roman" w:eastAsia="宋体"/>
                      <w:color w:val="auto"/>
                      <w:sz w:val="18"/>
                      <w:szCs w:val="18"/>
                      <w:highlight w:val="none"/>
                    </w:rPr>
                    <w:t>燃油汽车投资项目</w:t>
                  </w:r>
                  <w:r>
                    <w:rPr>
                      <w:rFonts w:hint="eastAsia" w:ascii="Times New Roman" w:hAnsi="Times New Roman" w:eastAsia="宋体"/>
                      <w:color w:val="auto"/>
                      <w:sz w:val="18"/>
                      <w:szCs w:val="18"/>
                      <w:highlight w:val="none"/>
                      <w:lang w:eastAsia="zh-CN"/>
                    </w:rPr>
                    <w:t>（</w:t>
                  </w:r>
                  <w:r>
                    <w:rPr>
                      <w:rFonts w:hint="eastAsia" w:ascii="Times New Roman" w:hAnsi="Times New Roman" w:eastAsia="宋体"/>
                      <w:color w:val="auto"/>
                      <w:sz w:val="18"/>
                      <w:szCs w:val="18"/>
                      <w:highlight w:val="none"/>
                    </w:rPr>
                    <w:t>不在中</w:t>
                  </w:r>
                  <w:r>
                    <w:rPr>
                      <w:rFonts w:hint="eastAsia" w:ascii="Times New Roman" w:hAnsi="Times New Roman" w:eastAsia="宋体"/>
                      <w:color w:val="auto"/>
                      <w:sz w:val="18"/>
                      <w:szCs w:val="18"/>
                      <w:highlight w:val="none"/>
                      <w:lang w:eastAsia="zh-CN"/>
                    </w:rPr>
                    <w:t>国</w:t>
                  </w:r>
                  <w:r>
                    <w:rPr>
                      <w:rFonts w:hint="eastAsia" w:ascii="Times New Roman" w:hAnsi="Times New Roman" w:eastAsia="宋体"/>
                      <w:color w:val="auto"/>
                      <w:sz w:val="18"/>
                      <w:szCs w:val="18"/>
                      <w:highlight w:val="none"/>
                    </w:rPr>
                    <w:t>境内销售产品的投资项目除外</w:t>
                  </w:r>
                  <w:r>
                    <w:rPr>
                      <w:rFonts w:hint="eastAsia" w:ascii="Times New Roman" w:hAnsi="Times New Roman" w:eastAsia="宋体"/>
                      <w:color w:val="auto"/>
                      <w:sz w:val="18"/>
                      <w:szCs w:val="18"/>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val="en-US" w:eastAsia="zh-CN"/>
                    </w:rPr>
                    <w:t>（一）</w:t>
                  </w:r>
                  <w:r>
                    <w:rPr>
                      <w:rFonts w:hint="eastAsia" w:ascii="Times New Roman" w:hAnsi="Times New Roman" w:eastAsia="宋体"/>
                      <w:color w:val="auto"/>
                      <w:sz w:val="18"/>
                      <w:szCs w:val="18"/>
                      <w:highlight w:val="none"/>
                    </w:rPr>
                    <w:t>新建独立燃油汽车企业</w:t>
                  </w:r>
                  <w:r>
                    <w:rPr>
                      <w:rFonts w:hint="eastAsia" w:ascii="Times New Roman" w:hAnsi="Times New Roman" w:eastAsia="宋体"/>
                      <w:color w:val="auto"/>
                      <w:sz w:val="18"/>
                      <w:szCs w:val="18"/>
                      <w:highlight w:val="none"/>
                      <w:lang w:eastAsia="zh-CN"/>
                    </w:rPr>
                    <w:t>；</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w:t>
                  </w:r>
                  <w:r>
                    <w:rPr>
                      <w:rFonts w:hint="eastAsia" w:ascii="Times New Roman" w:hAnsi="Times New Roman" w:eastAsia="宋体"/>
                      <w:color w:val="auto"/>
                      <w:sz w:val="18"/>
                      <w:szCs w:val="18"/>
                      <w:highlight w:val="none"/>
                    </w:rPr>
                    <w:t>二</w:t>
                  </w:r>
                  <w:r>
                    <w:rPr>
                      <w:rFonts w:hint="eastAsia" w:ascii="Times New Roman" w:hAnsi="Times New Roman" w:eastAsia="宋体"/>
                      <w:color w:val="auto"/>
                      <w:sz w:val="18"/>
                      <w:szCs w:val="18"/>
                      <w:highlight w:val="none"/>
                      <w:lang w:eastAsia="zh-CN"/>
                    </w:rPr>
                    <w:t>）</w:t>
                  </w:r>
                  <w:r>
                    <w:rPr>
                      <w:rFonts w:hint="eastAsia" w:ascii="Times New Roman" w:hAnsi="Times New Roman" w:eastAsia="宋体"/>
                      <w:color w:val="auto"/>
                      <w:sz w:val="18"/>
                      <w:szCs w:val="18"/>
                      <w:highlight w:val="none"/>
                    </w:rPr>
                    <w:t>现有汽车企业跨乘用车、商用车类别建设燃油汽车生产能力</w:t>
                  </w:r>
                  <w:r>
                    <w:rPr>
                      <w:rFonts w:hint="eastAsia" w:ascii="Times New Roman" w:hAnsi="Times New Roman" w:eastAsia="宋体"/>
                      <w:color w:val="auto"/>
                      <w:sz w:val="18"/>
                      <w:szCs w:val="18"/>
                      <w:highlight w:val="none"/>
                      <w:lang w:eastAsia="zh-CN"/>
                    </w:rPr>
                    <w:t>；</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（三</w:t>
                  </w:r>
                  <w:r>
                    <w:rPr>
                      <w:rFonts w:hint="eastAsia" w:ascii="Times New Roman" w:hAnsi="Times New Roman" w:eastAsia="宋体"/>
                      <w:color w:val="auto"/>
                      <w:sz w:val="18"/>
                      <w:szCs w:val="18"/>
                      <w:highlight w:val="none"/>
                      <w:lang w:eastAsia="zh-CN"/>
                    </w:rPr>
                    <w:t>）</w:t>
                  </w:r>
                  <w:r>
                    <w:rPr>
                      <w:rFonts w:hint="eastAsia" w:ascii="Times New Roman" w:hAnsi="Times New Roman" w:eastAsia="宋体"/>
                      <w:color w:val="auto"/>
                      <w:sz w:val="18"/>
                      <w:szCs w:val="18"/>
                      <w:highlight w:val="none"/>
                    </w:rPr>
                    <w:t>外省现有燃油汽车企业整体搬迁至本省</w:t>
                  </w:r>
                  <w:r>
                    <w:rPr>
                      <w:rFonts w:hint="eastAsia" w:ascii="Times New Roman" w:hAnsi="Times New Roman" w:eastAsia="宋体"/>
                      <w:color w:val="auto"/>
                      <w:sz w:val="18"/>
                      <w:szCs w:val="18"/>
                      <w:highlight w:val="none"/>
                      <w:lang w:val="en-US" w:eastAsia="zh-CN"/>
                    </w:rPr>
                    <w:t>（</w:t>
                  </w:r>
                  <w:r>
                    <w:rPr>
                      <w:rFonts w:hint="eastAsia" w:ascii="Times New Roman" w:hAnsi="Times New Roman" w:eastAsia="宋体"/>
                      <w:color w:val="auto"/>
                      <w:sz w:val="18"/>
                      <w:szCs w:val="18"/>
                      <w:highlight w:val="none"/>
                    </w:rPr>
                    <w:t>列入国家级区域发展规划或不改变企业股权结构的项目除外</w:t>
                  </w:r>
                  <w:r>
                    <w:rPr>
                      <w:rFonts w:hint="eastAsia" w:ascii="Times New Roman" w:hAnsi="Times New Roman" w:eastAsia="宋体"/>
                      <w:color w:val="auto"/>
                      <w:sz w:val="18"/>
                      <w:szCs w:val="18"/>
                      <w:highlight w:val="none"/>
                      <w:lang w:eastAsia="zh-CN"/>
                    </w:rPr>
                    <w:t>）；</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w:t>
                  </w:r>
                  <w:r>
                    <w:rPr>
                      <w:rFonts w:hint="eastAsia" w:ascii="Times New Roman" w:hAnsi="Times New Roman" w:eastAsia="宋体"/>
                      <w:color w:val="auto"/>
                      <w:sz w:val="18"/>
                      <w:szCs w:val="18"/>
                      <w:highlight w:val="none"/>
                    </w:rPr>
                    <w:t>四</w:t>
                  </w:r>
                  <w:r>
                    <w:rPr>
                      <w:rFonts w:hint="eastAsia" w:ascii="Times New Roman" w:hAnsi="Times New Roman" w:eastAsia="宋体"/>
                      <w:color w:val="auto"/>
                      <w:sz w:val="18"/>
                      <w:szCs w:val="18"/>
                      <w:highlight w:val="none"/>
                      <w:lang w:eastAsia="zh-CN"/>
                    </w:rPr>
                    <w:t>）</w:t>
                  </w:r>
                  <w:r>
                    <w:rPr>
                      <w:rFonts w:hint="eastAsia" w:ascii="Times New Roman" w:hAnsi="Times New Roman" w:eastAsia="宋体"/>
                      <w:color w:val="auto"/>
                      <w:sz w:val="18"/>
                      <w:szCs w:val="18"/>
                      <w:highlight w:val="none"/>
                    </w:rPr>
                    <w:t>对行业管理部门特别公示的燃油汽车企业进行投资</w:t>
                  </w:r>
                  <w:r>
                    <w:rPr>
                      <w:rFonts w:hint="eastAsia" w:ascii="Times New Roman" w:hAnsi="Times New Roman" w:eastAsia="宋体"/>
                      <w:color w:val="auto"/>
                      <w:sz w:val="18"/>
                      <w:szCs w:val="18"/>
                      <w:highlight w:val="none"/>
                      <w:lang w:eastAsia="zh-CN"/>
                    </w:rPr>
                    <w:t>（</w:t>
                  </w:r>
                  <w:r>
                    <w:rPr>
                      <w:rFonts w:hint="eastAsia" w:ascii="Times New Roman" w:hAnsi="Times New Roman" w:eastAsia="宋体"/>
                      <w:color w:val="auto"/>
                      <w:sz w:val="18"/>
                      <w:szCs w:val="18"/>
                      <w:highlight w:val="none"/>
                    </w:rPr>
                    <w:t>企业原有股东投资或将该企业转为非独立法人的投资项目除外</w:t>
                  </w:r>
                  <w:r>
                    <w:rPr>
                      <w:rFonts w:hint="eastAsia" w:ascii="Times New Roman" w:hAnsi="Times New Roman" w:eastAsia="宋体"/>
                      <w:color w:val="auto"/>
                      <w:sz w:val="18"/>
                      <w:szCs w:val="18"/>
                      <w:highlight w:val="none"/>
                      <w:lang w:eastAsia="zh-CN"/>
                    </w:rPr>
                    <w:t>）。</w:t>
                  </w:r>
                </w:p>
              </w:tc>
              <w:tc>
                <w:tcPr>
                  <w:tcW w:w="158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本项目不属于燃油汽车投资项目。</w:t>
                  </w:r>
                </w:p>
              </w:tc>
              <w:tc>
                <w:tcPr>
                  <w:tcW w:w="850"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4" w:type="dxa"/>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22</w:t>
                  </w:r>
                </w:p>
              </w:tc>
              <w:tc>
                <w:tcPr>
                  <w:tcW w:w="391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rPr>
                    <w:t>禁止新建</w:t>
                  </w:r>
                  <w:r>
                    <w:rPr>
                      <w:rFonts w:hint="eastAsia" w:ascii="Times New Roman" w:hAnsi="Times New Roman" w:eastAsia="宋体"/>
                      <w:color w:val="auto"/>
                      <w:sz w:val="18"/>
                      <w:szCs w:val="18"/>
                      <w:highlight w:val="none"/>
                      <w:lang w:eastAsia="zh-CN"/>
                    </w:rPr>
                    <w:t>、</w:t>
                  </w:r>
                  <w:r>
                    <w:rPr>
                      <w:rFonts w:hint="eastAsia" w:ascii="Times New Roman" w:hAnsi="Times New Roman" w:eastAsia="宋体"/>
                      <w:color w:val="auto"/>
                      <w:sz w:val="18"/>
                      <w:szCs w:val="18"/>
                      <w:highlight w:val="none"/>
                    </w:rPr>
                    <w:t>扩建不符合要求的高耗能、高排放、低水平项目</w:t>
                  </w:r>
                  <w:r>
                    <w:rPr>
                      <w:rFonts w:hint="eastAsia" w:ascii="Times New Roman" w:hAnsi="Times New Roman" w:eastAsia="宋体"/>
                      <w:color w:val="auto"/>
                      <w:sz w:val="18"/>
                      <w:szCs w:val="18"/>
                      <w:highlight w:val="none"/>
                      <w:lang w:eastAsia="zh-CN"/>
                    </w:rPr>
                    <w:t>。</w:t>
                  </w:r>
                </w:p>
              </w:tc>
              <w:tc>
                <w:tcPr>
                  <w:tcW w:w="158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本项目不属于</w:t>
                  </w:r>
                  <w:r>
                    <w:rPr>
                      <w:rFonts w:hint="eastAsia" w:ascii="Times New Roman" w:hAnsi="Times New Roman" w:eastAsia="宋体"/>
                      <w:color w:val="auto"/>
                      <w:sz w:val="18"/>
                      <w:szCs w:val="18"/>
                      <w:highlight w:val="none"/>
                    </w:rPr>
                    <w:t>不符合要求的高耗能、高排放、低水平项目</w:t>
                  </w:r>
                  <w:r>
                    <w:rPr>
                      <w:rFonts w:hint="eastAsia" w:ascii="Times New Roman" w:hAnsi="Times New Roman" w:eastAsia="宋体"/>
                      <w:color w:val="auto"/>
                      <w:sz w:val="18"/>
                      <w:szCs w:val="18"/>
                      <w:highlight w:val="none"/>
                      <w:lang w:eastAsia="zh-CN"/>
                    </w:rPr>
                    <w:t>。</w:t>
                  </w:r>
                </w:p>
              </w:tc>
              <w:tc>
                <w:tcPr>
                  <w:tcW w:w="850"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18"/>
                      <w:szCs w:val="18"/>
                      <w:highlight w:val="none"/>
                      <w:lang w:eastAsia="zh-CN"/>
                    </w:rPr>
                  </w:pPr>
                  <w:r>
                    <w:rPr>
                      <w:rFonts w:hint="eastAsia" w:ascii="Times New Roman" w:hAnsi="Times New Roman" w:eastAsia="宋体"/>
                      <w:color w:val="auto"/>
                      <w:sz w:val="18"/>
                      <w:szCs w:val="18"/>
                      <w:highlight w:val="none"/>
                      <w:lang w:eastAsia="zh-CN"/>
                    </w:rPr>
                    <w:t>符合</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ascii="Times New Roman" w:hAnsi="Times New Roman" w:eastAsia="宋体"/>
                <w:color w:val="auto"/>
                <w:sz w:val="21"/>
                <w:szCs w:val="21"/>
                <w:highlight w:val="none"/>
                <w:lang w:val="fr-FR" w:eastAsia="zh-CN"/>
              </w:rPr>
            </w:pPr>
            <w:r>
              <w:rPr>
                <w:rFonts w:hint="eastAsia" w:ascii="Times New Roman" w:hAnsi="Times New Roman" w:eastAsia="宋体" w:cs="宋体"/>
                <w:color w:val="auto"/>
                <w:kern w:val="0"/>
                <w:sz w:val="21"/>
                <w:szCs w:val="21"/>
                <w:highlight w:val="none"/>
                <w:lang w:eastAsia="zh-CN"/>
              </w:rPr>
              <w:t>根据表</w:t>
            </w:r>
            <w:r>
              <w:rPr>
                <w:rFonts w:hint="eastAsia" w:ascii="Times New Roman" w:hAnsi="Times New Roman" w:eastAsia="宋体" w:cs="宋体"/>
                <w:color w:val="auto"/>
                <w:kern w:val="0"/>
                <w:sz w:val="21"/>
                <w:szCs w:val="21"/>
                <w:highlight w:val="none"/>
                <w:lang w:val="en-US" w:eastAsia="zh-CN"/>
              </w:rPr>
              <w:t>1.2-</w:t>
            </w:r>
            <w:r>
              <w:rPr>
                <w:rFonts w:hint="eastAsia" w:cs="宋体"/>
                <w:color w:val="auto"/>
                <w:kern w:val="0"/>
                <w:sz w:val="21"/>
                <w:szCs w:val="21"/>
                <w:highlight w:val="none"/>
                <w:lang w:val="en-US" w:eastAsia="zh-CN"/>
              </w:rPr>
              <w:t>6</w:t>
            </w:r>
            <w:r>
              <w:rPr>
                <w:rFonts w:hint="eastAsia" w:ascii="Times New Roman" w:hAnsi="Times New Roman" w:eastAsia="宋体" w:cs="宋体"/>
                <w:color w:val="auto"/>
                <w:kern w:val="0"/>
                <w:sz w:val="21"/>
                <w:szCs w:val="21"/>
                <w:highlight w:val="none"/>
                <w:lang w:val="en-US" w:eastAsia="zh-CN"/>
              </w:rPr>
              <w:t>，本项目符合</w:t>
            </w:r>
            <w:r>
              <w:rPr>
                <w:rFonts w:hint="eastAsia" w:ascii="Times New Roman" w:hAnsi="Times New Roman" w:eastAsia="宋体" w:cs="宋体"/>
                <w:color w:val="auto"/>
                <w:kern w:val="0"/>
                <w:sz w:val="21"/>
                <w:szCs w:val="21"/>
                <w:highlight w:val="none"/>
                <w:lang w:eastAsia="zh-CN"/>
              </w:rPr>
              <w:t>《四川省、重庆市长江经济带发展负面清单实施细则（试行，2022年版）》</w:t>
            </w:r>
            <w:r>
              <w:rPr>
                <w:rFonts w:hint="eastAsia" w:ascii="Times New Roman" w:hAnsi="Times New Roman" w:eastAsia="宋体" w:cs="宋体"/>
                <w:color w:val="auto"/>
                <w:kern w:val="0"/>
                <w:sz w:val="21"/>
                <w:szCs w:val="21"/>
                <w:highlight w:val="none"/>
                <w:lang w:val="en-US" w:eastAsia="zh-CN"/>
              </w:rPr>
              <w:t>的相关要求</w:t>
            </w:r>
            <w:r>
              <w:rPr>
                <w:rFonts w:hint="eastAsia" w:ascii="Times New Roman" w:hAnsi="Times New Roman" w:eastAsia="宋体"/>
                <w:color w:val="auto"/>
                <w:sz w:val="21"/>
                <w:szCs w:val="21"/>
                <w:highlight w:val="none"/>
                <w:lang w:val="fr-FR"/>
              </w:rPr>
              <w:t>。</w:t>
            </w:r>
          </w:p>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Times New Roman" w:hAnsi="Times New Roman" w:eastAsia="宋体"/>
                <w:b/>
                <w:color w:val="auto"/>
                <w:sz w:val="21"/>
                <w:szCs w:val="21"/>
                <w:highlight w:val="none"/>
                <w:lang w:val="en-US" w:eastAsia="zh-CN"/>
              </w:rPr>
            </w:pPr>
            <w:r>
              <w:rPr>
                <w:rFonts w:hint="eastAsia" w:ascii="Times New Roman" w:hAnsi="Times New Roman" w:eastAsia="宋体"/>
                <w:b/>
                <w:color w:val="auto"/>
                <w:sz w:val="21"/>
                <w:szCs w:val="21"/>
                <w:highlight w:val="none"/>
                <w:lang w:val="en-US" w:eastAsia="zh-CN"/>
              </w:rPr>
              <w:t>1.2.</w:t>
            </w:r>
            <w:r>
              <w:rPr>
                <w:rFonts w:hint="eastAsia"/>
                <w:b/>
                <w:color w:val="auto"/>
                <w:sz w:val="21"/>
                <w:szCs w:val="21"/>
                <w:highlight w:val="none"/>
                <w:lang w:val="en-US" w:eastAsia="zh-CN"/>
              </w:rPr>
              <w:t>6</w:t>
            </w:r>
            <w:r>
              <w:rPr>
                <w:rFonts w:hint="eastAsia" w:ascii="Times New Roman" w:hAnsi="Times New Roman" w:eastAsia="宋体"/>
                <w:b/>
                <w:color w:val="auto"/>
                <w:sz w:val="21"/>
                <w:szCs w:val="21"/>
                <w:highlight w:val="none"/>
                <w:lang w:val="en-US" w:eastAsia="zh-CN"/>
              </w:rPr>
              <w:t>与《中华人民共和国水污染防治法》符合性分析</w:t>
            </w:r>
          </w:p>
          <w:p>
            <w:pPr>
              <w:pStyle w:val="78"/>
              <w:keepNext w:val="0"/>
              <w:keepLines w:val="0"/>
              <w:pageBreakBefore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宋体"/>
                <w:color w:val="auto"/>
                <w:kern w:val="0"/>
                <w:sz w:val="21"/>
                <w:szCs w:val="21"/>
                <w:highlight w:val="none"/>
                <w:lang w:eastAsia="zh-CN"/>
              </w:rPr>
            </w:pPr>
            <w:r>
              <w:rPr>
                <w:rFonts w:hint="eastAsia" w:ascii="Times New Roman" w:hAnsi="Times New Roman" w:eastAsia="宋体" w:cs="宋体"/>
                <w:color w:val="auto"/>
                <w:kern w:val="0"/>
                <w:sz w:val="21"/>
                <w:szCs w:val="21"/>
                <w:highlight w:val="none"/>
              </w:rPr>
              <w:t>本项目与《中华人民共和国水污染防治法》的符合性分析详见表</w:t>
            </w:r>
            <w:r>
              <w:rPr>
                <w:rFonts w:hint="eastAsia" w:ascii="Times New Roman" w:hAnsi="Times New Roman" w:eastAsia="宋体" w:cs="宋体"/>
                <w:color w:val="auto"/>
                <w:kern w:val="0"/>
                <w:sz w:val="21"/>
                <w:szCs w:val="21"/>
                <w:highlight w:val="none"/>
                <w:lang w:val="en-US" w:eastAsia="zh-CN"/>
              </w:rPr>
              <w:t>1.2-</w:t>
            </w:r>
            <w:r>
              <w:rPr>
                <w:rFonts w:hint="eastAsia" w:cs="宋体"/>
                <w:color w:val="auto"/>
                <w:kern w:val="0"/>
                <w:sz w:val="21"/>
                <w:szCs w:val="21"/>
                <w:highlight w:val="none"/>
                <w:lang w:val="en-US" w:eastAsia="zh-CN"/>
              </w:rPr>
              <w:t>7</w:t>
            </w:r>
            <w:r>
              <w:rPr>
                <w:rFonts w:hint="eastAsia" w:ascii="Times New Roman" w:hAnsi="Times New Roman" w:eastAsia="宋体" w:cs="宋体"/>
                <w:color w:val="auto"/>
                <w:kern w:val="0"/>
                <w:sz w:val="21"/>
                <w:szCs w:val="21"/>
                <w:highlight w:val="none"/>
                <w:lang w:eastAsia="zh-CN"/>
              </w:rPr>
              <w:t>。</w:t>
            </w:r>
          </w:p>
          <w:p>
            <w:pPr>
              <w:pStyle w:val="78"/>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Times New Roman" w:hAnsi="Times New Roman" w:eastAsia="宋体"/>
                <w:b w:val="0"/>
                <w:bCs w:val="0"/>
                <w:color w:val="auto"/>
                <w:sz w:val="21"/>
                <w:szCs w:val="21"/>
                <w:highlight w:val="none"/>
                <w:lang w:eastAsia="zh-CN"/>
              </w:rPr>
            </w:pPr>
            <w:r>
              <w:rPr>
                <w:rFonts w:hint="eastAsia" w:ascii="Times New Roman" w:hAnsi="Times New Roman" w:eastAsia="宋体"/>
                <w:b w:val="0"/>
                <w:bCs w:val="0"/>
                <w:color w:val="auto"/>
                <w:sz w:val="21"/>
                <w:szCs w:val="21"/>
                <w:highlight w:val="none"/>
                <w:lang w:eastAsia="zh-CN"/>
              </w:rPr>
              <w:t>表</w:t>
            </w:r>
            <w:r>
              <w:rPr>
                <w:rFonts w:hint="eastAsia" w:ascii="Times New Roman" w:hAnsi="Times New Roman" w:eastAsia="宋体"/>
                <w:b w:val="0"/>
                <w:bCs w:val="0"/>
                <w:color w:val="auto"/>
                <w:sz w:val="21"/>
                <w:szCs w:val="21"/>
                <w:highlight w:val="none"/>
                <w:lang w:val="en-US" w:eastAsia="zh-CN"/>
              </w:rPr>
              <w:t>1.2-</w:t>
            </w:r>
            <w:r>
              <w:rPr>
                <w:rFonts w:hint="eastAsia"/>
                <w:b w:val="0"/>
                <w:bCs w:val="0"/>
                <w:color w:val="auto"/>
                <w:sz w:val="21"/>
                <w:szCs w:val="21"/>
                <w:highlight w:val="none"/>
                <w:lang w:val="en-US" w:eastAsia="zh-CN"/>
              </w:rPr>
              <w:t>7</w:t>
            </w:r>
            <w:r>
              <w:rPr>
                <w:rFonts w:hint="eastAsia" w:ascii="Times New Roman" w:hAnsi="Times New Roman" w:eastAsia="宋体"/>
                <w:b w:val="0"/>
                <w:bCs w:val="0"/>
                <w:color w:val="auto"/>
                <w:sz w:val="21"/>
                <w:szCs w:val="21"/>
                <w:highlight w:val="none"/>
                <w:lang w:eastAsia="zh-CN"/>
              </w:rPr>
              <w:t>与《中华人民共和国水污染防治法》符合性分析</w:t>
            </w:r>
          </w:p>
          <w:tbl>
            <w:tblPr>
              <w:tblStyle w:val="79"/>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4559"/>
              <w:gridCol w:w="1010"/>
              <w:gridCol w:w="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pacing w:val="-2"/>
                      <w:kern w:val="0"/>
                      <w:sz w:val="18"/>
                      <w:szCs w:val="18"/>
                      <w:highlight w:val="none"/>
                      <w:lang w:eastAsia="zh-CN"/>
                    </w:rPr>
                  </w:pPr>
                  <w:r>
                    <w:rPr>
                      <w:rFonts w:hint="eastAsia" w:ascii="Times New Roman" w:hAnsi="Times New Roman" w:eastAsia="宋体" w:cs="Times New Roman"/>
                      <w:color w:val="auto"/>
                      <w:spacing w:val="-2"/>
                      <w:kern w:val="0"/>
                      <w:sz w:val="18"/>
                      <w:szCs w:val="18"/>
                      <w:highlight w:val="none"/>
                      <w:lang w:eastAsia="zh-CN"/>
                    </w:rPr>
                    <w:t>项目</w:t>
                  </w:r>
                </w:p>
              </w:tc>
              <w:tc>
                <w:tcPr>
                  <w:tcW w:w="440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pacing w:val="-2"/>
                      <w:kern w:val="0"/>
                      <w:sz w:val="18"/>
                      <w:szCs w:val="18"/>
                      <w:highlight w:val="none"/>
                    </w:rPr>
                  </w:pPr>
                  <w:r>
                    <w:rPr>
                      <w:rFonts w:hint="eastAsia" w:ascii="Times New Roman" w:hAnsi="Times New Roman" w:eastAsia="宋体" w:cs="Times New Roman"/>
                      <w:color w:val="auto"/>
                      <w:spacing w:val="-2"/>
                      <w:kern w:val="0"/>
                      <w:sz w:val="18"/>
                      <w:szCs w:val="18"/>
                      <w:highlight w:val="none"/>
                    </w:rPr>
                    <w:t>水污染防治法</w:t>
                  </w:r>
                  <w:r>
                    <w:rPr>
                      <w:rFonts w:ascii="Times New Roman" w:hAnsi="Times New Roman" w:eastAsia="宋体" w:cs="Times New Roman"/>
                      <w:color w:val="auto"/>
                      <w:spacing w:val="-2"/>
                      <w:kern w:val="0"/>
                      <w:sz w:val="18"/>
                      <w:szCs w:val="18"/>
                      <w:highlight w:val="none"/>
                    </w:rPr>
                    <w:t>要求</w:t>
                  </w:r>
                </w:p>
              </w:tc>
              <w:tc>
                <w:tcPr>
                  <w:tcW w:w="97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pacing w:val="-2"/>
                      <w:kern w:val="0"/>
                      <w:sz w:val="18"/>
                      <w:szCs w:val="18"/>
                      <w:highlight w:val="none"/>
                    </w:rPr>
                  </w:pPr>
                  <w:r>
                    <w:rPr>
                      <w:rFonts w:ascii="Times New Roman" w:hAnsi="Times New Roman" w:eastAsia="宋体" w:cs="Times New Roman"/>
                      <w:color w:val="auto"/>
                      <w:spacing w:val="-2"/>
                      <w:kern w:val="0"/>
                      <w:sz w:val="18"/>
                      <w:szCs w:val="18"/>
                      <w:highlight w:val="none"/>
                    </w:rPr>
                    <w:t>项目情况</w:t>
                  </w:r>
                </w:p>
              </w:tc>
              <w:tc>
                <w:tcPr>
                  <w:tcW w:w="806"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pacing w:val="-2"/>
                      <w:kern w:val="0"/>
                      <w:sz w:val="18"/>
                      <w:szCs w:val="18"/>
                      <w:highlight w:val="none"/>
                      <w:lang w:eastAsia="zh-CN"/>
                    </w:rPr>
                  </w:pPr>
                  <w:r>
                    <w:rPr>
                      <w:rFonts w:ascii="Times New Roman" w:hAnsi="Times New Roman" w:eastAsia="宋体" w:cs="Times New Roman"/>
                      <w:color w:val="auto"/>
                      <w:spacing w:val="-2"/>
                      <w:kern w:val="0"/>
                      <w:sz w:val="18"/>
                      <w:szCs w:val="18"/>
                      <w:highlight w:val="none"/>
                    </w:rPr>
                    <w:t>符合</w:t>
                  </w:r>
                  <w:r>
                    <w:rPr>
                      <w:rFonts w:hint="eastAsia" w:ascii="Times New Roman" w:hAnsi="Times New Roman" w:eastAsia="宋体" w:cs="Times New Roman"/>
                      <w:color w:val="auto"/>
                      <w:spacing w:val="-2"/>
                      <w:kern w:val="0"/>
                      <w:sz w:val="18"/>
                      <w:szCs w:val="18"/>
                      <w:highlight w:val="none"/>
                      <w:lang w:eastAsia="zh-CN"/>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pacing w:val="-2"/>
                      <w:kern w:val="0"/>
                      <w:sz w:val="18"/>
                      <w:szCs w:val="18"/>
                      <w:highlight w:val="none"/>
                      <w:lang w:eastAsia="zh-CN"/>
                    </w:rPr>
                  </w:pPr>
                  <w:r>
                    <w:rPr>
                      <w:rFonts w:hint="eastAsia" w:ascii="Times New Roman" w:hAnsi="Times New Roman" w:eastAsia="宋体" w:cs="Times New Roman"/>
                      <w:color w:val="auto"/>
                      <w:spacing w:val="-2"/>
                      <w:kern w:val="0"/>
                      <w:sz w:val="18"/>
                      <w:szCs w:val="18"/>
                      <w:highlight w:val="none"/>
                      <w:lang w:eastAsia="zh-CN"/>
                    </w:rPr>
                    <w:t>《中华人民共和国水污染防治法》节选</w:t>
                  </w:r>
                </w:p>
              </w:tc>
              <w:tc>
                <w:tcPr>
                  <w:tcW w:w="440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both"/>
                    <w:textAlignment w:val="baseline"/>
                    <w:rPr>
                      <w:rFonts w:hint="eastAsia" w:ascii="Times New Roman" w:hAnsi="Times New Roman" w:eastAsia="宋体" w:cs="Times New Roman"/>
                      <w:color w:val="auto"/>
                      <w:spacing w:val="-2"/>
                      <w:kern w:val="0"/>
                      <w:sz w:val="18"/>
                      <w:szCs w:val="18"/>
                      <w:highlight w:val="none"/>
                    </w:rPr>
                  </w:pPr>
                  <w:r>
                    <w:rPr>
                      <w:rFonts w:hint="eastAsia" w:ascii="Times New Roman" w:hAnsi="Times New Roman" w:eastAsia="宋体" w:cs="Times New Roman"/>
                      <w:color w:val="auto"/>
                      <w:spacing w:val="-2"/>
                      <w:kern w:val="0"/>
                      <w:sz w:val="18"/>
                      <w:szCs w:val="18"/>
                      <w:highlight w:val="none"/>
                    </w:rPr>
                    <w:t>第六十五条 禁止在饮用水水源一级保护区内新建、改建、扩建与供水设施和保护水源无关的建设项目；已建成的与供水设施和保护水源无关的建设项目，由县级以上人民政府责令拆除或者关闭。</w:t>
                  </w:r>
                </w:p>
                <w:p>
                  <w:pPr>
                    <w:keepNext w:val="0"/>
                    <w:keepLines w:val="0"/>
                    <w:pageBreakBefore w:val="0"/>
                    <w:kinsoku/>
                    <w:wordWrap/>
                    <w:overflowPunct/>
                    <w:topLinePunct w:val="0"/>
                    <w:autoSpaceDE/>
                    <w:autoSpaceDN/>
                    <w:bidi w:val="0"/>
                    <w:adjustRightInd w:val="0"/>
                    <w:snapToGrid w:val="0"/>
                    <w:spacing w:line="240" w:lineRule="auto"/>
                    <w:jc w:val="both"/>
                    <w:textAlignment w:val="baseline"/>
                    <w:rPr>
                      <w:rFonts w:hint="eastAsia" w:ascii="Times New Roman" w:hAnsi="Times New Roman" w:eastAsia="宋体" w:cs="Times New Roman"/>
                      <w:color w:val="auto"/>
                      <w:spacing w:val="-2"/>
                      <w:kern w:val="0"/>
                      <w:sz w:val="18"/>
                      <w:szCs w:val="18"/>
                      <w:highlight w:val="none"/>
                    </w:rPr>
                  </w:pPr>
                  <w:r>
                    <w:rPr>
                      <w:rFonts w:hint="eastAsia" w:ascii="Times New Roman" w:hAnsi="Times New Roman" w:eastAsia="宋体" w:cs="Times New Roman"/>
                      <w:color w:val="auto"/>
                      <w:spacing w:val="-2"/>
                      <w:kern w:val="0"/>
                      <w:sz w:val="18"/>
                      <w:szCs w:val="18"/>
                      <w:highlight w:val="none"/>
                    </w:rPr>
                    <w:t>禁止在饮用水水源一级保护区内从事</w:t>
                  </w:r>
                  <w:r>
                    <w:rPr>
                      <w:rFonts w:hint="eastAsia" w:cs="Times New Roman"/>
                      <w:color w:val="auto"/>
                      <w:spacing w:val="-2"/>
                      <w:kern w:val="0"/>
                      <w:sz w:val="18"/>
                      <w:szCs w:val="18"/>
                      <w:highlight w:val="none"/>
                      <w:lang w:eastAsia="zh-CN"/>
                    </w:rPr>
                    <w:t>网箱</w:t>
                  </w:r>
                  <w:r>
                    <w:rPr>
                      <w:rFonts w:hint="eastAsia" w:ascii="Times New Roman" w:hAnsi="Times New Roman" w:eastAsia="宋体" w:cs="Times New Roman"/>
                      <w:color w:val="auto"/>
                      <w:spacing w:val="-2"/>
                      <w:kern w:val="0"/>
                      <w:sz w:val="18"/>
                      <w:szCs w:val="18"/>
                      <w:highlight w:val="none"/>
                    </w:rPr>
                    <w:t>养殖、旅游、游泳、垂钓或者其他可能污染饮用水水体的活动</w:t>
                  </w:r>
                  <w:r>
                    <w:rPr>
                      <w:rFonts w:hint="eastAsia" w:ascii="Times New Roman" w:hAnsi="Times New Roman" w:eastAsia="宋体" w:cs="Times New Roman"/>
                      <w:color w:val="auto"/>
                      <w:spacing w:val="-2"/>
                      <w:kern w:val="0"/>
                      <w:sz w:val="18"/>
                      <w:szCs w:val="18"/>
                      <w:highlight w:val="none"/>
                      <w:lang w:eastAsia="zh-CN"/>
                    </w:rPr>
                    <w:t>。</w:t>
                  </w:r>
                </w:p>
                <w:p>
                  <w:pPr>
                    <w:keepNext w:val="0"/>
                    <w:keepLines w:val="0"/>
                    <w:pageBreakBefore w:val="0"/>
                    <w:kinsoku/>
                    <w:wordWrap/>
                    <w:overflowPunct/>
                    <w:topLinePunct w:val="0"/>
                    <w:autoSpaceDE/>
                    <w:autoSpaceDN/>
                    <w:bidi w:val="0"/>
                    <w:adjustRightInd w:val="0"/>
                    <w:snapToGrid w:val="0"/>
                    <w:spacing w:line="240" w:lineRule="auto"/>
                    <w:jc w:val="both"/>
                    <w:textAlignment w:val="baseline"/>
                    <w:rPr>
                      <w:rFonts w:hint="eastAsia" w:ascii="Times New Roman" w:hAnsi="Times New Roman" w:eastAsia="宋体" w:cs="Times New Roman"/>
                      <w:color w:val="auto"/>
                      <w:spacing w:val="-2"/>
                      <w:kern w:val="0"/>
                      <w:sz w:val="18"/>
                      <w:szCs w:val="18"/>
                      <w:highlight w:val="none"/>
                    </w:rPr>
                  </w:pPr>
                  <w:r>
                    <w:rPr>
                      <w:rFonts w:hint="eastAsia" w:ascii="Times New Roman" w:hAnsi="Times New Roman" w:eastAsia="宋体" w:cs="Times New Roman"/>
                      <w:color w:val="auto"/>
                      <w:spacing w:val="-2"/>
                      <w:kern w:val="0"/>
                      <w:sz w:val="18"/>
                      <w:szCs w:val="18"/>
                      <w:highlight w:val="none"/>
                    </w:rPr>
                    <w:t>第九十一条 有下列行为之一的，由县级以上地方人民政府环境保护主管部门责令停止违法行为，处十万元以上五十万元以下的罚款；并报经有批准权的人民政府批准，责令拆除或者关闭：</w:t>
                  </w:r>
                </w:p>
                <w:p>
                  <w:pPr>
                    <w:keepNext w:val="0"/>
                    <w:keepLines w:val="0"/>
                    <w:pageBreakBefore w:val="0"/>
                    <w:kinsoku/>
                    <w:wordWrap/>
                    <w:overflowPunct/>
                    <w:topLinePunct w:val="0"/>
                    <w:autoSpaceDE/>
                    <w:autoSpaceDN/>
                    <w:bidi w:val="0"/>
                    <w:adjustRightInd w:val="0"/>
                    <w:snapToGrid w:val="0"/>
                    <w:spacing w:line="240" w:lineRule="auto"/>
                    <w:jc w:val="both"/>
                    <w:textAlignment w:val="baseline"/>
                    <w:rPr>
                      <w:rFonts w:hint="eastAsia" w:ascii="Times New Roman" w:hAnsi="Times New Roman" w:eastAsia="宋体" w:cs="Times New Roman"/>
                      <w:color w:val="auto"/>
                      <w:spacing w:val="-2"/>
                      <w:kern w:val="0"/>
                      <w:sz w:val="18"/>
                      <w:szCs w:val="18"/>
                      <w:highlight w:val="none"/>
                    </w:rPr>
                  </w:pPr>
                  <w:r>
                    <w:rPr>
                      <w:rFonts w:hint="eastAsia" w:ascii="Times New Roman" w:hAnsi="Times New Roman" w:eastAsia="宋体" w:cs="Times New Roman"/>
                      <w:color w:val="auto"/>
                      <w:spacing w:val="-2"/>
                      <w:kern w:val="0"/>
                      <w:sz w:val="18"/>
                      <w:szCs w:val="18"/>
                      <w:highlight w:val="none"/>
                    </w:rPr>
                    <w:t>在饮用水水源一级保护区内新建、改建、扩建与供水设施和保护水源无关的建设项目的；</w:t>
                  </w:r>
                </w:p>
                <w:p>
                  <w:pPr>
                    <w:keepNext w:val="0"/>
                    <w:keepLines w:val="0"/>
                    <w:pageBreakBefore w:val="0"/>
                    <w:kinsoku/>
                    <w:wordWrap/>
                    <w:overflowPunct/>
                    <w:topLinePunct w:val="0"/>
                    <w:autoSpaceDE/>
                    <w:autoSpaceDN/>
                    <w:bidi w:val="0"/>
                    <w:adjustRightInd w:val="0"/>
                    <w:snapToGrid w:val="0"/>
                    <w:spacing w:line="240" w:lineRule="auto"/>
                    <w:jc w:val="both"/>
                    <w:textAlignment w:val="baseline"/>
                    <w:rPr>
                      <w:rFonts w:hint="eastAsia" w:ascii="Times New Roman" w:hAnsi="Times New Roman" w:eastAsia="宋体" w:cs="Times New Roman"/>
                      <w:color w:val="auto"/>
                      <w:spacing w:val="-2"/>
                      <w:kern w:val="0"/>
                      <w:sz w:val="18"/>
                      <w:szCs w:val="18"/>
                      <w:highlight w:val="none"/>
                    </w:rPr>
                  </w:pPr>
                  <w:r>
                    <w:rPr>
                      <w:rFonts w:hint="eastAsia" w:ascii="Times New Roman" w:hAnsi="Times New Roman" w:eastAsia="宋体" w:cs="Times New Roman"/>
                      <w:color w:val="auto"/>
                      <w:spacing w:val="-2"/>
                      <w:kern w:val="0"/>
                      <w:sz w:val="18"/>
                      <w:szCs w:val="18"/>
                      <w:highlight w:val="none"/>
                    </w:rPr>
                    <w:t>在饮用水水源二级保护区内新建、改建、扩建排放污染物的建设项目的；</w:t>
                  </w:r>
                </w:p>
                <w:p>
                  <w:pPr>
                    <w:keepNext w:val="0"/>
                    <w:keepLines w:val="0"/>
                    <w:pageBreakBefore w:val="0"/>
                    <w:kinsoku/>
                    <w:wordWrap/>
                    <w:overflowPunct/>
                    <w:topLinePunct w:val="0"/>
                    <w:autoSpaceDE/>
                    <w:autoSpaceDN/>
                    <w:bidi w:val="0"/>
                    <w:adjustRightInd w:val="0"/>
                    <w:snapToGrid w:val="0"/>
                    <w:spacing w:line="240" w:lineRule="auto"/>
                    <w:jc w:val="both"/>
                    <w:textAlignment w:val="baseline"/>
                    <w:rPr>
                      <w:rFonts w:hint="eastAsia" w:ascii="Times New Roman" w:hAnsi="Times New Roman" w:eastAsia="宋体" w:cs="Times New Roman"/>
                      <w:color w:val="auto"/>
                      <w:spacing w:val="-2"/>
                      <w:kern w:val="0"/>
                      <w:sz w:val="18"/>
                      <w:szCs w:val="18"/>
                      <w:highlight w:val="none"/>
                    </w:rPr>
                  </w:pPr>
                  <w:r>
                    <w:rPr>
                      <w:rFonts w:hint="eastAsia" w:ascii="Times New Roman" w:hAnsi="Times New Roman" w:eastAsia="宋体" w:cs="Times New Roman"/>
                      <w:color w:val="auto"/>
                      <w:spacing w:val="-2"/>
                      <w:kern w:val="0"/>
                      <w:sz w:val="18"/>
                      <w:szCs w:val="18"/>
                      <w:highlight w:val="none"/>
                    </w:rPr>
                    <w:t>在饮用水水源</w:t>
                  </w:r>
                  <w:r>
                    <w:rPr>
                      <w:rFonts w:hint="eastAsia" w:cs="Times New Roman"/>
                      <w:color w:val="auto"/>
                      <w:spacing w:val="-2"/>
                      <w:kern w:val="0"/>
                      <w:sz w:val="18"/>
                      <w:szCs w:val="18"/>
                      <w:highlight w:val="none"/>
                      <w:lang w:eastAsia="zh-CN"/>
                    </w:rPr>
                    <w:t>地保</w:t>
                  </w:r>
                  <w:r>
                    <w:rPr>
                      <w:rFonts w:hint="eastAsia" w:ascii="Times New Roman" w:hAnsi="Times New Roman" w:eastAsia="宋体" w:cs="Times New Roman"/>
                      <w:color w:val="auto"/>
                      <w:spacing w:val="-2"/>
                      <w:kern w:val="0"/>
                      <w:sz w:val="18"/>
                      <w:szCs w:val="18"/>
                      <w:highlight w:val="none"/>
                    </w:rPr>
                    <w:t>护区内新建、扩建对水体污染严重的建设项目，或者改建建设项目增加排污量的。</w:t>
                  </w:r>
                </w:p>
                <w:p>
                  <w:pPr>
                    <w:keepNext w:val="0"/>
                    <w:keepLines w:val="0"/>
                    <w:pageBreakBefore w:val="0"/>
                    <w:kinsoku/>
                    <w:wordWrap/>
                    <w:overflowPunct/>
                    <w:topLinePunct w:val="0"/>
                    <w:autoSpaceDE/>
                    <w:autoSpaceDN/>
                    <w:bidi w:val="0"/>
                    <w:adjustRightInd w:val="0"/>
                    <w:snapToGrid w:val="0"/>
                    <w:spacing w:line="240" w:lineRule="auto"/>
                    <w:jc w:val="both"/>
                    <w:textAlignment w:val="baseline"/>
                    <w:rPr>
                      <w:rFonts w:hint="eastAsia" w:ascii="Times New Roman" w:hAnsi="Times New Roman" w:eastAsia="宋体" w:cs="Times New Roman"/>
                      <w:color w:val="auto"/>
                      <w:spacing w:val="-2"/>
                      <w:kern w:val="0"/>
                      <w:sz w:val="18"/>
                      <w:szCs w:val="18"/>
                      <w:highlight w:val="none"/>
                    </w:rPr>
                  </w:pPr>
                  <w:r>
                    <w:rPr>
                      <w:rFonts w:hint="eastAsia" w:ascii="Times New Roman" w:hAnsi="Times New Roman" w:eastAsia="宋体" w:cs="Times New Roman"/>
                      <w:color w:val="auto"/>
                      <w:spacing w:val="-2"/>
                      <w:kern w:val="0"/>
                      <w:sz w:val="18"/>
                      <w:szCs w:val="18"/>
                      <w:highlight w:val="none"/>
                    </w:rPr>
                    <w:t>在饮用水水源一级保护区内从事网箱养殖或者组织进行旅游、垂钓或者其他可能污染饮用水水体的活动的，由县级以上地方人民政府环境保护主管部门责令停止违法行为，处二万元以上十万元以下的罚款。</w:t>
                  </w:r>
                </w:p>
                <w:p>
                  <w:pPr>
                    <w:keepNext w:val="0"/>
                    <w:keepLines w:val="0"/>
                    <w:pageBreakBefore w:val="0"/>
                    <w:kinsoku/>
                    <w:wordWrap/>
                    <w:overflowPunct/>
                    <w:topLinePunct w:val="0"/>
                    <w:autoSpaceDE/>
                    <w:autoSpaceDN/>
                    <w:bidi w:val="0"/>
                    <w:adjustRightInd w:val="0"/>
                    <w:snapToGrid w:val="0"/>
                    <w:spacing w:line="240" w:lineRule="auto"/>
                    <w:jc w:val="both"/>
                    <w:textAlignment w:val="baseline"/>
                    <w:rPr>
                      <w:rFonts w:hint="eastAsia" w:ascii="Times New Roman" w:hAnsi="Times New Roman" w:eastAsia="宋体" w:cs="Times New Roman"/>
                      <w:color w:val="auto"/>
                      <w:spacing w:val="-2"/>
                      <w:kern w:val="0"/>
                      <w:sz w:val="18"/>
                      <w:szCs w:val="18"/>
                      <w:highlight w:val="none"/>
                    </w:rPr>
                  </w:pPr>
                  <w:r>
                    <w:rPr>
                      <w:rFonts w:hint="eastAsia" w:ascii="Times New Roman" w:hAnsi="Times New Roman" w:eastAsia="宋体" w:cs="Times New Roman"/>
                      <w:color w:val="auto"/>
                      <w:spacing w:val="-2"/>
                      <w:kern w:val="0"/>
                      <w:sz w:val="18"/>
                      <w:szCs w:val="18"/>
                      <w:highlight w:val="none"/>
                    </w:rPr>
                    <w:t>个人在饮用水水源一级保护区内游泳、垂钓或者从事其他可能污染饮用水水体的活动的，由县级以上地方人民政府环境保护主管部门责令停止违法行为，可以处五百元以下的罚款。</w:t>
                  </w:r>
                </w:p>
              </w:tc>
              <w:tc>
                <w:tcPr>
                  <w:tcW w:w="97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both"/>
                    <w:textAlignment w:val="baseline"/>
                    <w:rPr>
                      <w:rFonts w:ascii="Times New Roman" w:hAnsi="Times New Roman" w:eastAsia="宋体" w:cs="Times New Roman"/>
                      <w:color w:val="auto"/>
                      <w:spacing w:val="-2"/>
                      <w:kern w:val="0"/>
                      <w:sz w:val="18"/>
                      <w:szCs w:val="18"/>
                      <w:highlight w:val="none"/>
                    </w:rPr>
                  </w:pPr>
                  <w:r>
                    <w:rPr>
                      <w:rFonts w:hint="eastAsia" w:ascii="Times New Roman" w:hAnsi="Times New Roman" w:eastAsia="宋体" w:cs="Times New Roman"/>
                      <w:color w:val="auto"/>
                      <w:spacing w:val="-2"/>
                      <w:kern w:val="0"/>
                      <w:sz w:val="18"/>
                      <w:szCs w:val="18"/>
                      <w:highlight w:val="none"/>
                    </w:rPr>
                    <w:t>本项目不涉及饮用水水源保护区。</w:t>
                  </w:r>
                </w:p>
              </w:tc>
              <w:tc>
                <w:tcPr>
                  <w:tcW w:w="806"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pacing w:val="-2"/>
                      <w:kern w:val="0"/>
                      <w:sz w:val="18"/>
                      <w:szCs w:val="18"/>
                      <w:highlight w:val="none"/>
                      <w:lang w:eastAsia="zh-CN"/>
                    </w:rPr>
                  </w:pPr>
                  <w:r>
                    <w:rPr>
                      <w:rFonts w:hint="eastAsia" w:ascii="Times New Roman" w:hAnsi="Times New Roman" w:eastAsia="宋体" w:cs="Times New Roman"/>
                      <w:color w:val="auto"/>
                      <w:spacing w:val="-2"/>
                      <w:kern w:val="0"/>
                      <w:sz w:val="18"/>
                      <w:szCs w:val="18"/>
                      <w:highlight w:val="none"/>
                      <w:lang w:eastAsia="zh-CN"/>
                    </w:rPr>
                    <w:t>符合</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b/>
                <w:color w:val="auto"/>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rPr>
              <w:t>由上表可知，本项目符合《中华人民共和国水污染防治法》的规定。</w:t>
            </w:r>
          </w:p>
          <w:p>
            <w:pPr>
              <w:pStyle w:val="19"/>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0" w:firstLineChars="0"/>
              <w:textAlignment w:val="auto"/>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1.2.7与《中共中央、国务院关于加快水利改革发展的决定》（中发〔2011〕1 号）符合性分析</w:t>
            </w:r>
          </w:p>
          <w:p>
            <w:pPr>
              <w:pStyle w:val="19"/>
              <w:keepNext w:val="0"/>
              <w:keepLines w:val="0"/>
              <w:pageBreakBefore w:val="0"/>
              <w:widowControl/>
              <w:kinsoku/>
              <w:wordWrap/>
              <w:overflowPunct/>
              <w:topLinePunct w:val="0"/>
              <w:autoSpaceDE/>
              <w:autoSpaceDN/>
              <w:bidi w:val="0"/>
              <w:adjustRightInd/>
              <w:snapToGrid w:val="0"/>
              <w:spacing w:before="0" w:after="0" w:line="360" w:lineRule="auto"/>
              <w:ind w:right="0" w:firstLine="420" w:firstLineChars="200"/>
              <w:textAlignment w:val="auto"/>
              <w:rPr>
                <w:rFonts w:hint="eastAsia"/>
                <w:color w:val="auto"/>
                <w:sz w:val="21"/>
                <w:szCs w:val="21"/>
                <w:highlight w:val="none"/>
              </w:rPr>
            </w:pPr>
            <w:r>
              <w:rPr>
                <w:rFonts w:hint="eastAsia"/>
                <w:color w:val="auto"/>
                <w:sz w:val="21"/>
                <w:szCs w:val="21"/>
                <w:highlight w:val="none"/>
              </w:rPr>
              <w:t>《中共中央、国务院关于加快水利改革发展的决定》要求：三、突出加强农田水利等薄弱环节建设…（八）抓紧解决工程性缺水问题。加快推进西南等工程性缺水地区重点水源工程建设，尽快建设一批中小型水库、引提水和连通工程，显著提高雨洪资源利用和供水保障能力，基本解决缺水城镇、人口较集中乡村的供水问题。</w:t>
            </w:r>
          </w:p>
          <w:p>
            <w:pPr>
              <w:pStyle w:val="19"/>
              <w:keepNext w:val="0"/>
              <w:keepLines w:val="0"/>
              <w:pageBreakBefore w:val="0"/>
              <w:widowControl/>
              <w:kinsoku/>
              <w:wordWrap/>
              <w:overflowPunct/>
              <w:topLinePunct w:val="0"/>
              <w:autoSpaceDE/>
              <w:autoSpaceDN/>
              <w:bidi w:val="0"/>
              <w:adjustRightInd/>
              <w:snapToGrid w:val="0"/>
              <w:spacing w:before="0" w:after="0" w:line="360" w:lineRule="auto"/>
              <w:ind w:right="0" w:firstLine="420" w:firstLineChars="200"/>
              <w:textAlignment w:val="auto"/>
              <w:rPr>
                <w:rFonts w:hint="eastAsia"/>
                <w:color w:val="auto"/>
                <w:sz w:val="21"/>
                <w:szCs w:val="21"/>
                <w:highlight w:val="none"/>
              </w:rPr>
            </w:pPr>
            <w:r>
              <w:rPr>
                <w:rFonts w:hint="eastAsia"/>
                <w:color w:val="auto"/>
                <w:sz w:val="21"/>
                <w:szCs w:val="21"/>
                <w:highlight w:val="none"/>
                <w:lang w:val="en-US" w:eastAsia="zh-CN"/>
              </w:rPr>
              <w:t>堰沟水库</w:t>
            </w:r>
            <w:r>
              <w:rPr>
                <w:rFonts w:hint="eastAsia"/>
                <w:color w:val="auto"/>
                <w:sz w:val="21"/>
                <w:szCs w:val="21"/>
                <w:highlight w:val="none"/>
              </w:rPr>
              <w:t>工程是</w:t>
            </w:r>
            <w:r>
              <w:rPr>
                <w:rFonts w:hint="eastAsia"/>
                <w:color w:val="auto"/>
                <w:sz w:val="21"/>
                <w:szCs w:val="21"/>
                <w:highlight w:val="none"/>
                <w:lang w:val="en-US" w:eastAsia="zh-CN"/>
              </w:rPr>
              <w:t>一</w:t>
            </w:r>
            <w:r>
              <w:rPr>
                <w:rFonts w:hint="eastAsia"/>
                <w:color w:val="auto"/>
                <w:sz w:val="21"/>
                <w:szCs w:val="21"/>
                <w:highlight w:val="none"/>
              </w:rPr>
              <w:t>座</w:t>
            </w:r>
            <w:r>
              <w:rPr>
                <w:rFonts w:hint="eastAsia"/>
                <w:color w:val="auto"/>
                <w:sz w:val="21"/>
                <w:szCs w:val="21"/>
                <w:highlight w:val="none"/>
                <w:lang w:val="en-US" w:eastAsia="zh-CN"/>
              </w:rPr>
              <w:t>乡村供水、农业灌溉等综合利用的小（1）型水利工程</w:t>
            </w:r>
            <w:r>
              <w:rPr>
                <w:rFonts w:hint="eastAsia"/>
                <w:color w:val="auto"/>
                <w:sz w:val="21"/>
                <w:szCs w:val="21"/>
                <w:highlight w:val="none"/>
              </w:rPr>
              <w:t>。有利于提升和保障</w:t>
            </w:r>
            <w:r>
              <w:rPr>
                <w:rFonts w:hint="eastAsia"/>
                <w:color w:val="auto"/>
                <w:sz w:val="21"/>
                <w:szCs w:val="21"/>
                <w:highlight w:val="none"/>
                <w:lang w:val="en-US" w:eastAsia="zh-CN"/>
              </w:rPr>
              <w:t>胡家镇</w:t>
            </w:r>
            <w:r>
              <w:rPr>
                <w:rFonts w:hint="eastAsia"/>
                <w:color w:val="auto"/>
                <w:sz w:val="21"/>
                <w:szCs w:val="21"/>
                <w:highlight w:val="none"/>
              </w:rPr>
              <w:t>的供水能力，符合决定的要求。</w:t>
            </w:r>
          </w:p>
          <w:p>
            <w:pPr>
              <w:pStyle w:val="19"/>
              <w:keepNext w:val="0"/>
              <w:keepLines w:val="0"/>
              <w:pageBreakBefore w:val="0"/>
              <w:widowControl/>
              <w:kinsoku/>
              <w:wordWrap/>
              <w:overflowPunct/>
              <w:topLinePunct w:val="0"/>
              <w:autoSpaceDE/>
              <w:autoSpaceDN/>
              <w:bidi w:val="0"/>
              <w:adjustRightInd/>
              <w:snapToGrid w:val="0"/>
              <w:spacing w:before="0" w:after="0" w:line="360" w:lineRule="auto"/>
              <w:ind w:right="0" w:firstLine="0" w:firstLineChars="0"/>
              <w:textAlignment w:val="auto"/>
              <w:rPr>
                <w:rFonts w:hint="eastAsia"/>
                <w:b/>
                <w:bCs/>
                <w:color w:val="auto"/>
                <w:sz w:val="21"/>
                <w:szCs w:val="21"/>
                <w:highlight w:val="none"/>
                <w:lang w:val="en-US" w:eastAsia="zh-CN"/>
              </w:rPr>
            </w:pPr>
            <w:r>
              <w:rPr>
                <w:rFonts w:hint="eastAsia"/>
                <w:b/>
                <w:bCs/>
                <w:color w:val="auto"/>
                <w:sz w:val="21"/>
                <w:szCs w:val="21"/>
                <w:highlight w:val="none"/>
                <w:lang w:val="en-US" w:eastAsia="zh-CN"/>
              </w:rPr>
              <w:t>1.2.8与《水利建设项目（引调水工程）环境影响评价文件审批原则》（试行）符合性分析</w:t>
            </w:r>
          </w:p>
          <w:p>
            <w:pPr>
              <w:pStyle w:val="78"/>
              <w:keepNext w:val="0"/>
              <w:keepLines w:val="0"/>
              <w:pageBreakBefore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宋体"/>
                <w:color w:val="auto"/>
                <w:kern w:val="0"/>
                <w:sz w:val="21"/>
                <w:szCs w:val="21"/>
                <w:highlight w:val="none"/>
                <w:lang w:eastAsia="zh-CN"/>
              </w:rPr>
            </w:pPr>
            <w:r>
              <w:rPr>
                <w:rFonts w:hint="eastAsia" w:ascii="Times New Roman" w:hAnsi="Times New Roman" w:eastAsia="宋体" w:cs="宋体"/>
                <w:color w:val="auto"/>
                <w:kern w:val="0"/>
                <w:sz w:val="21"/>
                <w:szCs w:val="21"/>
                <w:highlight w:val="none"/>
              </w:rPr>
              <w:t>本项目与《水利建设项目（引调水工程）环境影响评价文件审批原则》（试行）的符合性分析详见表</w:t>
            </w:r>
            <w:r>
              <w:rPr>
                <w:rFonts w:hint="eastAsia" w:ascii="Times New Roman" w:hAnsi="Times New Roman" w:eastAsia="宋体" w:cs="宋体"/>
                <w:color w:val="auto"/>
                <w:kern w:val="0"/>
                <w:sz w:val="21"/>
                <w:szCs w:val="21"/>
                <w:highlight w:val="none"/>
                <w:lang w:val="en-US" w:eastAsia="zh-CN"/>
              </w:rPr>
              <w:t>1.2-8</w:t>
            </w:r>
            <w:r>
              <w:rPr>
                <w:rFonts w:hint="eastAsia" w:ascii="Times New Roman" w:hAnsi="Times New Roman" w:eastAsia="宋体" w:cs="宋体"/>
                <w:color w:val="auto"/>
                <w:kern w:val="0"/>
                <w:sz w:val="21"/>
                <w:szCs w:val="21"/>
                <w:highlight w:val="none"/>
                <w:lang w:eastAsia="zh-CN"/>
              </w:rPr>
              <w:t>。</w:t>
            </w:r>
          </w:p>
          <w:p>
            <w:pPr>
              <w:pStyle w:val="19"/>
              <w:keepNext w:val="0"/>
              <w:keepLines w:val="0"/>
              <w:pageBreakBefore w:val="0"/>
              <w:widowControl/>
              <w:kinsoku/>
              <w:wordWrap/>
              <w:overflowPunct/>
              <w:topLinePunct w:val="0"/>
              <w:autoSpaceDE/>
              <w:autoSpaceDN/>
              <w:bidi w:val="0"/>
              <w:adjustRightInd/>
              <w:snapToGrid w:val="0"/>
              <w:spacing w:before="0" w:after="0" w:line="360" w:lineRule="auto"/>
              <w:ind w:right="0" w:firstLine="0" w:firstLineChars="0"/>
              <w:jc w:val="center"/>
              <w:textAlignment w:val="auto"/>
              <w:rPr>
                <w:rFonts w:hint="default"/>
                <w:b/>
                <w:bCs/>
                <w:color w:val="auto"/>
                <w:sz w:val="21"/>
                <w:szCs w:val="21"/>
                <w:highlight w:val="none"/>
                <w:lang w:val="en-US" w:eastAsia="zh-CN"/>
              </w:rPr>
            </w:pPr>
            <w:r>
              <w:rPr>
                <w:rFonts w:hint="eastAsia"/>
                <w:b/>
                <w:bCs/>
                <w:color w:val="auto"/>
                <w:sz w:val="21"/>
                <w:szCs w:val="21"/>
                <w:highlight w:val="none"/>
                <w:lang w:val="en-US" w:eastAsia="zh-CN"/>
              </w:rPr>
              <w:t>表1.2-8 与《水利建设项目（引调水工程）环境影响评价文件审批原则》（试行）的符合性分析</w:t>
            </w:r>
          </w:p>
          <w:tbl>
            <w:tblPr>
              <w:tblStyle w:val="79"/>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3250"/>
              <w:gridCol w:w="2357"/>
              <w:gridCol w:w="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pacing w:val="-2"/>
                      <w:kern w:val="0"/>
                      <w:sz w:val="18"/>
                      <w:szCs w:val="18"/>
                      <w:highlight w:val="none"/>
                      <w:lang w:eastAsia="zh-CN"/>
                    </w:rPr>
                  </w:pPr>
                  <w:r>
                    <w:rPr>
                      <w:rFonts w:hint="eastAsia" w:ascii="Times New Roman" w:hAnsi="Times New Roman" w:eastAsia="宋体" w:cs="Times New Roman"/>
                      <w:color w:val="auto"/>
                      <w:spacing w:val="-2"/>
                      <w:kern w:val="0"/>
                      <w:sz w:val="18"/>
                      <w:szCs w:val="18"/>
                      <w:highlight w:val="none"/>
                      <w:lang w:val="en-US" w:eastAsia="zh-CN"/>
                    </w:rPr>
                    <w:t>序号</w:t>
                  </w:r>
                </w:p>
              </w:tc>
              <w:tc>
                <w:tcPr>
                  <w:tcW w:w="313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pacing w:val="-2"/>
                      <w:kern w:val="0"/>
                      <w:sz w:val="18"/>
                      <w:szCs w:val="18"/>
                      <w:highlight w:val="none"/>
                    </w:rPr>
                  </w:pPr>
                  <w:r>
                    <w:rPr>
                      <w:rFonts w:ascii="Times New Roman" w:hAnsi="Times New Roman" w:eastAsia="宋体" w:cs="Times New Roman"/>
                      <w:color w:val="auto"/>
                      <w:spacing w:val="-2"/>
                      <w:kern w:val="0"/>
                      <w:sz w:val="18"/>
                      <w:szCs w:val="18"/>
                      <w:highlight w:val="none"/>
                    </w:rPr>
                    <w:t>要求</w:t>
                  </w:r>
                </w:p>
              </w:tc>
              <w:tc>
                <w:tcPr>
                  <w:tcW w:w="227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pacing w:val="-2"/>
                      <w:kern w:val="0"/>
                      <w:sz w:val="18"/>
                      <w:szCs w:val="18"/>
                      <w:highlight w:val="none"/>
                    </w:rPr>
                  </w:pPr>
                  <w:r>
                    <w:rPr>
                      <w:rFonts w:ascii="Times New Roman" w:hAnsi="Times New Roman" w:eastAsia="宋体" w:cs="Times New Roman"/>
                      <w:color w:val="auto"/>
                      <w:spacing w:val="-2"/>
                      <w:kern w:val="0"/>
                      <w:sz w:val="18"/>
                      <w:szCs w:val="18"/>
                      <w:highlight w:val="none"/>
                    </w:rPr>
                    <w:t>项目情况</w:t>
                  </w:r>
                </w:p>
              </w:tc>
              <w:tc>
                <w:tcPr>
                  <w:tcW w:w="769"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pacing w:val="-2"/>
                      <w:kern w:val="0"/>
                      <w:sz w:val="18"/>
                      <w:szCs w:val="18"/>
                      <w:highlight w:val="none"/>
                      <w:lang w:eastAsia="zh-CN"/>
                    </w:rPr>
                  </w:pPr>
                  <w:r>
                    <w:rPr>
                      <w:rFonts w:ascii="Times New Roman" w:hAnsi="Times New Roman" w:eastAsia="宋体" w:cs="Times New Roman"/>
                      <w:color w:val="auto"/>
                      <w:spacing w:val="-2"/>
                      <w:kern w:val="0"/>
                      <w:sz w:val="18"/>
                      <w:szCs w:val="18"/>
                      <w:highlight w:val="none"/>
                    </w:rPr>
                    <w:t>符合</w:t>
                  </w:r>
                  <w:r>
                    <w:rPr>
                      <w:rFonts w:hint="eastAsia" w:ascii="Times New Roman" w:hAnsi="Times New Roman" w:eastAsia="宋体" w:cs="Times New Roman"/>
                      <w:color w:val="auto"/>
                      <w:spacing w:val="-2"/>
                      <w:kern w:val="0"/>
                      <w:sz w:val="18"/>
                      <w:szCs w:val="18"/>
                      <w:highlight w:val="none"/>
                      <w:lang w:eastAsia="zh-CN"/>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keepNext w:val="0"/>
                    <w:keepLines w:val="0"/>
                    <w:pageBreakBefore w:val="0"/>
                    <w:numPr>
                      <w:ilvl w:val="0"/>
                      <w:numId w:val="2"/>
                    </w:numPr>
                    <w:kinsoku/>
                    <w:wordWrap/>
                    <w:overflowPunct/>
                    <w:topLinePunct w:val="0"/>
                    <w:autoSpaceDE/>
                    <w:autoSpaceDN/>
                    <w:bidi w:val="0"/>
                    <w:adjustRightInd w:val="0"/>
                    <w:snapToGrid w:val="0"/>
                    <w:spacing w:line="240" w:lineRule="auto"/>
                    <w:ind w:left="454" w:leftChars="0" w:hanging="454" w:firstLineChars="0"/>
                    <w:jc w:val="center"/>
                    <w:textAlignment w:val="baseline"/>
                    <w:rPr>
                      <w:rFonts w:hint="default" w:ascii="Times New Roman" w:hAnsi="Times New Roman" w:eastAsia="宋体" w:cs="Times New Roman"/>
                      <w:color w:val="auto"/>
                      <w:spacing w:val="-2"/>
                      <w:kern w:val="0"/>
                      <w:sz w:val="18"/>
                      <w:szCs w:val="18"/>
                      <w:highlight w:val="none"/>
                      <w:lang w:val="en-US" w:eastAsia="zh-CN"/>
                    </w:rPr>
                  </w:pPr>
                </w:p>
              </w:tc>
              <w:tc>
                <w:tcPr>
                  <w:tcW w:w="31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352" w:firstLineChars="200"/>
                    <w:jc w:val="both"/>
                    <w:textAlignment w:val="baseline"/>
                    <w:rPr>
                      <w:rFonts w:hint="eastAsia" w:ascii="Times New Roman" w:hAnsi="Times New Roman" w:eastAsia="宋体" w:cs="Times New Roman"/>
                      <w:color w:val="auto"/>
                      <w:spacing w:val="-2"/>
                      <w:kern w:val="0"/>
                      <w:sz w:val="18"/>
                      <w:szCs w:val="18"/>
                      <w:highlight w:val="none"/>
                    </w:rPr>
                  </w:pPr>
                  <w:r>
                    <w:rPr>
                      <w:rFonts w:hint="eastAsia" w:ascii="Times New Roman" w:hAnsi="Times New Roman" w:eastAsia="宋体" w:cs="Times New Roman"/>
                      <w:color w:val="auto"/>
                      <w:spacing w:val="-2"/>
                      <w:kern w:val="0"/>
                      <w:sz w:val="18"/>
                      <w:szCs w:val="18"/>
                      <w:highlight w:val="none"/>
                    </w:rPr>
                    <w:t>项目符合资源与环境保护相关法律法规和政策，与主体功能区规划、生态功能区划等相协调，开发任务、供水范围及对象、调水规模、选址选线等工程主要内容总体满足流域综合规划、水资源综合规划、水资源开发利用（含供水）规划、工程规划、流域水污染防治规划、流域生态保护规划等相关规划、规划环评及审查意见要求。</w:t>
                  </w:r>
                </w:p>
                <w:p>
                  <w:pPr>
                    <w:keepNext w:val="0"/>
                    <w:keepLines w:val="0"/>
                    <w:pageBreakBefore w:val="0"/>
                    <w:widowControl w:val="0"/>
                    <w:kinsoku/>
                    <w:wordWrap/>
                    <w:overflowPunct/>
                    <w:topLinePunct w:val="0"/>
                    <w:autoSpaceDE/>
                    <w:autoSpaceDN/>
                    <w:bidi w:val="0"/>
                    <w:adjustRightInd w:val="0"/>
                    <w:snapToGrid w:val="0"/>
                    <w:spacing w:line="240" w:lineRule="auto"/>
                    <w:ind w:firstLine="352" w:firstLineChars="200"/>
                    <w:jc w:val="both"/>
                    <w:textAlignment w:val="baseline"/>
                    <w:rPr>
                      <w:rFonts w:hint="eastAsia" w:ascii="Times New Roman" w:hAnsi="Times New Roman" w:eastAsia="宋体" w:cs="Times New Roman"/>
                      <w:color w:val="auto"/>
                      <w:spacing w:val="-2"/>
                      <w:kern w:val="0"/>
                      <w:sz w:val="18"/>
                      <w:szCs w:val="18"/>
                      <w:highlight w:val="none"/>
                      <w:lang w:eastAsia="zh-CN"/>
                    </w:rPr>
                  </w:pPr>
                  <w:r>
                    <w:rPr>
                      <w:rFonts w:hint="eastAsia" w:ascii="Times New Roman" w:hAnsi="Times New Roman" w:eastAsia="宋体" w:cs="Times New Roman"/>
                      <w:color w:val="auto"/>
                      <w:spacing w:val="-2"/>
                      <w:kern w:val="0"/>
                      <w:sz w:val="18"/>
                      <w:szCs w:val="18"/>
                      <w:highlight w:val="none"/>
                    </w:rPr>
                    <w:t>项目符合“先节水后调水、先治污后通水、先环保后用水”原则，与水资源开发利用及区域用水总量控制、用水效率控制、水（环境）功能区限制纳污控制等相协调。充分考虑调出区经济社会发展和生态环境用水需求，调水量不得超出调出区水资源利用上限，受水区水资源配置与区域水资源水环境承载能力相适应</w:t>
                  </w:r>
                  <w:r>
                    <w:rPr>
                      <w:rFonts w:hint="eastAsia" w:ascii="Times New Roman" w:hAnsi="Times New Roman" w:eastAsia="宋体" w:cs="Times New Roman"/>
                      <w:color w:val="auto"/>
                      <w:spacing w:val="-2"/>
                      <w:kern w:val="0"/>
                      <w:sz w:val="18"/>
                      <w:szCs w:val="18"/>
                      <w:highlight w:val="none"/>
                      <w:lang w:eastAsia="zh-CN"/>
                    </w:rPr>
                    <w:t>。</w:t>
                  </w:r>
                </w:p>
              </w:tc>
              <w:tc>
                <w:tcPr>
                  <w:tcW w:w="227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both"/>
                    <w:textAlignment w:val="baseline"/>
                    <w:rPr>
                      <w:rFonts w:hint="default" w:ascii="Times New Roman" w:hAnsi="Times New Roman" w:eastAsia="宋体" w:cs="Times New Roman"/>
                      <w:color w:val="auto"/>
                      <w:spacing w:val="-2"/>
                      <w:kern w:val="0"/>
                      <w:sz w:val="18"/>
                      <w:szCs w:val="18"/>
                      <w:highlight w:val="none"/>
                      <w:lang w:val="en-US" w:eastAsia="zh-CN"/>
                    </w:rPr>
                  </w:pPr>
                  <w:r>
                    <w:rPr>
                      <w:rFonts w:hint="eastAsia" w:ascii="Times New Roman" w:hAnsi="Times New Roman" w:eastAsia="宋体" w:cs="Times New Roman"/>
                      <w:color w:val="auto"/>
                      <w:spacing w:val="-2"/>
                      <w:kern w:val="0"/>
                      <w:sz w:val="18"/>
                      <w:szCs w:val="18"/>
                      <w:highlight w:val="none"/>
                      <w:lang w:eastAsia="zh-CN"/>
                    </w:rPr>
                    <w:t>本项目符合资源与环境保护相关法律法规和政策，供水范围及对象、调水规模、选址选线等工程主要内容总体满足流域综合规划、水资源综合规划、水资源开发利用（含供水）规划。</w:t>
                  </w:r>
                </w:p>
              </w:tc>
              <w:tc>
                <w:tcPr>
                  <w:tcW w:w="769"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pacing w:val="-2"/>
                      <w:kern w:val="0"/>
                      <w:sz w:val="18"/>
                      <w:szCs w:val="18"/>
                      <w:highlight w:val="none"/>
                      <w:lang w:val="en-US" w:eastAsia="zh-CN"/>
                    </w:rPr>
                  </w:pPr>
                  <w:r>
                    <w:rPr>
                      <w:rFonts w:hint="eastAsia" w:cs="Times New Roman"/>
                      <w:color w:val="auto"/>
                      <w:spacing w:val="-2"/>
                      <w:kern w:val="0"/>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keepNext w:val="0"/>
                    <w:keepLines w:val="0"/>
                    <w:pageBreakBefore w:val="0"/>
                    <w:numPr>
                      <w:ilvl w:val="0"/>
                      <w:numId w:val="2"/>
                    </w:numPr>
                    <w:kinsoku/>
                    <w:wordWrap/>
                    <w:overflowPunct/>
                    <w:topLinePunct w:val="0"/>
                    <w:autoSpaceDE/>
                    <w:autoSpaceDN/>
                    <w:bidi w:val="0"/>
                    <w:adjustRightInd w:val="0"/>
                    <w:snapToGrid w:val="0"/>
                    <w:spacing w:line="240" w:lineRule="auto"/>
                    <w:ind w:left="454" w:leftChars="0" w:hanging="454" w:firstLineChars="0"/>
                    <w:jc w:val="center"/>
                    <w:textAlignment w:val="baseline"/>
                    <w:rPr>
                      <w:rFonts w:hint="eastAsia" w:ascii="Times New Roman" w:hAnsi="Times New Roman" w:eastAsia="宋体" w:cs="Times New Roman"/>
                      <w:color w:val="auto"/>
                      <w:spacing w:val="-2"/>
                      <w:kern w:val="0"/>
                      <w:sz w:val="18"/>
                      <w:szCs w:val="18"/>
                      <w:highlight w:val="none"/>
                      <w:lang w:eastAsia="zh-CN"/>
                    </w:rPr>
                  </w:pPr>
                </w:p>
              </w:tc>
              <w:tc>
                <w:tcPr>
                  <w:tcW w:w="313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both"/>
                    <w:textAlignment w:val="baseline"/>
                    <w:rPr>
                      <w:rFonts w:hint="eastAsia" w:ascii="Times New Roman" w:hAnsi="Times New Roman" w:eastAsia="宋体" w:cs="Times New Roman"/>
                      <w:color w:val="auto"/>
                      <w:spacing w:val="-2"/>
                      <w:kern w:val="0"/>
                      <w:sz w:val="18"/>
                      <w:szCs w:val="18"/>
                      <w:highlight w:val="none"/>
                    </w:rPr>
                  </w:pPr>
                  <w:r>
                    <w:rPr>
                      <w:rFonts w:hint="eastAsia" w:ascii="Times New Roman" w:hAnsi="Times New Roman" w:eastAsia="宋体" w:cs="Times New Roman"/>
                      <w:color w:val="auto"/>
                      <w:spacing w:val="-2"/>
                      <w:kern w:val="0"/>
                      <w:sz w:val="18"/>
                      <w:szCs w:val="18"/>
                      <w:highlight w:val="none"/>
                    </w:rPr>
                    <w:t>工程选址选线、施工布置和水库淹没原则上不得占用自然保护区、风景名胜区、生态保护红线等敏感区内法律法规禁止占用的区域和已明确作为栖息地保护区域，并与饮用水水源保护区的有关保护要求相协调。</w:t>
                  </w:r>
                </w:p>
              </w:tc>
              <w:tc>
                <w:tcPr>
                  <w:tcW w:w="227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both"/>
                    <w:textAlignment w:val="baseline"/>
                    <w:rPr>
                      <w:rFonts w:hint="eastAsia" w:ascii="Times New Roman" w:hAnsi="Times New Roman" w:eastAsia="宋体" w:cs="Times New Roman"/>
                      <w:color w:val="auto"/>
                      <w:spacing w:val="-2"/>
                      <w:kern w:val="0"/>
                      <w:sz w:val="18"/>
                      <w:szCs w:val="18"/>
                      <w:highlight w:val="none"/>
                      <w:lang w:eastAsia="zh-CN"/>
                    </w:rPr>
                  </w:pPr>
                  <w:r>
                    <w:rPr>
                      <w:rFonts w:hint="eastAsia" w:ascii="Times New Roman" w:hAnsi="Times New Roman" w:eastAsia="宋体" w:cs="Times New Roman"/>
                      <w:color w:val="auto"/>
                      <w:spacing w:val="-2"/>
                      <w:kern w:val="0"/>
                      <w:sz w:val="18"/>
                      <w:szCs w:val="18"/>
                      <w:highlight w:val="none"/>
                      <w:lang w:eastAsia="zh-CN"/>
                    </w:rPr>
                    <w:t>项目施工布置和水库淹没不占用自然保护区、风景名胜区、生态保护红线等敏感区内法律法规禁止占用的区域和已明确作为栖息地保护区域。</w:t>
                  </w:r>
                </w:p>
              </w:tc>
              <w:tc>
                <w:tcPr>
                  <w:tcW w:w="769"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pacing w:val="-2"/>
                      <w:kern w:val="0"/>
                      <w:sz w:val="18"/>
                      <w:szCs w:val="18"/>
                      <w:highlight w:val="none"/>
                      <w:lang w:eastAsia="zh-CN"/>
                    </w:rPr>
                  </w:pPr>
                  <w:r>
                    <w:rPr>
                      <w:rFonts w:ascii="Times New Roman" w:hAnsi="Times New Roman" w:eastAsia="宋体" w:cs="Times New Roman"/>
                      <w:color w:val="auto"/>
                      <w:spacing w:val="-2"/>
                      <w:kern w:val="0"/>
                      <w:sz w:val="18"/>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keepNext w:val="0"/>
                    <w:keepLines w:val="0"/>
                    <w:pageBreakBefore w:val="0"/>
                    <w:numPr>
                      <w:ilvl w:val="0"/>
                      <w:numId w:val="2"/>
                    </w:numPr>
                    <w:kinsoku/>
                    <w:wordWrap/>
                    <w:overflowPunct/>
                    <w:topLinePunct w:val="0"/>
                    <w:autoSpaceDE/>
                    <w:autoSpaceDN/>
                    <w:bidi w:val="0"/>
                    <w:adjustRightInd w:val="0"/>
                    <w:snapToGrid w:val="0"/>
                    <w:spacing w:line="240" w:lineRule="auto"/>
                    <w:ind w:left="454" w:leftChars="0" w:hanging="454" w:firstLineChars="0"/>
                    <w:jc w:val="center"/>
                    <w:textAlignment w:val="baseline"/>
                    <w:rPr>
                      <w:rFonts w:hint="eastAsia" w:ascii="Times New Roman" w:hAnsi="Times New Roman" w:eastAsia="宋体" w:cs="Times New Roman"/>
                      <w:color w:val="auto"/>
                      <w:spacing w:val="-2"/>
                      <w:kern w:val="0"/>
                      <w:sz w:val="18"/>
                      <w:szCs w:val="18"/>
                      <w:highlight w:val="none"/>
                      <w:lang w:eastAsia="zh-CN"/>
                    </w:rPr>
                  </w:pPr>
                </w:p>
              </w:tc>
              <w:tc>
                <w:tcPr>
                  <w:tcW w:w="313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both"/>
                    <w:textAlignment w:val="baseline"/>
                    <w:rPr>
                      <w:rFonts w:hint="eastAsia" w:ascii="Times New Roman" w:hAnsi="Times New Roman" w:eastAsia="宋体" w:cs="Times New Roman"/>
                      <w:color w:val="auto"/>
                      <w:spacing w:val="-2"/>
                      <w:kern w:val="0"/>
                      <w:sz w:val="18"/>
                      <w:szCs w:val="18"/>
                      <w:highlight w:val="none"/>
                    </w:rPr>
                  </w:pPr>
                  <w:r>
                    <w:rPr>
                      <w:rFonts w:hint="eastAsia" w:ascii="Times New Roman" w:hAnsi="Times New Roman" w:eastAsia="宋体" w:cs="Times New Roman"/>
                      <w:color w:val="auto"/>
                      <w:spacing w:val="-2"/>
                      <w:kern w:val="0"/>
                      <w:sz w:val="18"/>
                      <w:szCs w:val="18"/>
                      <w:highlight w:val="none"/>
                    </w:rPr>
                    <w:t>项目调水和水库调蓄造成调出区取水枢纽下游水量减少和水文情势改变且带来不利影响的，在统筹考虑满足下游河道水生生态、水环境、景观、湿地等生态环境用水及生产、生活用水需求的基础上，提出了调水总量和过程控制、输水线路或末端调蓄能力保障、生态流量泄放、生态（联合）调度等措施，明确了生态流量泄放和在线监测设施以及管理措施等内容。针对水库下泄或调出低温水、泄洪造成的气体过饱和等导致的不利生态环境影响，提出了分层取水、优化泄洪形式或调度方式、管理等措施。根据水质管理目标要求，提出了水源区污染源治理、库底环境清理、污水处理等水质保障措施；兼顾城乡生活供水任务的，还提出了划定饮用水水源保护区、设置隔离防护带等措施。</w:t>
                  </w:r>
                </w:p>
              </w:tc>
              <w:tc>
                <w:tcPr>
                  <w:tcW w:w="227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both"/>
                    <w:textAlignment w:val="baseline"/>
                    <w:rPr>
                      <w:rFonts w:hint="eastAsia" w:ascii="Times New Roman" w:hAnsi="Times New Roman" w:eastAsia="宋体" w:cs="Times New Roman"/>
                      <w:color w:val="auto"/>
                      <w:spacing w:val="-2"/>
                      <w:kern w:val="0"/>
                      <w:sz w:val="18"/>
                      <w:szCs w:val="18"/>
                      <w:highlight w:val="none"/>
                      <w:lang w:eastAsia="zh-CN"/>
                    </w:rPr>
                  </w:pPr>
                  <w:r>
                    <w:rPr>
                      <w:rFonts w:hint="eastAsia" w:ascii="Times New Roman" w:hAnsi="Times New Roman" w:eastAsia="宋体" w:cs="Times New Roman"/>
                      <w:color w:val="auto"/>
                      <w:spacing w:val="-2"/>
                      <w:kern w:val="0"/>
                      <w:sz w:val="18"/>
                      <w:szCs w:val="18"/>
                      <w:highlight w:val="none"/>
                      <w:lang w:eastAsia="zh-CN"/>
                    </w:rPr>
                    <w:t>本项目下泄生态流量 0.00</w:t>
                  </w:r>
                  <w:r>
                    <w:rPr>
                      <w:rFonts w:hint="eastAsia" w:cs="Times New Roman"/>
                      <w:color w:val="auto"/>
                      <w:spacing w:val="-2"/>
                      <w:kern w:val="0"/>
                      <w:sz w:val="18"/>
                      <w:szCs w:val="18"/>
                      <w:highlight w:val="none"/>
                      <w:lang w:val="en-US" w:eastAsia="zh-CN"/>
                    </w:rPr>
                    <w:t>4</w:t>
                  </w:r>
                  <w:r>
                    <w:rPr>
                      <w:rFonts w:hint="eastAsia" w:ascii="Times New Roman" w:hAnsi="Times New Roman" w:eastAsia="宋体" w:cs="Times New Roman"/>
                      <w:color w:val="auto"/>
                      <w:spacing w:val="-2"/>
                      <w:kern w:val="0"/>
                      <w:sz w:val="18"/>
                      <w:szCs w:val="18"/>
                      <w:highlight w:val="none"/>
                      <w:lang w:eastAsia="zh-CN"/>
                    </w:rPr>
                    <w:t>m</w:t>
                  </w:r>
                  <w:r>
                    <w:rPr>
                      <w:rFonts w:hint="eastAsia" w:ascii="Times New Roman" w:hAnsi="Times New Roman" w:eastAsia="宋体" w:cs="Times New Roman"/>
                      <w:color w:val="auto"/>
                      <w:spacing w:val="-2"/>
                      <w:kern w:val="0"/>
                      <w:sz w:val="18"/>
                      <w:szCs w:val="18"/>
                      <w:highlight w:val="none"/>
                      <w:vertAlign w:val="superscript"/>
                      <w:lang w:eastAsia="zh-CN"/>
                    </w:rPr>
                    <w:t>3</w:t>
                  </w:r>
                  <w:r>
                    <w:rPr>
                      <w:rFonts w:hint="eastAsia" w:ascii="Times New Roman" w:hAnsi="Times New Roman" w:eastAsia="宋体" w:cs="Times New Roman"/>
                      <w:color w:val="auto"/>
                      <w:spacing w:val="-2"/>
                      <w:kern w:val="0"/>
                      <w:sz w:val="18"/>
                      <w:szCs w:val="18"/>
                      <w:highlight w:val="none"/>
                      <w:lang w:eastAsia="zh-CN"/>
                    </w:rPr>
                    <w:t>/s</w:t>
                  </w:r>
                  <w:r>
                    <w:rPr>
                      <w:rFonts w:hint="eastAsia" w:cs="Times New Roman"/>
                      <w:color w:val="auto"/>
                      <w:spacing w:val="-2"/>
                      <w:kern w:val="0"/>
                      <w:sz w:val="18"/>
                      <w:szCs w:val="18"/>
                      <w:highlight w:val="none"/>
                      <w:lang w:eastAsia="zh-CN"/>
                    </w:rPr>
                    <w:t>，</w:t>
                  </w:r>
                  <w:r>
                    <w:rPr>
                      <w:rFonts w:hint="eastAsia" w:ascii="Times New Roman" w:hAnsi="Times New Roman" w:eastAsia="宋体" w:cs="Times New Roman"/>
                      <w:color w:val="auto"/>
                      <w:spacing w:val="-2"/>
                      <w:kern w:val="0"/>
                      <w:sz w:val="18"/>
                      <w:szCs w:val="18"/>
                      <w:highlight w:val="none"/>
                      <w:lang w:eastAsia="zh-CN"/>
                    </w:rPr>
                    <w:t>并要求在生态放水管安装流量计，通过流量计来监控放水流量，实现在线监控，可满足坝后减水河段水生生态、水环境、景观、湿地等生态环境用水及生产、生活用水需求。 根据水质管理目标要求，提出了水源区污染源治理、库底环境清理、污水处理等水质保障措施；并根据《饮用水水源保护区划分技术规范》，对本项目饮用水源保护区的划定提出了建议。</w:t>
                  </w:r>
                </w:p>
              </w:tc>
              <w:tc>
                <w:tcPr>
                  <w:tcW w:w="769"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pacing w:val="-2"/>
                      <w:kern w:val="0"/>
                      <w:sz w:val="18"/>
                      <w:szCs w:val="18"/>
                      <w:highlight w:val="none"/>
                      <w:lang w:eastAsia="zh-CN"/>
                    </w:rPr>
                  </w:pPr>
                  <w:r>
                    <w:rPr>
                      <w:rFonts w:ascii="Times New Roman" w:hAnsi="Times New Roman" w:eastAsia="宋体" w:cs="Times New Roman"/>
                      <w:color w:val="auto"/>
                      <w:spacing w:val="-2"/>
                      <w:kern w:val="0"/>
                      <w:sz w:val="18"/>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keepNext w:val="0"/>
                    <w:keepLines w:val="0"/>
                    <w:pageBreakBefore w:val="0"/>
                    <w:numPr>
                      <w:ilvl w:val="0"/>
                      <w:numId w:val="2"/>
                    </w:numPr>
                    <w:kinsoku/>
                    <w:wordWrap/>
                    <w:overflowPunct/>
                    <w:topLinePunct w:val="0"/>
                    <w:autoSpaceDE/>
                    <w:autoSpaceDN/>
                    <w:bidi w:val="0"/>
                    <w:adjustRightInd w:val="0"/>
                    <w:snapToGrid w:val="0"/>
                    <w:spacing w:line="240" w:lineRule="auto"/>
                    <w:ind w:left="454" w:leftChars="0" w:hanging="454" w:firstLineChars="0"/>
                    <w:jc w:val="center"/>
                    <w:textAlignment w:val="baseline"/>
                    <w:rPr>
                      <w:rFonts w:hint="eastAsia" w:ascii="Times New Roman" w:hAnsi="Times New Roman" w:eastAsia="宋体" w:cs="Times New Roman"/>
                      <w:color w:val="auto"/>
                      <w:spacing w:val="-2"/>
                      <w:kern w:val="0"/>
                      <w:sz w:val="18"/>
                      <w:szCs w:val="18"/>
                      <w:highlight w:val="none"/>
                      <w:lang w:eastAsia="zh-CN"/>
                    </w:rPr>
                  </w:pPr>
                </w:p>
              </w:tc>
              <w:tc>
                <w:tcPr>
                  <w:tcW w:w="313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both"/>
                    <w:textAlignment w:val="baseline"/>
                    <w:rPr>
                      <w:rFonts w:hint="eastAsia" w:ascii="Times New Roman" w:hAnsi="Times New Roman" w:eastAsia="宋体" w:cs="Times New Roman"/>
                      <w:color w:val="auto"/>
                      <w:spacing w:val="-2"/>
                      <w:kern w:val="0"/>
                      <w:sz w:val="18"/>
                      <w:szCs w:val="18"/>
                      <w:highlight w:val="none"/>
                    </w:rPr>
                  </w:pPr>
                  <w:r>
                    <w:rPr>
                      <w:rFonts w:hint="eastAsia" w:ascii="Times New Roman" w:hAnsi="Times New Roman" w:eastAsia="宋体" w:cs="Times New Roman"/>
                      <w:color w:val="auto"/>
                      <w:spacing w:val="-2"/>
                      <w:kern w:val="0"/>
                      <w:sz w:val="18"/>
                      <w:szCs w:val="18"/>
                      <w:highlight w:val="none"/>
                    </w:rPr>
                    <w:t>根据输水线路水环境保护需求，提出了划定饮用水水源保护区、源头治理、截污导流、河道清淤或建设隔离带等措施，保障输水水质达标。输水河湖具有航运、旅游等其他功能且可能对水质安全带来不利影响的，提出了不得影响输水水质的港口码头选址建设要求、制定限制或禁止运输的货物种类目录、船舶污染防治等水污染防范措施。</w:t>
                  </w:r>
                </w:p>
              </w:tc>
              <w:tc>
                <w:tcPr>
                  <w:tcW w:w="227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both"/>
                    <w:textAlignment w:val="baseline"/>
                    <w:rPr>
                      <w:rFonts w:hint="eastAsia" w:ascii="Times New Roman" w:hAnsi="Times New Roman" w:eastAsia="宋体" w:cs="Times New Roman"/>
                      <w:color w:val="auto"/>
                      <w:spacing w:val="-2"/>
                      <w:kern w:val="0"/>
                      <w:sz w:val="18"/>
                      <w:szCs w:val="18"/>
                      <w:highlight w:val="none"/>
                      <w:lang w:eastAsia="zh-CN"/>
                    </w:rPr>
                  </w:pPr>
                  <w:r>
                    <w:rPr>
                      <w:rFonts w:hint="eastAsia" w:ascii="Times New Roman" w:hAnsi="Times New Roman" w:eastAsia="宋体" w:cs="Times New Roman"/>
                      <w:color w:val="auto"/>
                      <w:spacing w:val="-2"/>
                      <w:kern w:val="0"/>
                      <w:sz w:val="18"/>
                      <w:szCs w:val="18"/>
                      <w:highlight w:val="none"/>
                      <w:lang w:eastAsia="zh-CN"/>
                    </w:rPr>
                    <w:t>根据《饮用水水源保护区划分技术规范》，对</w:t>
                  </w:r>
                  <w:r>
                    <w:rPr>
                      <w:rFonts w:hint="eastAsia" w:cs="Times New Roman"/>
                      <w:color w:val="auto"/>
                      <w:spacing w:val="-2"/>
                      <w:kern w:val="0"/>
                      <w:sz w:val="18"/>
                      <w:szCs w:val="18"/>
                      <w:highlight w:val="none"/>
                      <w:lang w:val="en-US" w:eastAsia="zh-CN"/>
                    </w:rPr>
                    <w:t>堰沟水库</w:t>
                  </w:r>
                  <w:r>
                    <w:rPr>
                      <w:rFonts w:hint="eastAsia" w:ascii="Times New Roman" w:hAnsi="Times New Roman" w:eastAsia="宋体" w:cs="Times New Roman"/>
                      <w:color w:val="auto"/>
                      <w:spacing w:val="-2"/>
                      <w:kern w:val="0"/>
                      <w:sz w:val="18"/>
                      <w:szCs w:val="18"/>
                      <w:highlight w:val="none"/>
                      <w:lang w:eastAsia="zh-CN"/>
                    </w:rPr>
                    <w:t>饮用水源保护区的划定提出了建议。同时依据《中华人民共和国水污染防治法</w:t>
                  </w:r>
                  <w:r>
                    <w:rPr>
                      <w:rFonts w:hint="eastAsia" w:cs="Times New Roman"/>
                      <w:color w:val="auto"/>
                      <w:spacing w:val="-2"/>
                      <w:kern w:val="0"/>
                      <w:sz w:val="18"/>
                      <w:szCs w:val="18"/>
                      <w:highlight w:val="none"/>
                      <w:lang w:eastAsia="zh-CN"/>
                    </w:rPr>
                    <w:t>》《</w:t>
                  </w:r>
                  <w:r>
                    <w:rPr>
                      <w:rFonts w:hint="eastAsia" w:ascii="Times New Roman" w:hAnsi="Times New Roman" w:eastAsia="宋体" w:cs="Times New Roman"/>
                      <w:color w:val="auto"/>
                      <w:spacing w:val="-2"/>
                      <w:kern w:val="0"/>
                      <w:sz w:val="18"/>
                      <w:szCs w:val="18"/>
                      <w:highlight w:val="none"/>
                      <w:lang w:eastAsia="zh-CN"/>
                    </w:rPr>
                    <w:t>饮用水源保护区污染防治管理规定</w:t>
                  </w:r>
                  <w:r>
                    <w:rPr>
                      <w:rFonts w:hint="eastAsia" w:cs="Times New Roman"/>
                      <w:color w:val="auto"/>
                      <w:spacing w:val="-2"/>
                      <w:kern w:val="0"/>
                      <w:sz w:val="18"/>
                      <w:szCs w:val="18"/>
                      <w:highlight w:val="none"/>
                      <w:lang w:eastAsia="zh-CN"/>
                    </w:rPr>
                    <w:t>》《</w:t>
                  </w:r>
                  <w:r>
                    <w:rPr>
                      <w:rFonts w:hint="eastAsia" w:ascii="Times New Roman" w:hAnsi="Times New Roman" w:eastAsia="宋体" w:cs="Times New Roman"/>
                      <w:color w:val="auto"/>
                      <w:spacing w:val="-2"/>
                      <w:kern w:val="0"/>
                      <w:sz w:val="18"/>
                      <w:szCs w:val="18"/>
                      <w:highlight w:val="none"/>
                      <w:lang w:eastAsia="zh-CN"/>
                    </w:rPr>
                    <w:t>关于进一步加强饮用水水源安全保障工作的通知》对水库拟划定的饮用水源保护区污染控制提出了明确的防治要求。</w:t>
                  </w:r>
                </w:p>
              </w:tc>
              <w:tc>
                <w:tcPr>
                  <w:tcW w:w="769"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pacing w:val="-2"/>
                      <w:kern w:val="0"/>
                      <w:sz w:val="18"/>
                      <w:szCs w:val="18"/>
                      <w:highlight w:val="none"/>
                      <w:lang w:eastAsia="zh-CN"/>
                    </w:rPr>
                  </w:pPr>
                  <w:r>
                    <w:rPr>
                      <w:rFonts w:ascii="Times New Roman" w:hAnsi="Times New Roman" w:eastAsia="宋体" w:cs="Times New Roman"/>
                      <w:color w:val="auto"/>
                      <w:spacing w:val="-2"/>
                      <w:kern w:val="0"/>
                      <w:sz w:val="18"/>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keepNext w:val="0"/>
                    <w:keepLines w:val="0"/>
                    <w:pageBreakBefore w:val="0"/>
                    <w:numPr>
                      <w:ilvl w:val="0"/>
                      <w:numId w:val="2"/>
                    </w:numPr>
                    <w:kinsoku/>
                    <w:wordWrap/>
                    <w:overflowPunct/>
                    <w:topLinePunct w:val="0"/>
                    <w:autoSpaceDE/>
                    <w:autoSpaceDN/>
                    <w:bidi w:val="0"/>
                    <w:adjustRightInd w:val="0"/>
                    <w:snapToGrid w:val="0"/>
                    <w:spacing w:line="240" w:lineRule="auto"/>
                    <w:ind w:left="454" w:leftChars="0" w:hanging="454" w:firstLineChars="0"/>
                    <w:jc w:val="center"/>
                    <w:textAlignment w:val="baseline"/>
                    <w:rPr>
                      <w:rFonts w:hint="eastAsia" w:ascii="Times New Roman" w:hAnsi="Times New Roman" w:eastAsia="宋体" w:cs="Times New Roman"/>
                      <w:color w:val="auto"/>
                      <w:spacing w:val="-2"/>
                      <w:kern w:val="0"/>
                      <w:sz w:val="18"/>
                      <w:szCs w:val="18"/>
                      <w:highlight w:val="none"/>
                      <w:lang w:eastAsia="zh-CN"/>
                    </w:rPr>
                  </w:pPr>
                </w:p>
              </w:tc>
              <w:tc>
                <w:tcPr>
                  <w:tcW w:w="313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both"/>
                    <w:textAlignment w:val="baseline"/>
                    <w:rPr>
                      <w:rFonts w:hint="eastAsia" w:ascii="Times New Roman" w:hAnsi="Times New Roman" w:eastAsia="宋体" w:cs="Times New Roman"/>
                      <w:color w:val="auto"/>
                      <w:spacing w:val="-2"/>
                      <w:kern w:val="0"/>
                      <w:sz w:val="18"/>
                      <w:szCs w:val="18"/>
                      <w:highlight w:val="none"/>
                    </w:rPr>
                  </w:pPr>
                  <w:r>
                    <w:rPr>
                      <w:rFonts w:hint="eastAsia" w:ascii="Times New Roman" w:hAnsi="Times New Roman" w:eastAsia="宋体" w:cs="Times New Roman"/>
                      <w:color w:val="auto"/>
                      <w:spacing w:val="-2"/>
                      <w:kern w:val="0"/>
                      <w:sz w:val="18"/>
                      <w:szCs w:val="18"/>
                      <w:highlight w:val="none"/>
                    </w:rPr>
                    <w:t>受水区水污染治理以改善水环境质量为目标，遵循“增水不增污”或“增水减污”原则，并有经相关地方人民政府认可的水污染防治相关规划作为支撑。</w:t>
                  </w:r>
                </w:p>
              </w:tc>
              <w:tc>
                <w:tcPr>
                  <w:tcW w:w="227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both"/>
                    <w:textAlignment w:val="baseline"/>
                    <w:rPr>
                      <w:rFonts w:hint="eastAsia" w:ascii="Times New Roman" w:hAnsi="Times New Roman" w:eastAsia="宋体" w:cs="Times New Roman"/>
                      <w:color w:val="auto"/>
                      <w:spacing w:val="-2"/>
                      <w:kern w:val="0"/>
                      <w:sz w:val="18"/>
                      <w:szCs w:val="18"/>
                      <w:highlight w:val="none"/>
                      <w:lang w:eastAsia="zh-CN"/>
                    </w:rPr>
                  </w:pPr>
                  <w:r>
                    <w:rPr>
                      <w:rFonts w:hint="eastAsia" w:ascii="Times New Roman" w:hAnsi="Times New Roman" w:eastAsia="宋体" w:cs="Times New Roman"/>
                      <w:color w:val="auto"/>
                      <w:spacing w:val="-2"/>
                      <w:kern w:val="0"/>
                      <w:sz w:val="18"/>
                      <w:szCs w:val="18"/>
                      <w:highlight w:val="none"/>
                      <w:lang w:eastAsia="zh-CN"/>
                    </w:rPr>
                    <w:t>受水区主要为</w:t>
                  </w:r>
                  <w:r>
                    <w:rPr>
                      <w:rFonts w:hint="eastAsia" w:cs="Times New Roman"/>
                      <w:color w:val="auto"/>
                      <w:spacing w:val="-2"/>
                      <w:kern w:val="0"/>
                      <w:sz w:val="18"/>
                      <w:szCs w:val="18"/>
                      <w:highlight w:val="none"/>
                      <w:lang w:val="en-US" w:eastAsia="zh-CN"/>
                    </w:rPr>
                    <w:t>胡家镇、花池社区</w:t>
                  </w:r>
                  <w:r>
                    <w:rPr>
                      <w:rFonts w:hint="eastAsia" w:ascii="Times New Roman" w:hAnsi="Times New Roman" w:eastAsia="宋体" w:cs="Times New Roman"/>
                      <w:color w:val="auto"/>
                      <w:spacing w:val="-2"/>
                      <w:kern w:val="0"/>
                      <w:sz w:val="18"/>
                      <w:szCs w:val="18"/>
                      <w:highlight w:val="none"/>
                      <w:lang w:eastAsia="zh-CN"/>
                    </w:rPr>
                    <w:t>，城镇用水经污水处理厂处理后</w:t>
                  </w:r>
                  <w:r>
                    <w:rPr>
                      <w:rFonts w:hint="eastAsia" w:cs="Times New Roman"/>
                      <w:color w:val="auto"/>
                      <w:spacing w:val="-2"/>
                      <w:kern w:val="0"/>
                      <w:sz w:val="18"/>
                      <w:szCs w:val="18"/>
                      <w:highlight w:val="none"/>
                      <w:lang w:val="en-US" w:eastAsia="zh-CN"/>
                    </w:rPr>
                    <w:t>排放</w:t>
                  </w:r>
                  <w:r>
                    <w:rPr>
                      <w:rFonts w:hint="eastAsia" w:ascii="Times New Roman" w:hAnsi="Times New Roman" w:eastAsia="宋体" w:cs="Times New Roman"/>
                      <w:color w:val="auto"/>
                      <w:spacing w:val="-2"/>
                      <w:kern w:val="0"/>
                      <w:sz w:val="18"/>
                      <w:szCs w:val="18"/>
                      <w:highlight w:val="none"/>
                      <w:lang w:eastAsia="zh-CN"/>
                    </w:rPr>
                    <w:t>，对河流水质影响小。</w:t>
                  </w:r>
                </w:p>
              </w:tc>
              <w:tc>
                <w:tcPr>
                  <w:tcW w:w="769"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pacing w:val="-2"/>
                      <w:kern w:val="0"/>
                      <w:sz w:val="18"/>
                      <w:szCs w:val="18"/>
                      <w:highlight w:val="none"/>
                      <w:lang w:eastAsia="zh-CN"/>
                    </w:rPr>
                  </w:pPr>
                  <w:r>
                    <w:rPr>
                      <w:rFonts w:ascii="Times New Roman" w:hAnsi="Times New Roman" w:eastAsia="宋体" w:cs="Times New Roman"/>
                      <w:color w:val="auto"/>
                      <w:spacing w:val="-2"/>
                      <w:kern w:val="0"/>
                      <w:sz w:val="18"/>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keepNext w:val="0"/>
                    <w:keepLines w:val="0"/>
                    <w:pageBreakBefore w:val="0"/>
                    <w:numPr>
                      <w:ilvl w:val="0"/>
                      <w:numId w:val="2"/>
                    </w:numPr>
                    <w:kinsoku/>
                    <w:wordWrap/>
                    <w:overflowPunct/>
                    <w:topLinePunct w:val="0"/>
                    <w:autoSpaceDE/>
                    <w:autoSpaceDN/>
                    <w:bidi w:val="0"/>
                    <w:adjustRightInd w:val="0"/>
                    <w:snapToGrid w:val="0"/>
                    <w:spacing w:line="240" w:lineRule="auto"/>
                    <w:ind w:left="454" w:leftChars="0" w:hanging="454" w:firstLineChars="0"/>
                    <w:jc w:val="center"/>
                    <w:textAlignment w:val="baseline"/>
                    <w:rPr>
                      <w:rFonts w:hint="eastAsia" w:ascii="Times New Roman" w:hAnsi="Times New Roman" w:eastAsia="宋体" w:cs="Times New Roman"/>
                      <w:color w:val="auto"/>
                      <w:spacing w:val="-2"/>
                      <w:kern w:val="0"/>
                      <w:sz w:val="18"/>
                      <w:szCs w:val="18"/>
                      <w:highlight w:val="none"/>
                      <w:lang w:eastAsia="zh-CN"/>
                    </w:rPr>
                  </w:pPr>
                </w:p>
              </w:tc>
              <w:tc>
                <w:tcPr>
                  <w:tcW w:w="313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both"/>
                    <w:textAlignment w:val="baseline"/>
                    <w:rPr>
                      <w:rFonts w:hint="eastAsia" w:ascii="Times New Roman" w:hAnsi="Times New Roman" w:eastAsia="宋体" w:cs="Times New Roman"/>
                      <w:color w:val="auto"/>
                      <w:spacing w:val="-2"/>
                      <w:kern w:val="0"/>
                      <w:sz w:val="18"/>
                      <w:szCs w:val="18"/>
                      <w:highlight w:val="none"/>
                    </w:rPr>
                  </w:pPr>
                  <w:r>
                    <w:rPr>
                      <w:rFonts w:hint="eastAsia" w:ascii="Times New Roman" w:hAnsi="Times New Roman" w:eastAsia="宋体" w:cs="Times New Roman"/>
                      <w:color w:val="auto"/>
                      <w:spacing w:val="-2"/>
                      <w:kern w:val="0"/>
                      <w:sz w:val="18"/>
                      <w:szCs w:val="18"/>
                      <w:highlight w:val="none"/>
                    </w:rPr>
                    <w:t>项目建设可能造成水库和输水沿线周边地下水位变化，引起土壤潜育化、沼泽化、盐碱化、沙化或植被退化演替等次生生态影响的，提出了封堵、导排、防护等针对性措施。</w:t>
                  </w:r>
                </w:p>
              </w:tc>
              <w:tc>
                <w:tcPr>
                  <w:tcW w:w="227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both"/>
                    <w:textAlignment w:val="baseline"/>
                    <w:rPr>
                      <w:rFonts w:hint="eastAsia" w:ascii="Times New Roman" w:hAnsi="Times New Roman" w:eastAsia="宋体" w:cs="Times New Roman"/>
                      <w:color w:val="auto"/>
                      <w:spacing w:val="-2"/>
                      <w:kern w:val="0"/>
                      <w:sz w:val="18"/>
                      <w:szCs w:val="18"/>
                      <w:highlight w:val="none"/>
                      <w:lang w:eastAsia="zh-CN"/>
                    </w:rPr>
                  </w:pPr>
                  <w:r>
                    <w:rPr>
                      <w:rFonts w:hint="eastAsia" w:ascii="Times New Roman" w:hAnsi="Times New Roman" w:eastAsia="宋体" w:cs="Times New Roman"/>
                      <w:color w:val="auto"/>
                      <w:spacing w:val="-2"/>
                      <w:kern w:val="0"/>
                      <w:sz w:val="18"/>
                      <w:szCs w:val="18"/>
                      <w:highlight w:val="none"/>
                      <w:lang w:eastAsia="zh-CN"/>
                    </w:rPr>
                    <w:t>项目不会造成水库和输水</w:t>
                  </w:r>
                  <w:r>
                    <w:rPr>
                      <w:rFonts w:hint="eastAsia" w:cs="Times New Roman"/>
                      <w:color w:val="auto"/>
                      <w:spacing w:val="-2"/>
                      <w:kern w:val="0"/>
                      <w:sz w:val="18"/>
                      <w:szCs w:val="18"/>
                      <w:highlight w:val="none"/>
                      <w:lang w:val="en-US" w:eastAsia="zh-CN"/>
                    </w:rPr>
                    <w:t>管</w:t>
                  </w:r>
                  <w:r>
                    <w:rPr>
                      <w:rFonts w:hint="eastAsia" w:ascii="Times New Roman" w:hAnsi="Times New Roman" w:eastAsia="宋体" w:cs="Times New Roman"/>
                      <w:color w:val="auto"/>
                      <w:spacing w:val="-2"/>
                      <w:kern w:val="0"/>
                      <w:sz w:val="18"/>
                      <w:szCs w:val="18"/>
                      <w:highlight w:val="none"/>
                      <w:lang w:eastAsia="zh-CN"/>
                    </w:rPr>
                    <w:t>沿线周边地下水位变化</w:t>
                  </w:r>
                </w:p>
              </w:tc>
              <w:tc>
                <w:tcPr>
                  <w:tcW w:w="769"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pacing w:val="-2"/>
                      <w:kern w:val="0"/>
                      <w:sz w:val="18"/>
                      <w:szCs w:val="18"/>
                      <w:highlight w:val="none"/>
                      <w:lang w:eastAsia="zh-CN"/>
                    </w:rPr>
                  </w:pPr>
                  <w:r>
                    <w:rPr>
                      <w:rFonts w:ascii="Times New Roman" w:hAnsi="Times New Roman" w:eastAsia="宋体" w:cs="Times New Roman"/>
                      <w:color w:val="auto"/>
                      <w:spacing w:val="-2"/>
                      <w:kern w:val="0"/>
                      <w:sz w:val="18"/>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keepNext w:val="0"/>
                    <w:keepLines w:val="0"/>
                    <w:pageBreakBefore w:val="0"/>
                    <w:numPr>
                      <w:ilvl w:val="0"/>
                      <w:numId w:val="2"/>
                    </w:numPr>
                    <w:kinsoku/>
                    <w:wordWrap/>
                    <w:overflowPunct/>
                    <w:topLinePunct w:val="0"/>
                    <w:autoSpaceDE/>
                    <w:autoSpaceDN/>
                    <w:bidi w:val="0"/>
                    <w:adjustRightInd w:val="0"/>
                    <w:snapToGrid w:val="0"/>
                    <w:spacing w:line="240" w:lineRule="auto"/>
                    <w:ind w:left="454" w:leftChars="0" w:hanging="454" w:firstLineChars="0"/>
                    <w:jc w:val="center"/>
                    <w:textAlignment w:val="baseline"/>
                    <w:rPr>
                      <w:rFonts w:hint="eastAsia" w:ascii="Times New Roman" w:hAnsi="Times New Roman" w:eastAsia="宋体" w:cs="Times New Roman"/>
                      <w:color w:val="auto"/>
                      <w:spacing w:val="-2"/>
                      <w:kern w:val="0"/>
                      <w:sz w:val="18"/>
                      <w:szCs w:val="18"/>
                      <w:highlight w:val="none"/>
                      <w:lang w:eastAsia="zh-CN"/>
                    </w:rPr>
                  </w:pPr>
                </w:p>
              </w:tc>
              <w:tc>
                <w:tcPr>
                  <w:tcW w:w="313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both"/>
                    <w:textAlignment w:val="baseline"/>
                    <w:rPr>
                      <w:rFonts w:hint="eastAsia" w:ascii="Times New Roman" w:hAnsi="Times New Roman" w:eastAsia="宋体" w:cs="Times New Roman"/>
                      <w:color w:val="auto"/>
                      <w:spacing w:val="-2"/>
                      <w:kern w:val="0"/>
                      <w:sz w:val="18"/>
                      <w:szCs w:val="18"/>
                      <w:highlight w:val="none"/>
                    </w:rPr>
                  </w:pPr>
                  <w:r>
                    <w:rPr>
                      <w:rFonts w:hint="eastAsia" w:ascii="Times New Roman" w:hAnsi="Times New Roman" w:eastAsia="宋体" w:cs="Times New Roman"/>
                      <w:color w:val="auto"/>
                      <w:spacing w:val="-2"/>
                      <w:kern w:val="0"/>
                      <w:sz w:val="18"/>
                      <w:szCs w:val="18"/>
                      <w:highlight w:val="none"/>
                    </w:rPr>
                    <w:t>项目对鱼类等水生生物的生境、物种多样性及资源量等造成不利影响的，提出了优化工程设计及调度、栖息地保护、水生生物通道恢复、增殖放流、拦鱼等措施。栖息地保护措施包括干（支）流生境保留、生境修复（或重建）等，采用生境保留的应明确河段范围及保护措施。水生生物通道恢复措施包括鱼道、升鱼机、集运鱼系统等，在必要的水工模型试验基础上，明确了过鱼对象、主要参数、运行要求等，且满足可研阶段设计深度要求。鱼类增殖放流措施应明确增殖站地点、增殖放流对象、放流规模、放流地点等。</w:t>
                  </w:r>
                </w:p>
              </w:tc>
              <w:tc>
                <w:tcPr>
                  <w:tcW w:w="227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both"/>
                    <w:textAlignment w:val="baseline"/>
                    <w:rPr>
                      <w:rFonts w:hint="eastAsia" w:ascii="Times New Roman" w:hAnsi="Times New Roman" w:eastAsia="宋体" w:cs="Times New Roman"/>
                      <w:color w:val="auto"/>
                      <w:spacing w:val="-2"/>
                      <w:kern w:val="0"/>
                      <w:sz w:val="18"/>
                      <w:szCs w:val="18"/>
                      <w:highlight w:val="none"/>
                      <w:lang w:eastAsia="zh-CN"/>
                    </w:rPr>
                  </w:pPr>
                  <w:r>
                    <w:rPr>
                      <w:rFonts w:hint="eastAsia" w:ascii="Times New Roman" w:hAnsi="Times New Roman" w:eastAsia="宋体" w:cs="Times New Roman"/>
                      <w:color w:val="auto"/>
                      <w:spacing w:val="-2"/>
                      <w:kern w:val="0"/>
                      <w:sz w:val="18"/>
                      <w:szCs w:val="18"/>
                      <w:highlight w:val="none"/>
                      <w:lang w:eastAsia="zh-CN"/>
                    </w:rPr>
                    <w:t>项目提出了优化工程设计及调度。</w:t>
                  </w:r>
                </w:p>
              </w:tc>
              <w:tc>
                <w:tcPr>
                  <w:tcW w:w="769"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pacing w:val="-2"/>
                      <w:kern w:val="0"/>
                      <w:sz w:val="18"/>
                      <w:szCs w:val="18"/>
                      <w:highlight w:val="none"/>
                      <w:lang w:eastAsia="zh-CN"/>
                    </w:rPr>
                  </w:pPr>
                  <w:r>
                    <w:rPr>
                      <w:rFonts w:ascii="Times New Roman" w:hAnsi="Times New Roman" w:eastAsia="宋体" w:cs="Times New Roman"/>
                      <w:color w:val="auto"/>
                      <w:spacing w:val="-2"/>
                      <w:kern w:val="0"/>
                      <w:sz w:val="18"/>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keepNext w:val="0"/>
                    <w:keepLines w:val="0"/>
                    <w:pageBreakBefore w:val="0"/>
                    <w:numPr>
                      <w:ilvl w:val="0"/>
                      <w:numId w:val="2"/>
                    </w:numPr>
                    <w:kinsoku/>
                    <w:wordWrap/>
                    <w:overflowPunct/>
                    <w:topLinePunct w:val="0"/>
                    <w:autoSpaceDE/>
                    <w:autoSpaceDN/>
                    <w:bidi w:val="0"/>
                    <w:adjustRightInd w:val="0"/>
                    <w:snapToGrid w:val="0"/>
                    <w:spacing w:line="240" w:lineRule="auto"/>
                    <w:ind w:left="454" w:leftChars="0" w:hanging="454" w:firstLineChars="0"/>
                    <w:jc w:val="center"/>
                    <w:textAlignment w:val="baseline"/>
                    <w:rPr>
                      <w:rFonts w:hint="eastAsia" w:ascii="Times New Roman" w:hAnsi="Times New Roman" w:eastAsia="宋体" w:cs="Times New Roman"/>
                      <w:color w:val="auto"/>
                      <w:spacing w:val="-2"/>
                      <w:kern w:val="0"/>
                      <w:sz w:val="18"/>
                      <w:szCs w:val="18"/>
                      <w:highlight w:val="none"/>
                      <w:lang w:eastAsia="zh-CN"/>
                    </w:rPr>
                  </w:pPr>
                </w:p>
              </w:tc>
              <w:tc>
                <w:tcPr>
                  <w:tcW w:w="313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both"/>
                    <w:textAlignment w:val="baseline"/>
                    <w:rPr>
                      <w:rFonts w:hint="eastAsia" w:ascii="Times New Roman" w:hAnsi="Times New Roman" w:eastAsia="宋体" w:cs="Times New Roman"/>
                      <w:color w:val="auto"/>
                      <w:spacing w:val="-2"/>
                      <w:kern w:val="0"/>
                      <w:sz w:val="18"/>
                      <w:szCs w:val="18"/>
                      <w:highlight w:val="none"/>
                    </w:rPr>
                  </w:pPr>
                  <w:r>
                    <w:rPr>
                      <w:rFonts w:hint="eastAsia" w:ascii="Times New Roman" w:hAnsi="Times New Roman" w:eastAsia="宋体" w:cs="Times New Roman"/>
                      <w:color w:val="auto"/>
                      <w:spacing w:val="-2"/>
                      <w:kern w:val="0"/>
                      <w:sz w:val="18"/>
                      <w:szCs w:val="18"/>
                      <w:highlight w:val="none"/>
                    </w:rPr>
                    <w:t>项目对珍稀濒危和重点保护野生动、植物及其生境造成影响的，提出了优化工程布置和调度运行方案、合理安排工期、应急救护、建设或保留动物通道、移栽、就地保护或再造类似生境等避让、减缓和补偿措施。项目涉及风景名胜区等环境敏感区并对景观产生影响的，提出了工程方案优化、景观塑造等措施。</w:t>
                  </w:r>
                </w:p>
              </w:tc>
              <w:tc>
                <w:tcPr>
                  <w:tcW w:w="227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both"/>
                    <w:textAlignment w:val="baseline"/>
                    <w:rPr>
                      <w:rFonts w:hint="eastAsia" w:ascii="Times New Roman" w:hAnsi="Times New Roman" w:eastAsia="宋体" w:cs="Times New Roman"/>
                      <w:color w:val="auto"/>
                      <w:spacing w:val="-2"/>
                      <w:kern w:val="0"/>
                      <w:sz w:val="18"/>
                      <w:szCs w:val="18"/>
                      <w:highlight w:val="none"/>
                      <w:lang w:eastAsia="zh-CN"/>
                    </w:rPr>
                  </w:pPr>
                  <w:r>
                    <w:rPr>
                      <w:rFonts w:hint="eastAsia" w:ascii="Times New Roman" w:hAnsi="Times New Roman" w:eastAsia="宋体" w:cs="Times New Roman"/>
                      <w:color w:val="auto"/>
                      <w:spacing w:val="-2"/>
                      <w:kern w:val="0"/>
                      <w:sz w:val="18"/>
                      <w:szCs w:val="18"/>
                      <w:highlight w:val="none"/>
                      <w:lang w:eastAsia="zh-CN"/>
                    </w:rPr>
                    <w:t>项目不涉及珍稀濒危和重点保护野生</w:t>
                  </w:r>
                  <w:r>
                    <w:rPr>
                      <w:rFonts w:hint="eastAsia" w:cs="Times New Roman"/>
                      <w:color w:val="auto"/>
                      <w:spacing w:val="-2"/>
                      <w:kern w:val="0"/>
                      <w:sz w:val="18"/>
                      <w:szCs w:val="18"/>
                      <w:highlight w:val="none"/>
                      <w:lang w:val="en-US" w:eastAsia="zh-CN"/>
                    </w:rPr>
                    <w:t>动物</w:t>
                  </w:r>
                  <w:r>
                    <w:rPr>
                      <w:rFonts w:hint="eastAsia" w:ascii="Times New Roman" w:hAnsi="Times New Roman" w:eastAsia="宋体" w:cs="Times New Roman"/>
                      <w:color w:val="auto"/>
                      <w:spacing w:val="-2"/>
                      <w:kern w:val="0"/>
                      <w:sz w:val="18"/>
                      <w:szCs w:val="18"/>
                      <w:highlight w:val="none"/>
                      <w:lang w:eastAsia="zh-CN"/>
                    </w:rPr>
                    <w:t>，提出了优化工程布置和调度运行方案、合理安排工期。</w:t>
                  </w:r>
                </w:p>
              </w:tc>
              <w:tc>
                <w:tcPr>
                  <w:tcW w:w="769"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pacing w:val="-2"/>
                      <w:kern w:val="0"/>
                      <w:sz w:val="18"/>
                      <w:szCs w:val="18"/>
                      <w:highlight w:val="none"/>
                      <w:lang w:eastAsia="zh-CN"/>
                    </w:rPr>
                  </w:pPr>
                  <w:r>
                    <w:rPr>
                      <w:rFonts w:ascii="Times New Roman" w:hAnsi="Times New Roman" w:eastAsia="宋体" w:cs="Times New Roman"/>
                      <w:color w:val="auto"/>
                      <w:spacing w:val="-2"/>
                      <w:kern w:val="0"/>
                      <w:sz w:val="18"/>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keepNext w:val="0"/>
                    <w:keepLines w:val="0"/>
                    <w:pageBreakBefore w:val="0"/>
                    <w:numPr>
                      <w:ilvl w:val="0"/>
                      <w:numId w:val="2"/>
                    </w:numPr>
                    <w:kinsoku/>
                    <w:wordWrap/>
                    <w:overflowPunct/>
                    <w:topLinePunct w:val="0"/>
                    <w:autoSpaceDE/>
                    <w:autoSpaceDN/>
                    <w:bidi w:val="0"/>
                    <w:adjustRightInd w:val="0"/>
                    <w:snapToGrid w:val="0"/>
                    <w:spacing w:line="240" w:lineRule="auto"/>
                    <w:ind w:left="454" w:leftChars="0" w:hanging="454" w:firstLineChars="0"/>
                    <w:jc w:val="center"/>
                    <w:textAlignment w:val="baseline"/>
                    <w:rPr>
                      <w:rFonts w:hint="eastAsia" w:ascii="Times New Roman" w:hAnsi="Times New Roman" w:eastAsia="宋体" w:cs="Times New Roman"/>
                      <w:color w:val="auto"/>
                      <w:spacing w:val="-2"/>
                      <w:kern w:val="0"/>
                      <w:sz w:val="18"/>
                      <w:szCs w:val="18"/>
                      <w:highlight w:val="none"/>
                      <w:lang w:eastAsia="zh-CN"/>
                    </w:rPr>
                  </w:pPr>
                </w:p>
              </w:tc>
              <w:tc>
                <w:tcPr>
                  <w:tcW w:w="313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both"/>
                    <w:textAlignment w:val="baseline"/>
                    <w:rPr>
                      <w:rFonts w:hint="eastAsia" w:ascii="Times New Roman" w:hAnsi="Times New Roman" w:eastAsia="宋体" w:cs="Times New Roman"/>
                      <w:color w:val="auto"/>
                      <w:spacing w:val="-2"/>
                      <w:kern w:val="0"/>
                      <w:sz w:val="18"/>
                      <w:szCs w:val="18"/>
                      <w:highlight w:val="none"/>
                    </w:rPr>
                  </w:pPr>
                  <w:r>
                    <w:rPr>
                      <w:rFonts w:hint="eastAsia" w:ascii="Times New Roman" w:hAnsi="Times New Roman" w:eastAsia="宋体" w:cs="Times New Roman"/>
                      <w:color w:val="auto"/>
                      <w:spacing w:val="-2"/>
                      <w:kern w:val="0"/>
                      <w:sz w:val="18"/>
                      <w:szCs w:val="18"/>
                      <w:highlight w:val="none"/>
                    </w:rPr>
                    <w:t>项目施工组织方案具有环境合理性，对料场、弃土（渣）场等施工场地提出了水土流失防治和施工迹地生态恢复等措施。根据环境保护相关标准和要求，对施工期各类废（污）水、废气、噪声、固体废物等提出防治或处置措施。</w:t>
                  </w:r>
                </w:p>
              </w:tc>
              <w:tc>
                <w:tcPr>
                  <w:tcW w:w="227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both"/>
                    <w:textAlignment w:val="baseline"/>
                    <w:rPr>
                      <w:rFonts w:hint="eastAsia" w:ascii="Times New Roman" w:hAnsi="Times New Roman" w:eastAsia="宋体" w:cs="Times New Roman"/>
                      <w:color w:val="auto"/>
                      <w:spacing w:val="-2"/>
                      <w:kern w:val="0"/>
                      <w:sz w:val="18"/>
                      <w:szCs w:val="18"/>
                      <w:highlight w:val="none"/>
                      <w:lang w:eastAsia="zh-CN"/>
                    </w:rPr>
                  </w:pPr>
                  <w:r>
                    <w:rPr>
                      <w:rFonts w:hint="eastAsia" w:ascii="Times New Roman" w:hAnsi="Times New Roman" w:eastAsia="宋体" w:cs="Times New Roman"/>
                      <w:color w:val="auto"/>
                      <w:spacing w:val="-2"/>
                      <w:kern w:val="0"/>
                      <w:sz w:val="18"/>
                      <w:szCs w:val="18"/>
                      <w:highlight w:val="none"/>
                      <w:lang w:eastAsia="zh-CN"/>
                    </w:rPr>
                    <w:t>项目弃渣场周围应该设置较为完善的挡渣墙、截水沟和排水沟，避免流失造成水质污染和影响水生生物栖息。</w:t>
                  </w:r>
                </w:p>
              </w:tc>
              <w:tc>
                <w:tcPr>
                  <w:tcW w:w="769"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pacing w:val="-2"/>
                      <w:kern w:val="0"/>
                      <w:sz w:val="18"/>
                      <w:szCs w:val="18"/>
                      <w:highlight w:val="none"/>
                      <w:lang w:eastAsia="zh-CN"/>
                    </w:rPr>
                  </w:pPr>
                  <w:r>
                    <w:rPr>
                      <w:rFonts w:ascii="Times New Roman" w:hAnsi="Times New Roman" w:eastAsia="宋体" w:cs="Times New Roman"/>
                      <w:color w:val="auto"/>
                      <w:spacing w:val="-2"/>
                      <w:kern w:val="0"/>
                      <w:sz w:val="18"/>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keepNext w:val="0"/>
                    <w:keepLines w:val="0"/>
                    <w:pageBreakBefore w:val="0"/>
                    <w:numPr>
                      <w:ilvl w:val="0"/>
                      <w:numId w:val="2"/>
                    </w:numPr>
                    <w:kinsoku/>
                    <w:wordWrap/>
                    <w:overflowPunct/>
                    <w:topLinePunct w:val="0"/>
                    <w:autoSpaceDE/>
                    <w:autoSpaceDN/>
                    <w:bidi w:val="0"/>
                    <w:adjustRightInd w:val="0"/>
                    <w:snapToGrid w:val="0"/>
                    <w:spacing w:line="240" w:lineRule="auto"/>
                    <w:ind w:left="454" w:leftChars="0" w:hanging="454" w:firstLineChars="0"/>
                    <w:jc w:val="center"/>
                    <w:textAlignment w:val="baseline"/>
                    <w:rPr>
                      <w:rFonts w:hint="eastAsia" w:ascii="Times New Roman" w:hAnsi="Times New Roman" w:eastAsia="宋体" w:cs="Times New Roman"/>
                      <w:color w:val="auto"/>
                      <w:spacing w:val="-2"/>
                      <w:kern w:val="0"/>
                      <w:sz w:val="18"/>
                      <w:szCs w:val="18"/>
                      <w:highlight w:val="none"/>
                      <w:lang w:eastAsia="zh-CN"/>
                    </w:rPr>
                  </w:pPr>
                </w:p>
              </w:tc>
              <w:tc>
                <w:tcPr>
                  <w:tcW w:w="313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both"/>
                    <w:textAlignment w:val="baseline"/>
                    <w:rPr>
                      <w:rFonts w:hint="eastAsia" w:ascii="Times New Roman" w:hAnsi="Times New Roman" w:eastAsia="宋体" w:cs="Times New Roman"/>
                      <w:color w:val="auto"/>
                      <w:spacing w:val="-2"/>
                      <w:kern w:val="0"/>
                      <w:sz w:val="18"/>
                      <w:szCs w:val="18"/>
                      <w:highlight w:val="none"/>
                    </w:rPr>
                  </w:pPr>
                  <w:r>
                    <w:rPr>
                      <w:rFonts w:hint="eastAsia" w:ascii="Times New Roman" w:hAnsi="Times New Roman" w:eastAsia="宋体" w:cs="Times New Roman"/>
                      <w:color w:val="auto"/>
                      <w:spacing w:val="-2"/>
                      <w:kern w:val="0"/>
                      <w:sz w:val="18"/>
                      <w:szCs w:val="18"/>
                      <w:highlight w:val="none"/>
                    </w:rPr>
                    <w:t>项目移民安置涉及的农业土地开垦、移民安置区建设、企业迁建、专业项目改复建工程等，其建设方式和选址具有环境合理性，对环境造成不利影响的，提出了生态保护、污水处理与垃圾处置等措施。针对城（集）镇迁建及配套的重大环保基础设施建设、重要交通和水利工程改复建、污染型企业迁建等重大移民安置专项工程，依法提出了单独开展环境影响评价要求。</w:t>
                  </w:r>
                </w:p>
              </w:tc>
              <w:tc>
                <w:tcPr>
                  <w:tcW w:w="227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both"/>
                    <w:textAlignment w:val="baseline"/>
                    <w:rPr>
                      <w:rFonts w:hint="eastAsia" w:ascii="Times New Roman" w:hAnsi="Times New Roman" w:eastAsia="宋体" w:cs="Times New Roman"/>
                      <w:color w:val="auto"/>
                      <w:spacing w:val="-2"/>
                      <w:kern w:val="0"/>
                      <w:sz w:val="18"/>
                      <w:szCs w:val="18"/>
                      <w:highlight w:val="none"/>
                      <w:lang w:eastAsia="zh-CN"/>
                    </w:rPr>
                  </w:pPr>
                  <w:r>
                    <w:rPr>
                      <w:rFonts w:hint="eastAsia" w:ascii="Times New Roman" w:hAnsi="Times New Roman" w:eastAsia="宋体" w:cs="Times New Roman"/>
                      <w:color w:val="auto"/>
                      <w:spacing w:val="-2"/>
                      <w:kern w:val="0"/>
                      <w:sz w:val="18"/>
                      <w:szCs w:val="18"/>
                      <w:highlight w:val="none"/>
                      <w:lang w:eastAsia="zh-CN"/>
                    </w:rPr>
                    <w:t>本项目移民安置采取货币补偿安置，无重大环保基础设施建设、重要交通和水利工程改复建、污染型企业迁建等重大移民安置专项工程。</w:t>
                  </w:r>
                </w:p>
              </w:tc>
              <w:tc>
                <w:tcPr>
                  <w:tcW w:w="769"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pacing w:val="-2"/>
                      <w:kern w:val="0"/>
                      <w:sz w:val="18"/>
                      <w:szCs w:val="18"/>
                      <w:highlight w:val="none"/>
                      <w:lang w:eastAsia="zh-CN"/>
                    </w:rPr>
                  </w:pPr>
                  <w:r>
                    <w:rPr>
                      <w:rFonts w:ascii="Times New Roman" w:hAnsi="Times New Roman" w:eastAsia="宋体" w:cs="Times New Roman"/>
                      <w:color w:val="auto"/>
                      <w:spacing w:val="-2"/>
                      <w:kern w:val="0"/>
                      <w:sz w:val="18"/>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keepNext w:val="0"/>
                    <w:keepLines w:val="0"/>
                    <w:pageBreakBefore w:val="0"/>
                    <w:numPr>
                      <w:ilvl w:val="0"/>
                      <w:numId w:val="2"/>
                    </w:numPr>
                    <w:kinsoku/>
                    <w:wordWrap/>
                    <w:overflowPunct/>
                    <w:topLinePunct w:val="0"/>
                    <w:autoSpaceDE/>
                    <w:autoSpaceDN/>
                    <w:bidi w:val="0"/>
                    <w:adjustRightInd w:val="0"/>
                    <w:snapToGrid w:val="0"/>
                    <w:spacing w:line="240" w:lineRule="auto"/>
                    <w:ind w:left="454" w:leftChars="0" w:hanging="454" w:firstLineChars="0"/>
                    <w:jc w:val="center"/>
                    <w:textAlignment w:val="baseline"/>
                    <w:rPr>
                      <w:rFonts w:hint="eastAsia" w:ascii="Times New Roman" w:hAnsi="Times New Roman" w:eastAsia="宋体" w:cs="Times New Roman"/>
                      <w:color w:val="auto"/>
                      <w:spacing w:val="-2"/>
                      <w:kern w:val="0"/>
                      <w:sz w:val="18"/>
                      <w:szCs w:val="18"/>
                      <w:highlight w:val="none"/>
                      <w:lang w:eastAsia="zh-CN"/>
                    </w:rPr>
                  </w:pPr>
                </w:p>
              </w:tc>
              <w:tc>
                <w:tcPr>
                  <w:tcW w:w="313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both"/>
                    <w:textAlignment w:val="baseline"/>
                    <w:rPr>
                      <w:rFonts w:hint="eastAsia" w:ascii="Times New Roman" w:hAnsi="Times New Roman" w:eastAsia="宋体" w:cs="Times New Roman"/>
                      <w:color w:val="auto"/>
                      <w:spacing w:val="-2"/>
                      <w:kern w:val="0"/>
                      <w:sz w:val="18"/>
                      <w:szCs w:val="18"/>
                      <w:highlight w:val="none"/>
                    </w:rPr>
                  </w:pPr>
                  <w:r>
                    <w:rPr>
                      <w:rFonts w:hint="eastAsia" w:ascii="Times New Roman" w:hAnsi="Times New Roman" w:eastAsia="宋体" w:cs="Times New Roman"/>
                      <w:color w:val="auto"/>
                      <w:spacing w:val="-2"/>
                      <w:kern w:val="0"/>
                      <w:sz w:val="18"/>
                      <w:szCs w:val="18"/>
                      <w:highlight w:val="none"/>
                    </w:rPr>
                    <w:t>项目存在水污染、富营养化或外来物种入侵等环境风险的，提出了针对性风险防范措施和环境应急预案编制、与地方人民政府及其相关部门和受影响单位建立应急联动机制的要求。</w:t>
                  </w:r>
                </w:p>
              </w:tc>
              <w:tc>
                <w:tcPr>
                  <w:tcW w:w="227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both"/>
                    <w:textAlignment w:val="baseline"/>
                    <w:rPr>
                      <w:rFonts w:hint="eastAsia" w:ascii="Times New Roman" w:hAnsi="Times New Roman" w:eastAsia="宋体" w:cs="Times New Roman"/>
                      <w:color w:val="auto"/>
                      <w:spacing w:val="-2"/>
                      <w:kern w:val="0"/>
                      <w:sz w:val="18"/>
                      <w:szCs w:val="18"/>
                      <w:highlight w:val="none"/>
                      <w:lang w:eastAsia="zh-CN"/>
                    </w:rPr>
                  </w:pPr>
                  <w:r>
                    <w:rPr>
                      <w:rFonts w:hint="eastAsia" w:ascii="Times New Roman" w:hAnsi="Times New Roman" w:eastAsia="宋体" w:cs="Times New Roman"/>
                      <w:color w:val="auto"/>
                      <w:spacing w:val="-2"/>
                      <w:kern w:val="0"/>
                      <w:sz w:val="18"/>
                      <w:szCs w:val="18"/>
                      <w:highlight w:val="none"/>
                      <w:lang w:eastAsia="zh-CN"/>
                    </w:rPr>
                    <w:t>本评价针对项目成库后的水污染、富营养化提出了防治措施，并要求管理单位制度环境应急预案，定期演练，建立与地方人民政府的联动响应机制。</w:t>
                  </w:r>
                </w:p>
              </w:tc>
              <w:tc>
                <w:tcPr>
                  <w:tcW w:w="769"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pacing w:val="-2"/>
                      <w:kern w:val="0"/>
                      <w:sz w:val="18"/>
                      <w:szCs w:val="18"/>
                      <w:highlight w:val="none"/>
                      <w:lang w:eastAsia="zh-CN"/>
                    </w:rPr>
                  </w:pPr>
                  <w:r>
                    <w:rPr>
                      <w:rFonts w:ascii="Times New Roman" w:hAnsi="Times New Roman" w:eastAsia="宋体" w:cs="Times New Roman"/>
                      <w:color w:val="auto"/>
                      <w:spacing w:val="-2"/>
                      <w:kern w:val="0"/>
                      <w:sz w:val="18"/>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keepNext w:val="0"/>
                    <w:keepLines w:val="0"/>
                    <w:pageBreakBefore w:val="0"/>
                    <w:numPr>
                      <w:ilvl w:val="0"/>
                      <w:numId w:val="2"/>
                    </w:numPr>
                    <w:kinsoku/>
                    <w:wordWrap/>
                    <w:overflowPunct/>
                    <w:topLinePunct w:val="0"/>
                    <w:autoSpaceDE/>
                    <w:autoSpaceDN/>
                    <w:bidi w:val="0"/>
                    <w:adjustRightInd w:val="0"/>
                    <w:snapToGrid w:val="0"/>
                    <w:spacing w:line="240" w:lineRule="auto"/>
                    <w:ind w:left="454" w:leftChars="0" w:hanging="454" w:firstLineChars="0"/>
                    <w:jc w:val="center"/>
                    <w:textAlignment w:val="baseline"/>
                    <w:rPr>
                      <w:rFonts w:hint="eastAsia" w:ascii="Times New Roman" w:hAnsi="Times New Roman" w:eastAsia="宋体" w:cs="Times New Roman"/>
                      <w:color w:val="auto"/>
                      <w:spacing w:val="-2"/>
                      <w:kern w:val="0"/>
                      <w:sz w:val="18"/>
                      <w:szCs w:val="18"/>
                      <w:highlight w:val="none"/>
                      <w:lang w:eastAsia="zh-CN"/>
                    </w:rPr>
                  </w:pPr>
                </w:p>
              </w:tc>
              <w:tc>
                <w:tcPr>
                  <w:tcW w:w="313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both"/>
                    <w:textAlignment w:val="baseline"/>
                    <w:rPr>
                      <w:rFonts w:hint="eastAsia" w:ascii="Times New Roman" w:hAnsi="Times New Roman" w:eastAsia="宋体" w:cs="Times New Roman"/>
                      <w:color w:val="auto"/>
                      <w:spacing w:val="-2"/>
                      <w:kern w:val="0"/>
                      <w:sz w:val="18"/>
                      <w:szCs w:val="18"/>
                      <w:highlight w:val="none"/>
                    </w:rPr>
                  </w:pPr>
                  <w:r>
                    <w:rPr>
                      <w:rFonts w:hint="eastAsia" w:ascii="Times New Roman" w:hAnsi="Times New Roman" w:eastAsia="宋体" w:cs="Times New Roman"/>
                      <w:color w:val="auto"/>
                      <w:spacing w:val="-2"/>
                      <w:kern w:val="0"/>
                      <w:sz w:val="18"/>
                      <w:szCs w:val="18"/>
                      <w:highlight w:val="none"/>
                    </w:rPr>
                    <w:t>改、扩建项目应在全面梳理与项目有关的现有工程环境问题基础上，提出了“以新带老”措施。</w:t>
                  </w:r>
                </w:p>
              </w:tc>
              <w:tc>
                <w:tcPr>
                  <w:tcW w:w="227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both"/>
                    <w:textAlignment w:val="baseline"/>
                    <w:rPr>
                      <w:rFonts w:hint="default" w:ascii="Times New Roman" w:hAnsi="Times New Roman" w:eastAsia="宋体" w:cs="Times New Roman"/>
                      <w:color w:val="auto"/>
                      <w:spacing w:val="-2"/>
                      <w:kern w:val="0"/>
                      <w:sz w:val="18"/>
                      <w:szCs w:val="18"/>
                      <w:highlight w:val="none"/>
                      <w:lang w:val="en-US" w:eastAsia="zh-CN"/>
                    </w:rPr>
                  </w:pPr>
                  <w:r>
                    <w:rPr>
                      <w:rFonts w:hint="eastAsia" w:cs="Times New Roman"/>
                      <w:color w:val="auto"/>
                      <w:spacing w:val="-2"/>
                      <w:kern w:val="0"/>
                      <w:sz w:val="18"/>
                      <w:szCs w:val="18"/>
                      <w:highlight w:val="none"/>
                      <w:lang w:val="en-US" w:eastAsia="zh-CN"/>
                    </w:rPr>
                    <w:t>本项目不属于改扩建项目</w:t>
                  </w:r>
                </w:p>
              </w:tc>
              <w:tc>
                <w:tcPr>
                  <w:tcW w:w="769"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pacing w:val="-2"/>
                      <w:kern w:val="0"/>
                      <w:sz w:val="18"/>
                      <w:szCs w:val="18"/>
                      <w:highlight w:val="none"/>
                      <w:lang w:eastAsia="zh-CN"/>
                    </w:rPr>
                  </w:pPr>
                  <w:r>
                    <w:rPr>
                      <w:rFonts w:ascii="Times New Roman" w:hAnsi="Times New Roman" w:eastAsia="宋体" w:cs="Times New Roman"/>
                      <w:color w:val="auto"/>
                      <w:spacing w:val="-2"/>
                      <w:kern w:val="0"/>
                      <w:sz w:val="18"/>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keepNext w:val="0"/>
                    <w:keepLines w:val="0"/>
                    <w:pageBreakBefore w:val="0"/>
                    <w:numPr>
                      <w:ilvl w:val="0"/>
                      <w:numId w:val="2"/>
                    </w:numPr>
                    <w:kinsoku/>
                    <w:wordWrap/>
                    <w:overflowPunct/>
                    <w:topLinePunct w:val="0"/>
                    <w:autoSpaceDE/>
                    <w:autoSpaceDN/>
                    <w:bidi w:val="0"/>
                    <w:adjustRightInd w:val="0"/>
                    <w:snapToGrid w:val="0"/>
                    <w:spacing w:line="240" w:lineRule="auto"/>
                    <w:ind w:left="454" w:leftChars="0" w:hanging="454" w:firstLineChars="0"/>
                    <w:jc w:val="center"/>
                    <w:textAlignment w:val="baseline"/>
                    <w:rPr>
                      <w:rFonts w:hint="eastAsia" w:ascii="Times New Roman" w:hAnsi="Times New Roman" w:eastAsia="宋体" w:cs="Times New Roman"/>
                      <w:color w:val="auto"/>
                      <w:spacing w:val="-2"/>
                      <w:kern w:val="0"/>
                      <w:sz w:val="18"/>
                      <w:szCs w:val="18"/>
                      <w:highlight w:val="none"/>
                      <w:lang w:eastAsia="zh-CN"/>
                    </w:rPr>
                  </w:pPr>
                </w:p>
              </w:tc>
              <w:tc>
                <w:tcPr>
                  <w:tcW w:w="313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both"/>
                    <w:textAlignment w:val="baseline"/>
                    <w:rPr>
                      <w:rFonts w:hint="eastAsia" w:ascii="Times New Roman" w:hAnsi="Times New Roman" w:eastAsia="宋体" w:cs="Times New Roman"/>
                      <w:color w:val="auto"/>
                      <w:spacing w:val="-2"/>
                      <w:kern w:val="0"/>
                      <w:sz w:val="18"/>
                      <w:szCs w:val="18"/>
                      <w:highlight w:val="none"/>
                    </w:rPr>
                  </w:pPr>
                  <w:r>
                    <w:rPr>
                      <w:rFonts w:hint="eastAsia" w:ascii="Times New Roman" w:hAnsi="Times New Roman" w:eastAsia="宋体" w:cs="Times New Roman"/>
                      <w:color w:val="auto"/>
                      <w:spacing w:val="-2"/>
                      <w:kern w:val="0"/>
                      <w:sz w:val="18"/>
                      <w:szCs w:val="18"/>
                      <w:highlight w:val="none"/>
                    </w:rPr>
                    <w:t>按相关导则及规定要求，制定了水环境、生态、土壤、大气、噪声等环境监测计划，明确了监测网点、因子、频次等有关要求，提出了根据监测评估结果开展环境影响后评价或优化环境保护措施的要求。根据需要和相关规定，提出了环境保护设计、环境监理、开展科学研究等环境管理要求和相关保障措施。</w:t>
                  </w:r>
                </w:p>
              </w:tc>
              <w:tc>
                <w:tcPr>
                  <w:tcW w:w="227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both"/>
                    <w:textAlignment w:val="baseline"/>
                    <w:rPr>
                      <w:rFonts w:hint="eastAsia" w:ascii="Times New Roman" w:hAnsi="Times New Roman" w:eastAsia="宋体" w:cs="Times New Roman"/>
                      <w:color w:val="auto"/>
                      <w:spacing w:val="-2"/>
                      <w:kern w:val="0"/>
                      <w:sz w:val="18"/>
                      <w:szCs w:val="18"/>
                      <w:highlight w:val="none"/>
                      <w:lang w:eastAsia="zh-CN"/>
                    </w:rPr>
                  </w:pPr>
                  <w:r>
                    <w:rPr>
                      <w:rFonts w:hint="eastAsia" w:ascii="Times New Roman" w:hAnsi="Times New Roman" w:eastAsia="宋体" w:cs="Times New Roman"/>
                      <w:color w:val="auto"/>
                      <w:spacing w:val="-2"/>
                      <w:kern w:val="0"/>
                      <w:sz w:val="18"/>
                      <w:szCs w:val="18"/>
                      <w:highlight w:val="none"/>
                      <w:lang w:eastAsia="zh-CN"/>
                    </w:rPr>
                    <w:t>本项目按照导则及规定要求，制定了水环境、生态、土壤、大气、噪声等环境监测计划，明确了监测网点、因子、频次等有关要求，提出了施工期、运营期环境监管要求。</w:t>
                  </w:r>
                </w:p>
              </w:tc>
              <w:tc>
                <w:tcPr>
                  <w:tcW w:w="769"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pacing w:val="-2"/>
                      <w:kern w:val="0"/>
                      <w:sz w:val="18"/>
                      <w:szCs w:val="18"/>
                      <w:highlight w:val="none"/>
                      <w:lang w:eastAsia="zh-CN"/>
                    </w:rPr>
                  </w:pPr>
                  <w:r>
                    <w:rPr>
                      <w:rFonts w:ascii="Times New Roman" w:hAnsi="Times New Roman" w:eastAsia="宋体" w:cs="Times New Roman"/>
                      <w:color w:val="auto"/>
                      <w:spacing w:val="-2"/>
                      <w:kern w:val="0"/>
                      <w:sz w:val="18"/>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3" w:type="dxa"/>
                  <w:noWrap w:val="0"/>
                  <w:vAlign w:val="center"/>
                </w:tcPr>
                <w:p>
                  <w:pPr>
                    <w:keepNext w:val="0"/>
                    <w:keepLines w:val="0"/>
                    <w:pageBreakBefore w:val="0"/>
                    <w:numPr>
                      <w:ilvl w:val="0"/>
                      <w:numId w:val="2"/>
                    </w:numPr>
                    <w:kinsoku/>
                    <w:wordWrap/>
                    <w:overflowPunct/>
                    <w:topLinePunct w:val="0"/>
                    <w:autoSpaceDE/>
                    <w:autoSpaceDN/>
                    <w:bidi w:val="0"/>
                    <w:adjustRightInd w:val="0"/>
                    <w:snapToGrid w:val="0"/>
                    <w:spacing w:line="240" w:lineRule="auto"/>
                    <w:ind w:left="454" w:leftChars="0" w:hanging="454" w:firstLineChars="0"/>
                    <w:jc w:val="center"/>
                    <w:textAlignment w:val="baseline"/>
                    <w:rPr>
                      <w:rFonts w:hint="eastAsia" w:ascii="Times New Roman" w:hAnsi="Times New Roman" w:eastAsia="宋体" w:cs="Times New Roman"/>
                      <w:color w:val="auto"/>
                      <w:spacing w:val="-2"/>
                      <w:kern w:val="0"/>
                      <w:sz w:val="18"/>
                      <w:szCs w:val="18"/>
                      <w:highlight w:val="none"/>
                      <w:lang w:eastAsia="zh-CN"/>
                    </w:rPr>
                  </w:pPr>
                </w:p>
              </w:tc>
              <w:tc>
                <w:tcPr>
                  <w:tcW w:w="3137"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both"/>
                    <w:textAlignment w:val="baseline"/>
                    <w:rPr>
                      <w:rFonts w:hint="eastAsia" w:ascii="Times New Roman" w:hAnsi="Times New Roman" w:eastAsia="宋体" w:cs="Times New Roman"/>
                      <w:color w:val="auto"/>
                      <w:spacing w:val="-2"/>
                      <w:kern w:val="0"/>
                      <w:sz w:val="18"/>
                      <w:szCs w:val="18"/>
                      <w:highlight w:val="none"/>
                    </w:rPr>
                  </w:pPr>
                  <w:r>
                    <w:rPr>
                      <w:rFonts w:hint="eastAsia" w:ascii="Times New Roman" w:hAnsi="Times New Roman" w:eastAsia="宋体" w:cs="Times New Roman"/>
                      <w:color w:val="auto"/>
                      <w:spacing w:val="-2"/>
                      <w:kern w:val="0"/>
                      <w:sz w:val="18"/>
                      <w:szCs w:val="18"/>
                      <w:highlight w:val="none"/>
                    </w:rPr>
                    <w:t>对环境保护措施进行了深入论证，具有明确的责任主体、投资、时间节点和预期效果等，确保科学有效、安全可行、绿色协调。</w:t>
                  </w:r>
                </w:p>
              </w:tc>
              <w:tc>
                <w:tcPr>
                  <w:tcW w:w="227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both"/>
                    <w:textAlignment w:val="baseline"/>
                    <w:rPr>
                      <w:rFonts w:hint="eastAsia" w:ascii="Times New Roman" w:hAnsi="Times New Roman" w:eastAsia="宋体" w:cs="Times New Roman"/>
                      <w:color w:val="auto"/>
                      <w:spacing w:val="-2"/>
                      <w:kern w:val="0"/>
                      <w:sz w:val="18"/>
                      <w:szCs w:val="18"/>
                      <w:highlight w:val="none"/>
                      <w:lang w:eastAsia="zh-CN"/>
                    </w:rPr>
                  </w:pPr>
                  <w:r>
                    <w:rPr>
                      <w:rFonts w:hint="eastAsia" w:ascii="Times New Roman" w:hAnsi="Times New Roman" w:eastAsia="宋体" w:cs="Times New Roman"/>
                      <w:color w:val="auto"/>
                      <w:spacing w:val="-2"/>
                      <w:kern w:val="0"/>
                      <w:sz w:val="18"/>
                      <w:szCs w:val="18"/>
                      <w:highlight w:val="none"/>
                      <w:lang w:eastAsia="zh-CN"/>
                    </w:rPr>
                    <w:t>建设单位正委托我司对“</w:t>
                  </w:r>
                  <w:r>
                    <w:rPr>
                      <w:rFonts w:hint="eastAsia" w:cs="Times New Roman"/>
                      <w:color w:val="auto"/>
                      <w:spacing w:val="-2"/>
                      <w:kern w:val="0"/>
                      <w:sz w:val="18"/>
                      <w:szCs w:val="18"/>
                      <w:highlight w:val="none"/>
                      <w:lang w:val="en-US" w:eastAsia="zh-CN"/>
                    </w:rPr>
                    <w:t>堰沟水库</w:t>
                  </w:r>
                  <w:r>
                    <w:rPr>
                      <w:rFonts w:hint="eastAsia" w:ascii="Times New Roman" w:hAnsi="Times New Roman" w:eastAsia="宋体" w:cs="Times New Roman"/>
                      <w:color w:val="auto"/>
                      <w:spacing w:val="-2"/>
                      <w:kern w:val="0"/>
                      <w:sz w:val="18"/>
                      <w:szCs w:val="18"/>
                      <w:highlight w:val="none"/>
                      <w:lang w:eastAsia="zh-CN"/>
                    </w:rPr>
                    <w:t>工程”进行环境影响评价，对其环境保护措施的有效性进行深入论证。</w:t>
                  </w:r>
                </w:p>
              </w:tc>
              <w:tc>
                <w:tcPr>
                  <w:tcW w:w="769"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pacing w:val="-2"/>
                      <w:kern w:val="0"/>
                      <w:sz w:val="18"/>
                      <w:szCs w:val="18"/>
                      <w:highlight w:val="none"/>
                      <w:lang w:val="en-US" w:eastAsia="zh-CN"/>
                    </w:rPr>
                  </w:pPr>
                  <w:r>
                    <w:rPr>
                      <w:rFonts w:hint="default" w:ascii="Times New Roman" w:hAnsi="Times New Roman" w:eastAsia="宋体" w:cs="Times New Roman"/>
                      <w:color w:val="auto"/>
                      <w:spacing w:val="-2"/>
                      <w:kern w:val="0"/>
                      <w:sz w:val="18"/>
                      <w:szCs w:val="18"/>
                      <w:highlight w:val="none"/>
                      <w:lang w:val="en-US"/>
                    </w:rPr>
                    <w:t>符合</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b/>
                <w:color w:val="auto"/>
                <w:sz w:val="24"/>
                <w:highlight w:val="none"/>
                <w:lang w:val="en-US" w:eastAsia="zh-CN"/>
              </w:rPr>
            </w:pPr>
            <w:r>
              <w:rPr>
                <w:rFonts w:hint="eastAsia" w:ascii="Times New Roman" w:hAnsi="Times New Roman" w:eastAsia="宋体" w:cs="宋体"/>
                <w:color w:val="auto"/>
                <w:kern w:val="0"/>
                <w:sz w:val="21"/>
                <w:szCs w:val="21"/>
                <w:highlight w:val="none"/>
                <w:lang w:val="en-US" w:eastAsia="zh-CN"/>
              </w:rPr>
              <w:t>由上表可知，本项目符合《水利建设项目（引调水工程）环境影响评价文件审批原则》（试行）的规定。</w:t>
            </w:r>
          </w:p>
          <w:p>
            <w:pPr>
              <w:pStyle w:val="19"/>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0" w:firstLineChars="0"/>
              <w:textAlignment w:val="auto"/>
              <w:rPr>
                <w:rFonts w:hint="default"/>
                <w:b/>
                <w:bCs/>
                <w:color w:val="auto"/>
                <w:sz w:val="21"/>
                <w:szCs w:val="21"/>
                <w:highlight w:val="none"/>
                <w:lang w:val="en-US" w:eastAsia="zh-CN"/>
              </w:rPr>
            </w:pPr>
            <w:r>
              <w:rPr>
                <w:rFonts w:hint="eastAsia"/>
                <w:b/>
                <w:bCs/>
                <w:color w:val="auto"/>
                <w:sz w:val="21"/>
                <w:szCs w:val="21"/>
                <w:highlight w:val="none"/>
                <w:lang w:val="en-US" w:eastAsia="zh-CN"/>
              </w:rPr>
              <w:t>1.2.9与《宣汉县国民经济和社会发展第十四个五年规划和二〇三五年远景目标纲要》的符合性分析</w:t>
            </w:r>
          </w:p>
          <w:p>
            <w:pPr>
              <w:pStyle w:val="19"/>
              <w:keepNext w:val="0"/>
              <w:keepLines w:val="0"/>
              <w:pageBreakBefore w:val="0"/>
              <w:widowControl/>
              <w:kinsoku/>
              <w:wordWrap/>
              <w:overflowPunct/>
              <w:topLinePunct w:val="0"/>
              <w:autoSpaceDE/>
              <w:autoSpaceDN/>
              <w:bidi w:val="0"/>
              <w:adjustRightInd/>
              <w:snapToGrid w:val="0"/>
              <w:spacing w:before="0" w:after="0" w:line="360" w:lineRule="auto"/>
              <w:ind w:right="0" w:firstLine="420" w:firstLineChars="200"/>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宣汉县国民经济和社会发展第十四个五年规划和二〇三五年远景目标纲要》指出“加强中小河流综合治理，提高防洪排涝保障能力。加快实施县城和南坝、普光、土黄、厂溪等重点场镇堤防工程，实施山洪沟和水土流失综合治理，提高临河场镇防洪标准。完善城市防洪排涝设施，基本消除内涝问题。加强水利信息基础设施建设，建立山洪灾害监测预警系统和群策群防体系、应急救援救助体系。”、“持续推进高标准农田建设，夯实粮食生产基础。实施骨干水利工程建设，加快土溪口大型水库及配套渠系建设，新建长滩河、肖家沟等大中型水库，新建或改扩建</w:t>
            </w:r>
            <w:r>
              <w:rPr>
                <w:rFonts w:hint="eastAsia"/>
                <w:b/>
                <w:bCs/>
                <w:color w:val="auto"/>
                <w:sz w:val="21"/>
                <w:szCs w:val="21"/>
                <w:highlight w:val="none"/>
                <w:lang w:val="en-US" w:eastAsia="zh-CN"/>
              </w:rPr>
              <w:t>堰沟</w:t>
            </w:r>
            <w:r>
              <w:rPr>
                <w:rFonts w:hint="eastAsia"/>
                <w:b w:val="0"/>
                <w:bCs w:val="0"/>
                <w:color w:val="auto"/>
                <w:sz w:val="21"/>
                <w:szCs w:val="21"/>
                <w:highlight w:val="none"/>
                <w:lang w:val="en-US" w:eastAsia="zh-CN"/>
              </w:rPr>
              <w:t>、柳池坪等一批小型水库，加快病险水库除险加固，改造提升提灌站。持续推进山坪塘、渠系维修整治工程，实施江河湖库水系连通工程和蓄水池、水窖建设等应急抗旱设施建设，提升水资源配置能力。配套建设灌区渠系与节水系统，增强抗旱减灾能力。完善排涝基础设施建设，进一步加强农田排涝功能。”</w:t>
            </w:r>
          </w:p>
          <w:p>
            <w:pPr>
              <w:pStyle w:val="19"/>
              <w:keepNext w:val="0"/>
              <w:keepLines w:val="0"/>
              <w:pageBreakBefore w:val="0"/>
              <w:widowControl/>
              <w:kinsoku/>
              <w:wordWrap/>
              <w:overflowPunct/>
              <w:topLinePunct w:val="0"/>
              <w:autoSpaceDE/>
              <w:autoSpaceDN/>
              <w:bidi w:val="0"/>
              <w:adjustRightInd/>
              <w:snapToGrid w:val="0"/>
              <w:spacing w:before="0" w:after="0" w:line="360" w:lineRule="auto"/>
              <w:ind w:right="0" w:firstLine="420" w:firstLineChars="200"/>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其中包含新建堰沟水库工程。因此，本项目符合《宣汉县国民经济和社会发展第十四个五年规划和二〇三五年远景目标纲要》的要求</w:t>
            </w:r>
          </w:p>
          <w:p>
            <w:pPr>
              <w:pStyle w:val="19"/>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0" w:firstLineChars="0"/>
              <w:textAlignment w:val="auto"/>
              <w:rPr>
                <w:rFonts w:hint="default"/>
                <w:b/>
                <w:bCs/>
                <w:color w:val="auto"/>
                <w:sz w:val="21"/>
                <w:szCs w:val="21"/>
                <w:highlight w:val="none"/>
                <w:lang w:val="en-US" w:eastAsia="zh-CN"/>
              </w:rPr>
            </w:pPr>
            <w:r>
              <w:rPr>
                <w:rFonts w:hint="eastAsia"/>
                <w:b/>
                <w:bCs/>
                <w:color w:val="auto"/>
                <w:sz w:val="21"/>
                <w:szCs w:val="21"/>
                <w:highlight w:val="none"/>
                <w:lang w:val="en-US" w:eastAsia="zh-CN"/>
              </w:rPr>
              <w:t>1.2.10</w:t>
            </w:r>
            <w:r>
              <w:rPr>
                <w:rFonts w:hint="default"/>
                <w:b/>
                <w:bCs/>
                <w:color w:val="auto"/>
                <w:sz w:val="21"/>
                <w:szCs w:val="21"/>
                <w:highlight w:val="none"/>
                <w:lang w:val="en-US" w:eastAsia="zh-CN"/>
              </w:rPr>
              <w:t>与“三先三后”符合性分析</w:t>
            </w:r>
          </w:p>
          <w:p>
            <w:pPr>
              <w:pStyle w:val="2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国家要求引调水工程遵守“先节水后调水，先治污后通水，先环保后用水”的“三先三后”原则，在引水之前，首先应做好工程区的节水、治污和环保规划。“三先三后”原则将节约用水放到第一位，强调大力推行各种节水措施，发展节水型农业、工业和服务业，建立节水型社会。调水区水源水质和输水线路区污染情况，关系到受水区水质是否满足供水、灌溉等功能，关系到引调水工程能否发挥效益、实现既定目标，因此要求事先做好水源地和输水线路区的水环境保护措施。调水后将增加受水区污水量和污染物排放总量，因此需要事先做好受水区的农田灌溉回归水和生活污水退水处理措施，解决因退水增加可能导致的水质污染，再输水至用户。“三先三后”是实现水资源可持续利用的根本保障。</w:t>
            </w:r>
          </w:p>
          <w:p>
            <w:pPr>
              <w:pStyle w:val="2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1、先节水后调水</w:t>
            </w:r>
          </w:p>
          <w:p>
            <w:pPr>
              <w:pStyle w:val="2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eastAsia="宋体" w:cs="Times New Roman"/>
                <w:color w:val="auto"/>
                <w:kern w:val="0"/>
                <w:sz w:val="21"/>
                <w:szCs w:val="21"/>
                <w:highlight w:val="none"/>
              </w:rPr>
            </w:pPr>
            <w:r>
              <w:rPr>
                <w:rFonts w:hint="eastAsia" w:ascii="Times New Roman" w:hAnsi="Times New Roman"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1）生活节水</w:t>
            </w:r>
          </w:p>
          <w:p>
            <w:pPr>
              <w:pStyle w:val="2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目前区域工业生活用水量均较小，但由于供水管网的跑、冒、滴、漏现象，工业生产工艺和技术相对落后，生活用水节水器具、设施少，导致用水效率较低，有节水潜力。</w:t>
            </w:r>
          </w:p>
          <w:p>
            <w:pPr>
              <w:pStyle w:val="2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区域生活用水定额偏低，但供、用环节存在跑、冒、滴、漏现象。应制定和推行节水型用水器具的强制性标准，鼓励、推行和普及用水单位和居民家庭使用节水型器具，强制淘汰不符合节水标准的用水器具；加强公共建筑和住宅节水设施建设，扩大再生水利用；建设节水型社会，加快供水管网设施改造，减少跑冒滴漏损失。</w:t>
            </w:r>
          </w:p>
          <w:p>
            <w:pPr>
              <w:pStyle w:val="2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eastAsia="宋体" w:cs="Times New Roman"/>
                <w:color w:val="auto"/>
                <w:kern w:val="0"/>
                <w:sz w:val="21"/>
                <w:szCs w:val="21"/>
                <w:highlight w:val="none"/>
              </w:rPr>
            </w:pPr>
            <w:r>
              <w:rPr>
                <w:rFonts w:hint="eastAsia" w:ascii="Times New Roman" w:hAnsi="Times New Roman"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2）农业灌溉节水</w:t>
            </w:r>
          </w:p>
          <w:p>
            <w:pPr>
              <w:pStyle w:val="2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rPr>
              <w:t>①</w:t>
            </w:r>
            <w:r>
              <w:rPr>
                <w:rFonts w:hint="default" w:ascii="Times New Roman" w:hAnsi="Times New Roman" w:eastAsia="宋体" w:cs="Times New Roman"/>
                <w:color w:val="auto"/>
                <w:kern w:val="0"/>
                <w:sz w:val="21"/>
                <w:szCs w:val="21"/>
                <w:highlight w:val="none"/>
              </w:rPr>
              <w:t>管道防渗</w:t>
            </w:r>
          </w:p>
          <w:p>
            <w:pPr>
              <w:pStyle w:val="2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就灌区而言，灌区的水量损失主要是管道渗漏造成的。规划在灌区工程建设中，采用管道输水，并采用适当的防渗措施，最大程度减少输水过程中的水量损失，提高渠系水利用系数；同时做好田间道路的建设，促进灌区新农村建设。</w:t>
            </w:r>
          </w:p>
          <w:p>
            <w:pPr>
              <w:pStyle w:val="2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rPr>
              <w:t>②</w:t>
            </w:r>
            <w:r>
              <w:rPr>
                <w:rFonts w:hint="default" w:ascii="Times New Roman" w:hAnsi="Times New Roman" w:eastAsia="宋体" w:cs="Times New Roman"/>
                <w:color w:val="auto"/>
                <w:kern w:val="0"/>
                <w:sz w:val="21"/>
                <w:szCs w:val="21"/>
                <w:highlight w:val="none"/>
              </w:rPr>
              <w:t>田间节水灌溉</w:t>
            </w:r>
          </w:p>
          <w:p>
            <w:pPr>
              <w:pStyle w:val="2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田间节水灌溉是解决农作物缺水的重要措施，节水灌溉不仅节水、节能、节地，而且能够增产增收。田间节水灌溉应从两个方面入手：一为优化耕作制度、调整种植结构，采取间种、套种、立体种植等农耕农艺措施；一为推广先进的灌水技术，参照先进的节水灌溉经验，水稻前期采取旱育秧、免耕、免泡田，灌溉期采用“薄、浅、湿、晒”的浅水勤灌的灌溉模式，旱作物广泛推广小畦灌、长畦分段灌、隔沟灌、膜上灌等行之有效易于推广的灌溉技术，经济价值较高的作物（如蔬菜、经果）采用喷灌和软管浇灌等节水灌溉方式。</w:t>
            </w:r>
          </w:p>
          <w:p>
            <w:pPr>
              <w:pStyle w:val="2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rPr>
              <w:t>③</w:t>
            </w:r>
            <w:r>
              <w:rPr>
                <w:rFonts w:hint="default" w:ascii="Times New Roman" w:hAnsi="Times New Roman" w:eastAsia="宋体" w:cs="Times New Roman"/>
                <w:color w:val="auto"/>
                <w:kern w:val="0"/>
                <w:sz w:val="21"/>
                <w:szCs w:val="21"/>
                <w:highlight w:val="none"/>
              </w:rPr>
              <w:t>农耕农艺节水措施</w:t>
            </w:r>
          </w:p>
          <w:p>
            <w:pPr>
              <w:pStyle w:val="2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采用合理的农业技术，先进的引种、</w:t>
            </w:r>
            <w:r>
              <w:rPr>
                <w:rFonts w:hint="eastAsia" w:ascii="Times New Roman" w:hAnsi="Times New Roman" w:cs="Times New Roman"/>
                <w:color w:val="auto"/>
                <w:kern w:val="0"/>
                <w:sz w:val="21"/>
                <w:szCs w:val="21"/>
                <w:highlight w:val="none"/>
                <w:lang w:eastAsia="zh-CN"/>
              </w:rPr>
              <w:t>改种</w:t>
            </w:r>
            <w:r>
              <w:rPr>
                <w:rFonts w:hint="default" w:ascii="Times New Roman" w:hAnsi="Times New Roman" w:eastAsia="宋体" w:cs="Times New Roman"/>
                <w:color w:val="auto"/>
                <w:kern w:val="0"/>
                <w:sz w:val="21"/>
                <w:szCs w:val="21"/>
                <w:highlight w:val="none"/>
              </w:rPr>
              <w:t>等种植方法，减少水分蒸发，增加土壤水分贮存，也可有效地控制灌区农业用水总量。如合理轮作、套作；合理密植、深耕；引进优良耐旱品种；合理使用保水剂、复合包衣剂；采用</w:t>
            </w:r>
            <w:r>
              <w:rPr>
                <w:rFonts w:hint="eastAsia" w:ascii="Times New Roman" w:hAnsi="Times New Roman" w:cs="Times New Roman"/>
                <w:color w:val="auto"/>
                <w:kern w:val="0"/>
                <w:sz w:val="21"/>
                <w:szCs w:val="21"/>
                <w:highlight w:val="none"/>
                <w:lang w:eastAsia="zh-CN"/>
              </w:rPr>
              <w:t>秸秆还田</w:t>
            </w:r>
            <w:r>
              <w:rPr>
                <w:rFonts w:hint="default" w:ascii="Times New Roman" w:hAnsi="Times New Roman" w:eastAsia="宋体" w:cs="Times New Roman"/>
                <w:color w:val="auto"/>
                <w:kern w:val="0"/>
                <w:sz w:val="21"/>
                <w:szCs w:val="21"/>
                <w:highlight w:val="none"/>
              </w:rPr>
              <w:t>、地膜栽培等均可增加地表覆盖，起到蓄水保墒的作用，从而提高水的利用效率。</w:t>
            </w:r>
          </w:p>
          <w:p>
            <w:pPr>
              <w:pStyle w:val="2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rPr>
              <w:t>④</w:t>
            </w:r>
            <w:r>
              <w:rPr>
                <w:rFonts w:hint="default" w:ascii="Times New Roman" w:hAnsi="Times New Roman" w:eastAsia="宋体" w:cs="Times New Roman"/>
                <w:color w:val="auto"/>
                <w:kern w:val="0"/>
                <w:sz w:val="21"/>
                <w:szCs w:val="21"/>
                <w:highlight w:val="none"/>
              </w:rPr>
              <w:t>用水管理</w:t>
            </w:r>
          </w:p>
          <w:p>
            <w:pPr>
              <w:pStyle w:val="2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20" w:firstLineChars="200"/>
              <w:textAlignment w:val="auto"/>
              <w:rPr>
                <w:rFonts w:hint="eastAsia" w:ascii="Times New Roman" w:hAnsi="Times New Roman"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科学管理是控制灌区农业用水的根本措施，加强工程管理，减少渠、闸漏水；加强田间管理，杜绝串灌、串排，减少灌水过程中的水量损失；推行计划用水、科学用水、计量用水、按表收费、超额加价等措施强化节水</w:t>
            </w:r>
            <w:r>
              <w:rPr>
                <w:rFonts w:hint="eastAsia" w:ascii="Times New Roman" w:hAnsi="Times New Roman" w:cs="Times New Roman"/>
                <w:color w:val="auto"/>
                <w:kern w:val="0"/>
                <w:sz w:val="21"/>
                <w:szCs w:val="21"/>
                <w:highlight w:val="none"/>
                <w:lang w:eastAsia="zh-CN"/>
              </w:rPr>
              <w:t>。</w:t>
            </w:r>
          </w:p>
          <w:p>
            <w:pPr>
              <w:pStyle w:val="2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2、先治污后通水</w:t>
            </w:r>
          </w:p>
          <w:p>
            <w:pPr>
              <w:pStyle w:val="2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水库库区采取严格的库底清理措施、划分饮用水水源保护区，并采取相关保护措施、富营养化防治措施、增设污水处理</w:t>
            </w:r>
            <w:r>
              <w:rPr>
                <w:rFonts w:hint="eastAsia" w:ascii="Times New Roman" w:hAnsi="Times New Roman" w:cs="Times New Roman"/>
                <w:color w:val="auto"/>
                <w:kern w:val="0"/>
                <w:sz w:val="21"/>
                <w:szCs w:val="21"/>
                <w:highlight w:val="none"/>
                <w:lang w:val="en-US" w:eastAsia="zh-CN"/>
              </w:rPr>
              <w:t>设施</w:t>
            </w:r>
            <w:r>
              <w:rPr>
                <w:rFonts w:hint="default" w:ascii="Times New Roman" w:hAnsi="Times New Roman" w:eastAsia="宋体" w:cs="Times New Roman"/>
                <w:color w:val="auto"/>
                <w:kern w:val="0"/>
                <w:sz w:val="21"/>
                <w:szCs w:val="21"/>
                <w:highlight w:val="none"/>
              </w:rPr>
              <w:t>等措施对库区水质进行治理及保护。</w:t>
            </w:r>
          </w:p>
          <w:p>
            <w:pPr>
              <w:pStyle w:val="2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城区供水完善配套污水收集处理及回用管道建设，将县城生产生活废污水全部纳入污水处理厂，集中处理后达标排放；集镇及农村生活退水，结合当地农民居民点均修建有旱厕或化粪池收集日常生活污水和人畜粪便，并用作农家肥，进入当地土壤系统，为间歇式就地分散排放，进入灌区水系；灌溉退水以回归水形式补给当地地水或直接进入当地地表水体。</w:t>
            </w:r>
          </w:p>
          <w:p>
            <w:pPr>
              <w:pStyle w:val="2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采取上述措施</w:t>
            </w:r>
            <w:r>
              <w:rPr>
                <w:rFonts w:hint="eastAsia" w:ascii="Times New Roman" w:hAnsi="Times New Roman" w:cs="Times New Roman"/>
                <w:color w:val="auto"/>
                <w:kern w:val="0"/>
                <w:sz w:val="21"/>
                <w:szCs w:val="21"/>
                <w:highlight w:val="none"/>
                <w:lang w:val="en-US" w:eastAsia="zh-CN"/>
              </w:rPr>
              <w:t>后</w:t>
            </w:r>
            <w:r>
              <w:rPr>
                <w:rFonts w:hint="default" w:ascii="Times New Roman" w:hAnsi="Times New Roman" w:eastAsia="宋体" w:cs="Times New Roman"/>
                <w:color w:val="auto"/>
                <w:kern w:val="0"/>
                <w:sz w:val="21"/>
                <w:szCs w:val="21"/>
                <w:highlight w:val="none"/>
              </w:rPr>
              <w:t>，保证水源水质及退水水质达标排放，符合先治污后通水的原则。</w:t>
            </w:r>
          </w:p>
          <w:p>
            <w:pPr>
              <w:pStyle w:val="2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3、先环保后用水</w:t>
            </w:r>
          </w:p>
          <w:p>
            <w:pPr>
              <w:pStyle w:val="2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本工程调水后，下游水资源量减水，形成减水河段，对下游生态产生一定影响。为保证下游生态环境用水，水库坝址自放空管出口设置生态流量岔管（DN100mm钢管、中心高程588.00m），采用偏心半球阀控制下泄0.004m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/s生态流量，补水坝址在取水闸出口进水池设生态放水钢管（DN100mm、中心高程625.00m），下泄0.016m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/s的生态流量，末端设偏心半球阀控制。体现了先环保后用水的原则。</w:t>
            </w:r>
          </w:p>
          <w:p>
            <w:pPr>
              <w:pStyle w:val="2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eastAsia="宋体"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综上，水库工程符合调水“三先三后”原则</w:t>
            </w:r>
            <w:r>
              <w:rPr>
                <w:rFonts w:hint="default" w:ascii="Times New Roman" w:hAnsi="Times New Roman" w:eastAsia="宋体" w:cs="Times New Roman"/>
                <w:color w:val="auto"/>
                <w:kern w:val="0"/>
                <w:sz w:val="21"/>
                <w:szCs w:val="21"/>
                <w:highlight w:val="none"/>
              </w:rPr>
              <w:t>。</w:t>
            </w:r>
          </w:p>
        </w:tc>
      </w:tr>
    </w:tbl>
    <w:p>
      <w:pPr>
        <w:spacing w:line="360" w:lineRule="auto"/>
        <w:outlineLvl w:val="0"/>
        <w:rPr>
          <w:rFonts w:hint="default" w:ascii="Times New Roman" w:hAnsi="Times New Roman" w:eastAsia="黑体" w:cs="Times New Roman"/>
          <w:color w:val="auto"/>
          <w:sz w:val="30"/>
          <w:highlight w:val="none"/>
        </w:rPr>
        <w:sectPr>
          <w:pgSz w:w="11906" w:h="16838"/>
          <w:pgMar w:top="1701" w:right="1531" w:bottom="1701" w:left="1531" w:header="851" w:footer="1077" w:gutter="0"/>
          <w:pgNumType w:fmt="numberInDash" w:start="1"/>
          <w:cols w:space="720" w:num="1"/>
          <w:docGrid w:linePitch="312" w:charSpace="0"/>
        </w:sectPr>
      </w:pPr>
    </w:p>
    <w:p>
      <w:pPr>
        <w:pStyle w:val="26"/>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二、建设内容</w:t>
      </w:r>
    </w:p>
    <w:tbl>
      <w:tblPr>
        <w:tblStyle w:val="29"/>
        <w:tblW w:w="96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85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1102" w:type="dxa"/>
            <w:vAlign w:val="center"/>
          </w:tcPr>
          <w:p>
            <w:pPr>
              <w:adjustRightInd w:val="0"/>
              <w:snapToGrid w:val="0"/>
              <w:spacing w:line="36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地理</w:t>
            </w:r>
          </w:p>
          <w:p>
            <w:pPr>
              <w:adjustRightInd w:val="0"/>
              <w:snapToGrid w:val="0"/>
              <w:spacing w:line="36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位置</w:t>
            </w:r>
          </w:p>
        </w:tc>
        <w:tc>
          <w:tcPr>
            <w:tcW w:w="8555" w:type="dxa"/>
            <w:vAlign w:val="center"/>
          </w:tcPr>
          <w:p>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lang w:eastAsia="zh-CN"/>
              </w:rPr>
            </w:pPr>
            <w:r>
              <w:rPr>
                <w:color w:val="auto"/>
                <w:highlight w:val="none"/>
              </w:rPr>
              <w:t>宣汉县隶属于</w:t>
            </w:r>
            <w:r>
              <w:rPr>
                <w:color w:val="auto"/>
                <w:highlight w:val="none"/>
              </w:rPr>
              <w:fldChar w:fldCharType="begin"/>
            </w:r>
            <w:r>
              <w:rPr>
                <w:color w:val="auto"/>
                <w:highlight w:val="none"/>
              </w:rPr>
              <w:instrText xml:space="preserve">HYPERLINK "https://baike.baidu.com/item/%E8%BE%BE%E5%B7%9E/880505"</w:instrText>
            </w:r>
            <w:r>
              <w:rPr>
                <w:color w:val="auto"/>
                <w:highlight w:val="none"/>
              </w:rPr>
              <w:fldChar w:fldCharType="separate"/>
            </w:r>
            <w:r>
              <w:rPr>
                <w:color w:val="auto"/>
                <w:highlight w:val="none"/>
              </w:rPr>
              <w:t>达州</w:t>
            </w:r>
            <w:r>
              <w:rPr>
                <w:color w:val="auto"/>
                <w:highlight w:val="none"/>
              </w:rPr>
              <w:fldChar w:fldCharType="end"/>
            </w:r>
            <w:r>
              <w:rPr>
                <w:color w:val="auto"/>
                <w:highlight w:val="none"/>
              </w:rPr>
              <w:t>市，位于</w:t>
            </w:r>
            <w:r>
              <w:rPr>
                <w:color w:val="auto"/>
                <w:highlight w:val="none"/>
              </w:rPr>
              <w:fldChar w:fldCharType="begin"/>
            </w:r>
            <w:r>
              <w:rPr>
                <w:color w:val="auto"/>
                <w:highlight w:val="none"/>
              </w:rPr>
              <w:instrText xml:space="preserve">HYPERLINK "https://baike.baidu.com/item/%E5%9B%9B%E5%B7%9D%E7%9B%86%E5%9C%B0/404637"</w:instrText>
            </w:r>
            <w:r>
              <w:rPr>
                <w:color w:val="auto"/>
                <w:highlight w:val="none"/>
              </w:rPr>
              <w:fldChar w:fldCharType="separate"/>
            </w:r>
            <w:r>
              <w:rPr>
                <w:color w:val="auto"/>
                <w:highlight w:val="none"/>
              </w:rPr>
              <w:t>四川盆地</w:t>
            </w:r>
            <w:r>
              <w:rPr>
                <w:color w:val="auto"/>
                <w:highlight w:val="none"/>
              </w:rPr>
              <w:fldChar w:fldCharType="end"/>
            </w:r>
            <w:r>
              <w:rPr>
                <w:color w:val="auto"/>
                <w:highlight w:val="none"/>
              </w:rPr>
              <w:t>东北大巴山南麓，介于东经107°22′~108°32′，北纬31°06′~31°49′之间，东北与重庆市</w:t>
            </w:r>
            <w:r>
              <w:rPr>
                <w:color w:val="auto"/>
                <w:highlight w:val="none"/>
              </w:rPr>
              <w:fldChar w:fldCharType="begin"/>
            </w:r>
            <w:r>
              <w:rPr>
                <w:color w:val="auto"/>
                <w:highlight w:val="none"/>
              </w:rPr>
              <w:instrText xml:space="preserve">HYPERLINK "https://baike.baidu.com/item/%E5%9F%8E%E5%8F%A3%E5%8E%BF/10976245"</w:instrText>
            </w:r>
            <w:r>
              <w:rPr>
                <w:color w:val="auto"/>
                <w:highlight w:val="none"/>
              </w:rPr>
              <w:fldChar w:fldCharType="separate"/>
            </w:r>
            <w:r>
              <w:rPr>
                <w:color w:val="auto"/>
                <w:highlight w:val="none"/>
              </w:rPr>
              <w:t>城口县</w:t>
            </w:r>
            <w:r>
              <w:rPr>
                <w:color w:val="auto"/>
                <w:highlight w:val="none"/>
              </w:rPr>
              <w:fldChar w:fldCharType="end"/>
            </w:r>
            <w:r>
              <w:rPr>
                <w:color w:val="auto"/>
                <w:highlight w:val="none"/>
              </w:rPr>
              <w:t>接壤，东与重庆市</w:t>
            </w:r>
            <w:r>
              <w:rPr>
                <w:color w:val="auto"/>
                <w:highlight w:val="none"/>
              </w:rPr>
              <w:fldChar w:fldCharType="begin"/>
            </w:r>
            <w:r>
              <w:rPr>
                <w:color w:val="auto"/>
                <w:highlight w:val="none"/>
              </w:rPr>
              <w:instrText xml:space="preserve">HYPERLINK "https://baike.baidu.com/item/%E5%BC%80%E5%B7%9E%E5%8C%BA/1463471"</w:instrText>
            </w:r>
            <w:r>
              <w:rPr>
                <w:color w:val="auto"/>
                <w:highlight w:val="none"/>
              </w:rPr>
              <w:fldChar w:fldCharType="separate"/>
            </w:r>
            <w:r>
              <w:rPr>
                <w:color w:val="auto"/>
                <w:highlight w:val="none"/>
              </w:rPr>
              <w:t>开州区</w:t>
            </w:r>
            <w:r>
              <w:rPr>
                <w:color w:val="auto"/>
                <w:highlight w:val="none"/>
              </w:rPr>
              <w:fldChar w:fldCharType="end"/>
            </w:r>
            <w:r>
              <w:rPr>
                <w:color w:val="auto"/>
                <w:highlight w:val="none"/>
              </w:rPr>
              <w:t>相邻，南连开江县，西接</w:t>
            </w:r>
            <w:r>
              <w:rPr>
                <w:color w:val="auto"/>
                <w:highlight w:val="none"/>
              </w:rPr>
              <w:fldChar w:fldCharType="begin"/>
            </w:r>
            <w:r>
              <w:rPr>
                <w:color w:val="auto"/>
                <w:highlight w:val="none"/>
              </w:rPr>
              <w:instrText xml:space="preserve">HYPERLINK "https://baike.baidu.com/item/%E8%BE%BE%E5%B7%9D%E5%8C%BA/8175012"</w:instrText>
            </w:r>
            <w:r>
              <w:rPr>
                <w:color w:val="auto"/>
                <w:highlight w:val="none"/>
              </w:rPr>
              <w:fldChar w:fldCharType="separate"/>
            </w:r>
            <w:r>
              <w:rPr>
                <w:color w:val="auto"/>
                <w:highlight w:val="none"/>
              </w:rPr>
              <w:t>达川区</w:t>
            </w:r>
            <w:r>
              <w:rPr>
                <w:color w:val="auto"/>
                <w:highlight w:val="none"/>
              </w:rPr>
              <w:fldChar w:fldCharType="end"/>
            </w:r>
            <w:r>
              <w:rPr>
                <w:color w:val="auto"/>
                <w:highlight w:val="none"/>
              </w:rPr>
              <w:t>、通川区和</w:t>
            </w:r>
            <w:r>
              <w:rPr>
                <w:color w:val="auto"/>
                <w:highlight w:val="none"/>
              </w:rPr>
              <w:fldChar w:fldCharType="begin"/>
            </w:r>
            <w:r>
              <w:rPr>
                <w:color w:val="auto"/>
                <w:highlight w:val="none"/>
              </w:rPr>
              <w:instrText xml:space="preserve">HYPERLINK "https://baike.baidu.com/item/%E5%B9%B3%E6%98%8C%E5%8E%BF/54193"</w:instrText>
            </w:r>
            <w:r>
              <w:rPr>
                <w:color w:val="auto"/>
                <w:highlight w:val="none"/>
              </w:rPr>
              <w:fldChar w:fldCharType="separate"/>
            </w:r>
            <w:r>
              <w:rPr>
                <w:color w:val="auto"/>
                <w:highlight w:val="none"/>
              </w:rPr>
              <w:t>平昌县</w:t>
            </w:r>
            <w:r>
              <w:rPr>
                <w:color w:val="auto"/>
                <w:highlight w:val="none"/>
              </w:rPr>
              <w:fldChar w:fldCharType="end"/>
            </w:r>
            <w:r>
              <w:rPr>
                <w:color w:val="auto"/>
                <w:highlight w:val="none"/>
              </w:rPr>
              <w:t>，北与万源交界</w:t>
            </w:r>
            <w:r>
              <w:rPr>
                <w:rFonts w:hint="default" w:ascii="Times New Roman" w:hAnsi="Times New Roman" w:eastAsia="宋体" w:cs="Times New Roman"/>
                <w:color w:val="auto"/>
                <w:sz w:val="21"/>
                <w:szCs w:val="21"/>
                <w:highlight w:val="none"/>
                <w:lang w:eastAsia="zh-CN"/>
              </w:rPr>
              <w:t>。</w:t>
            </w:r>
            <w:r>
              <w:rPr>
                <w:color w:val="auto"/>
                <w:highlight w:val="none"/>
              </w:rPr>
              <w:t>胡家镇位于</w:t>
            </w:r>
            <w:r>
              <w:rPr>
                <w:color w:val="auto"/>
                <w:highlight w:val="none"/>
              </w:rPr>
              <w:fldChar w:fldCharType="begin"/>
            </w:r>
            <w:r>
              <w:rPr>
                <w:color w:val="auto"/>
                <w:highlight w:val="none"/>
              </w:rPr>
              <w:instrText xml:space="preserve">HYPERLINK "https://baike.baidu.com/item/%E5%AE%A3%E6%B1%89/951023"</w:instrText>
            </w:r>
            <w:r>
              <w:rPr>
                <w:color w:val="auto"/>
                <w:highlight w:val="none"/>
              </w:rPr>
              <w:fldChar w:fldCharType="separate"/>
            </w:r>
            <w:r>
              <w:rPr>
                <w:color w:val="auto"/>
                <w:highlight w:val="none"/>
              </w:rPr>
              <w:t>宣汉</w:t>
            </w:r>
            <w:r>
              <w:rPr>
                <w:color w:val="auto"/>
                <w:highlight w:val="none"/>
              </w:rPr>
              <w:fldChar w:fldCharType="end"/>
            </w:r>
            <w:r>
              <w:rPr>
                <w:color w:val="auto"/>
                <w:highlight w:val="none"/>
              </w:rPr>
              <w:t>县西北部，距宣汉县城</w:t>
            </w:r>
            <w:r>
              <w:rPr>
                <w:rFonts w:hint="eastAsia"/>
                <w:color w:val="auto"/>
                <w:highlight w:val="none"/>
              </w:rPr>
              <w:t>24</w:t>
            </w:r>
            <w:r>
              <w:rPr>
                <w:color w:val="auto"/>
                <w:highlight w:val="none"/>
              </w:rPr>
              <w:t>km，地处川陕结合部，是连接宣汉、万源、达州城区的物资集散地。</w:t>
            </w:r>
          </w:p>
          <w:p>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lang w:eastAsia="zh-CN"/>
              </w:rPr>
            </w:pPr>
            <w:r>
              <w:rPr>
                <w:rFonts w:hint="eastAsia"/>
                <w:color w:val="auto"/>
                <w:highlight w:val="none"/>
              </w:rPr>
              <w:t>堰沟</w:t>
            </w:r>
            <w:r>
              <w:rPr>
                <w:color w:val="auto"/>
                <w:highlight w:val="none"/>
              </w:rPr>
              <w:t>水库位于</w:t>
            </w:r>
            <w:r>
              <w:rPr>
                <w:rFonts w:hint="eastAsia"/>
                <w:color w:val="auto"/>
                <w:szCs w:val="21"/>
                <w:highlight w:val="none"/>
              </w:rPr>
              <w:t>巴河左岸二级支流</w:t>
            </w:r>
            <w:r>
              <w:rPr>
                <w:rFonts w:hint="eastAsia"/>
                <w:color w:val="auto"/>
                <w:highlight w:val="none"/>
              </w:rPr>
              <w:t>堰沟上</w:t>
            </w:r>
            <w:r>
              <w:rPr>
                <w:color w:val="auto"/>
                <w:highlight w:val="none"/>
              </w:rPr>
              <w:t>，坝址位于</w:t>
            </w:r>
            <w:r>
              <w:rPr>
                <w:rFonts w:hint="eastAsia"/>
                <w:color w:val="auto"/>
                <w:highlight w:val="none"/>
              </w:rPr>
              <w:t>宣汉县</w:t>
            </w:r>
            <w:r>
              <w:rPr>
                <w:rFonts w:hint="eastAsia"/>
                <w:color w:val="auto"/>
                <w:highlight w:val="none"/>
                <w:lang w:eastAsia="zh-CN"/>
              </w:rPr>
              <w:t>胡家镇花池社区</w:t>
            </w:r>
            <w:r>
              <w:rPr>
                <w:color w:val="auto"/>
                <w:highlight w:val="none"/>
              </w:rPr>
              <w:t>，地理坐标东经10</w:t>
            </w:r>
            <w:r>
              <w:rPr>
                <w:rFonts w:hint="eastAsia"/>
                <w:color w:val="auto"/>
                <w:highlight w:val="none"/>
              </w:rPr>
              <w:t>7</w:t>
            </w:r>
            <w:r>
              <w:rPr>
                <w:color w:val="auto"/>
                <w:highlight w:val="none"/>
              </w:rPr>
              <w:t>°</w:t>
            </w:r>
            <w:r>
              <w:rPr>
                <w:rFonts w:hint="eastAsia"/>
                <w:color w:val="auto"/>
                <w:highlight w:val="none"/>
              </w:rPr>
              <w:t>36</w:t>
            </w:r>
            <w:r>
              <w:rPr>
                <w:color w:val="auto"/>
                <w:highlight w:val="none"/>
              </w:rPr>
              <w:t>′</w:t>
            </w:r>
            <w:r>
              <w:rPr>
                <w:rFonts w:hint="eastAsia"/>
                <w:color w:val="auto"/>
                <w:highlight w:val="none"/>
              </w:rPr>
              <w:t>16</w:t>
            </w:r>
            <w:r>
              <w:rPr>
                <w:color w:val="auto"/>
                <w:highlight w:val="none"/>
              </w:rPr>
              <w:t>″，北纬</w:t>
            </w:r>
            <w:r>
              <w:rPr>
                <w:rFonts w:hint="eastAsia"/>
                <w:color w:val="auto"/>
                <w:highlight w:val="none"/>
              </w:rPr>
              <w:t>31</w:t>
            </w:r>
            <w:r>
              <w:rPr>
                <w:color w:val="auto"/>
                <w:highlight w:val="none"/>
              </w:rPr>
              <w:t>°</w:t>
            </w:r>
            <w:r>
              <w:rPr>
                <w:rFonts w:hint="eastAsia"/>
                <w:color w:val="auto"/>
                <w:highlight w:val="none"/>
              </w:rPr>
              <w:t>35</w:t>
            </w:r>
            <w:r>
              <w:rPr>
                <w:color w:val="auto"/>
                <w:highlight w:val="none"/>
              </w:rPr>
              <w:t>′</w:t>
            </w:r>
            <w:r>
              <w:rPr>
                <w:rFonts w:hint="eastAsia"/>
                <w:color w:val="auto"/>
                <w:highlight w:val="none"/>
              </w:rPr>
              <w:t>28</w:t>
            </w:r>
            <w:r>
              <w:rPr>
                <w:color w:val="auto"/>
                <w:highlight w:val="none"/>
              </w:rPr>
              <w:t>″</w:t>
            </w:r>
            <w:r>
              <w:rPr>
                <w:rFonts w:hint="eastAsia"/>
                <w:color w:val="auto"/>
                <w:highlight w:val="none"/>
              </w:rPr>
              <w:t>。</w:t>
            </w:r>
          </w:p>
          <w:p>
            <w:pPr>
              <w:adjustRightInd w:val="0"/>
              <w:snapToGrid w:val="0"/>
              <w:spacing w:line="360" w:lineRule="auto"/>
              <w:ind w:firstLine="420" w:firstLineChars="20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地理位置图见附图</w:t>
            </w:r>
            <w:r>
              <w:rPr>
                <w:rFonts w:hint="default" w:ascii="Times New Roman" w:hAnsi="Times New Roman" w:eastAsia="宋体" w:cs="Times New Roman"/>
                <w:color w:val="auto"/>
                <w:sz w:val="21"/>
                <w:szCs w:val="21"/>
                <w:highlight w:val="none"/>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36" w:hRule="atLeast"/>
          <w:jc w:val="center"/>
        </w:trPr>
        <w:tc>
          <w:tcPr>
            <w:tcW w:w="1102" w:type="dxa"/>
            <w:vAlign w:val="center"/>
          </w:tcPr>
          <w:p>
            <w:pPr>
              <w:adjustRightInd w:val="0"/>
              <w:snapToGrid w:val="0"/>
              <w:spacing w:line="36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项目组成及规模</w:t>
            </w:r>
          </w:p>
        </w:tc>
        <w:tc>
          <w:tcPr>
            <w:tcW w:w="8555" w:type="dxa"/>
            <w:vAlign w:val="center"/>
          </w:tcPr>
          <w:p>
            <w:pPr>
              <w:pStyle w:val="11"/>
              <w:adjustRightInd w:val="0"/>
              <w:snapToGrid w:val="0"/>
              <w:spacing w:after="0" w:line="360" w:lineRule="auto"/>
              <w:ind w:left="0" w:leftChars="0"/>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2.1项目由来</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胡家镇是宣汉县四大工业集中发展区、省级乡镇企业示范园区、四川省首批小城镇建设试点镇、四川省首批百强试点镇，素有“川东重镇、巴山明珠”的美誉。随着胡家镇经济社会的发展，胡家镇人口越来越多，工农业越来越发达，对水资源的需求量越来越大，胡家镇水资源供需矛盾日益突出，严重制约了胡家镇社会经济的发展。</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目前，胡家场镇靠胡家水厂、王书均水厂、胡家供水站供水，水源为黑滩石河堰及林口岩、李寺沟、河塘水库，合计年供水量为124.8万m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，在枯水期已存在水源不足的问题，胡家场镇经常出现供水不足现象。根据《胡家镇规划》预测，到2030年，胡家镇场镇人口将达到4.9万人，需水量将增至232.4万m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现有供水工程显然不能满足胡家场镇用水需求，急需增加水源。花池社区现有水源为堰沟上的石河堰，供水保证率较低，每年9月至次年3月水源枯萎，经常出现缺水、断水、无法保障居民正常用水。由此可见，另辟水源、增强供水能力，解决胡家场镇、花池社区的缺水问题是当今和今后一段时间内十分迫切而必要的一项工作。</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宣汉县是全国粮食生产先进县，还是全省奶牛、生猪、速丰林、木本药材商品生产基地，全省优质油菜第一大县。加强农业基础设施建设，保障农业生产稳定非常重要。但由于工程措施不力和水资源时空分布不均，水土资源组合不平衡等客观因素造成了季节性、区域性的干旱缺水，致使农业灌溉用水严重不足。针对区域旱情，要确保区域粮食安全、供水安全，唯有大兴水利，改变水资源时空不均匀分布的问题，保障水源供给，提高抗旱能力，才能彻底解决区域缺水问题。堰沟水库的建设可以有效的缓解当地的干旱灾害，是解决灌区干旱和农业生产需水的迫切需要。</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综上所述，堰沟水库作为水源调节工程，利用堰沟丰水期多余水量，通过蓄丰补枯，对水资源进行合理配置，解决胡家场镇及花池社区的用水缺口，并且保障灌区灌溉用水，水库兴建是十分必要且迫切的。</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202</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年</w:t>
            </w:r>
            <w:r>
              <w:rPr>
                <w:rFonts w:hint="eastAsia" w:ascii="Times New Roman" w:hAnsi="Times New Roman"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月</w:t>
            </w:r>
            <w:r>
              <w:rPr>
                <w:rFonts w:hint="eastAsia" w:ascii="Times New Roman" w:hAnsi="Times New Roman"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日，宣汉县发展和改革局</w:t>
            </w:r>
            <w:r>
              <w:rPr>
                <w:rFonts w:hint="eastAsia" w:ascii="Times New Roman" w:hAnsi="Times New Roman" w:cs="Times New Roman"/>
                <w:color w:val="auto"/>
                <w:sz w:val="21"/>
                <w:szCs w:val="21"/>
                <w:highlight w:val="none"/>
                <w:lang w:val="en-US" w:eastAsia="zh-CN"/>
              </w:rPr>
              <w:t>以宣发改审〔2022〕239号文对</w:t>
            </w:r>
            <w:r>
              <w:rPr>
                <w:rFonts w:hint="eastAsia" w:cs="Times New Roman"/>
                <w:color w:val="auto"/>
                <w:sz w:val="21"/>
                <w:szCs w:val="21"/>
                <w:highlight w:val="none"/>
                <w:lang w:eastAsia="zh-CN"/>
              </w:rPr>
              <w:t>达州市宣汉县堰沟水库工程</w:t>
            </w:r>
            <w:r>
              <w:rPr>
                <w:rFonts w:hint="default" w:ascii="Times New Roman" w:hAnsi="Times New Roman" w:eastAsia="宋体" w:cs="Times New Roman"/>
                <w:color w:val="auto"/>
                <w:sz w:val="21"/>
                <w:szCs w:val="21"/>
                <w:highlight w:val="none"/>
              </w:rPr>
              <w:t>（以下简称“拟建项目”）进行了批复，同意拟建项目开展前期工作</w:t>
            </w:r>
            <w:r>
              <w:rPr>
                <w:rFonts w:hint="default" w:ascii="Times New Roman" w:hAnsi="Times New Roman" w:eastAsia="宋体" w:cs="Times New Roman"/>
                <w:color w:val="auto"/>
                <w:sz w:val="21"/>
                <w:szCs w:val="21"/>
                <w:highlight w:val="none"/>
                <w:lang w:eastAsia="zh-CN"/>
              </w:rPr>
              <w:t>。</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根据《建设项目环境影响评价分类管理名录》（2021年版），本项目属于“五十一、水利 12</w:t>
            </w:r>
            <w:r>
              <w:rPr>
                <w:rFonts w:hint="default" w:ascii="Times New Roman" w:hAnsi="Times New Roman" w:cs="Times New Roman"/>
                <w:b w:val="0"/>
                <w:bCs/>
                <w:color w:val="auto"/>
                <w:sz w:val="21"/>
                <w:szCs w:val="21"/>
                <w:highlight w:val="none"/>
                <w:lang w:val="en-US" w:eastAsia="zh-CN"/>
              </w:rPr>
              <w:t>4水库</w:t>
            </w:r>
            <w:r>
              <w:rPr>
                <w:rFonts w:hint="default" w:ascii="Times New Roman" w:hAnsi="Times New Roman" w:eastAsia="宋体"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中其他</w:t>
            </w:r>
            <w:r>
              <w:rPr>
                <w:rFonts w:hint="default" w:ascii="Times New Roman" w:hAnsi="Times New Roman" w:eastAsia="宋体" w:cs="Times New Roman"/>
                <w:b w:val="0"/>
                <w:bCs/>
                <w:color w:val="auto"/>
                <w:sz w:val="21"/>
                <w:szCs w:val="21"/>
                <w:highlight w:val="none"/>
                <w:lang w:val="en-US" w:eastAsia="zh-CN"/>
              </w:rPr>
              <w:t>，应编制环境影响评价报告表。</w:t>
            </w:r>
          </w:p>
          <w:p>
            <w:pPr>
              <w:pStyle w:val="11"/>
              <w:adjustRightInd w:val="0"/>
              <w:snapToGrid w:val="0"/>
              <w:spacing w:after="0" w:line="360" w:lineRule="auto"/>
              <w:ind w:left="0" w:leftChars="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en-US" w:eastAsia="zh-CN"/>
              </w:rPr>
              <w:t>2.2</w:t>
            </w:r>
            <w:r>
              <w:rPr>
                <w:rFonts w:hint="default" w:ascii="Times New Roman" w:hAnsi="Times New Roman" w:eastAsia="宋体" w:cs="Times New Roman"/>
                <w:b/>
                <w:color w:val="auto"/>
                <w:sz w:val="21"/>
                <w:szCs w:val="21"/>
                <w:highlight w:val="none"/>
              </w:rPr>
              <w:t>项目基本概况</w:t>
            </w:r>
          </w:p>
          <w:p>
            <w:pPr>
              <w:adjustRightInd w:val="0"/>
              <w:snapToGrid w:val="0"/>
              <w:spacing w:line="360" w:lineRule="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en-US" w:eastAsia="zh-CN"/>
              </w:rPr>
              <w:t>2.</w:t>
            </w:r>
            <w:r>
              <w:rPr>
                <w:rFonts w:hint="default" w:ascii="Times New Roman" w:hAnsi="Times New Roman" w:cs="Times New Roman"/>
                <w:b/>
                <w:color w:val="auto"/>
                <w:sz w:val="21"/>
                <w:szCs w:val="21"/>
                <w:highlight w:val="none"/>
                <w:lang w:val="en-US" w:eastAsia="zh-CN"/>
              </w:rPr>
              <w:t>2.</w:t>
            </w:r>
            <w:r>
              <w:rPr>
                <w:rFonts w:hint="eastAsia" w:cs="Times New Roman"/>
                <w:b/>
                <w:color w:val="auto"/>
                <w:sz w:val="21"/>
                <w:szCs w:val="21"/>
                <w:highlight w:val="none"/>
                <w:lang w:val="en-US" w:eastAsia="zh-CN"/>
              </w:rPr>
              <w:t>1</w:t>
            </w:r>
            <w:r>
              <w:rPr>
                <w:rFonts w:hint="default" w:ascii="Times New Roman" w:hAnsi="Times New Roman" w:eastAsia="宋体" w:cs="Times New Roman"/>
                <w:b/>
                <w:color w:val="auto"/>
                <w:sz w:val="21"/>
                <w:szCs w:val="21"/>
                <w:highlight w:val="none"/>
                <w:lang w:val="en-US" w:eastAsia="zh-CN"/>
              </w:rPr>
              <w:t>工程任务与规模</w:t>
            </w:r>
          </w:p>
          <w:p>
            <w:pPr>
              <w:adjustRightInd w:val="0"/>
              <w:snapToGrid w:val="0"/>
              <w:spacing w:line="360" w:lineRule="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2.</w:t>
            </w:r>
            <w:r>
              <w:rPr>
                <w:rFonts w:hint="default" w:ascii="Times New Roman" w:hAnsi="Times New Roman" w:cs="Times New Roman"/>
                <w:b/>
                <w:color w:val="auto"/>
                <w:sz w:val="21"/>
                <w:szCs w:val="21"/>
                <w:highlight w:val="none"/>
                <w:lang w:val="en-US" w:eastAsia="zh-CN"/>
              </w:rPr>
              <w:t>2.</w:t>
            </w:r>
            <w:r>
              <w:rPr>
                <w:rFonts w:hint="eastAsia" w:cs="Times New Roman"/>
                <w:b/>
                <w:color w:val="auto"/>
                <w:sz w:val="21"/>
                <w:szCs w:val="21"/>
                <w:highlight w:val="none"/>
                <w:lang w:val="en-US" w:eastAsia="zh-CN"/>
              </w:rPr>
              <w:t>1</w:t>
            </w:r>
            <w:r>
              <w:rPr>
                <w:rFonts w:hint="default" w:ascii="Times New Roman" w:hAnsi="Times New Roman" w:eastAsia="宋体" w:cs="Times New Roman"/>
                <w:b/>
                <w:color w:val="auto"/>
                <w:sz w:val="21"/>
                <w:szCs w:val="21"/>
                <w:highlight w:val="none"/>
                <w:lang w:val="en-US" w:eastAsia="zh-CN"/>
              </w:rPr>
              <w:t>.1开发任务</w:t>
            </w:r>
          </w:p>
          <w:p>
            <w:pPr>
              <w:adjustRightInd w:val="0"/>
              <w:snapToGrid w:val="0"/>
              <w:spacing w:line="360" w:lineRule="auto"/>
              <w:ind w:firstLine="420" w:firstLineChars="20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堰沟水库是一座乡村供水、农业灌溉等综合利用的小（1）型水利工程。水库为胡家场镇、花池社区及沿线村组共5.2万人口供水，并灌溉胡家镇5600亩耕园地。</w:t>
            </w:r>
          </w:p>
          <w:p>
            <w:pPr>
              <w:adjustRightInd w:val="0"/>
              <w:snapToGrid w:val="0"/>
              <w:spacing w:line="360" w:lineRule="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2.</w:t>
            </w:r>
            <w:r>
              <w:rPr>
                <w:rFonts w:hint="default" w:ascii="Times New Roman" w:hAnsi="Times New Roman" w:cs="Times New Roman"/>
                <w:b/>
                <w:color w:val="auto"/>
                <w:sz w:val="21"/>
                <w:szCs w:val="21"/>
                <w:highlight w:val="none"/>
                <w:lang w:val="en-US" w:eastAsia="zh-CN"/>
              </w:rPr>
              <w:t>2.</w:t>
            </w:r>
            <w:r>
              <w:rPr>
                <w:rFonts w:hint="eastAsia" w:cs="Times New Roman"/>
                <w:b/>
                <w:color w:val="auto"/>
                <w:sz w:val="21"/>
                <w:szCs w:val="21"/>
                <w:highlight w:val="none"/>
                <w:lang w:val="en-US" w:eastAsia="zh-CN"/>
              </w:rPr>
              <w:t>1</w:t>
            </w:r>
            <w:r>
              <w:rPr>
                <w:rFonts w:hint="default" w:ascii="Times New Roman" w:hAnsi="Times New Roman" w:eastAsia="宋体" w:cs="Times New Roman"/>
                <w:b/>
                <w:color w:val="auto"/>
                <w:sz w:val="21"/>
                <w:szCs w:val="21"/>
                <w:highlight w:val="none"/>
                <w:lang w:val="en-US" w:eastAsia="zh-CN"/>
              </w:rPr>
              <w:t>.2设计水平年及设计保证率</w:t>
            </w:r>
          </w:p>
          <w:p>
            <w:pPr>
              <w:adjustRightInd w:val="0"/>
              <w:snapToGrid w:val="0"/>
              <w:spacing w:line="360" w:lineRule="auto"/>
              <w:ind w:firstLine="420" w:firstLineChars="20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r>
              <w:rPr>
                <w:rFonts w:hint="eastAsia" w:cs="Times New Roman"/>
                <w:b w:val="0"/>
                <w:bCs/>
                <w:color w:val="auto"/>
                <w:sz w:val="21"/>
                <w:szCs w:val="21"/>
                <w:highlight w:val="none"/>
                <w:lang w:val="en-US" w:eastAsia="zh-CN"/>
              </w:rPr>
              <w:t>1</w:t>
            </w:r>
            <w:r>
              <w:rPr>
                <w:rFonts w:hint="default" w:ascii="Times New Roman" w:hAnsi="Times New Roman" w:eastAsia="宋体" w:cs="Times New Roman"/>
                <w:b w:val="0"/>
                <w:bCs/>
                <w:color w:val="auto"/>
                <w:sz w:val="21"/>
                <w:szCs w:val="21"/>
                <w:highlight w:val="none"/>
                <w:lang w:val="en-US" w:eastAsia="zh-CN"/>
              </w:rPr>
              <w:t>）设计水平年</w:t>
            </w:r>
          </w:p>
          <w:p>
            <w:pPr>
              <w:adjustRightInd w:val="0"/>
              <w:snapToGrid w:val="0"/>
              <w:spacing w:line="360" w:lineRule="auto"/>
              <w:ind w:firstLine="420" w:firstLineChars="20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本工程设计现状水平年为2021年，规划水平年为2030年。</w:t>
            </w:r>
          </w:p>
          <w:p>
            <w:pPr>
              <w:adjustRightInd w:val="0"/>
              <w:snapToGrid w:val="0"/>
              <w:spacing w:line="360" w:lineRule="auto"/>
              <w:ind w:firstLine="420" w:firstLineChars="20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r>
              <w:rPr>
                <w:rFonts w:hint="eastAsia" w:cs="Times New Roman"/>
                <w:b w:val="0"/>
                <w:bCs/>
                <w:color w:val="auto"/>
                <w:sz w:val="21"/>
                <w:szCs w:val="21"/>
                <w:highlight w:val="none"/>
                <w:lang w:val="en-US" w:eastAsia="zh-CN"/>
              </w:rPr>
              <w:t>2</w:t>
            </w:r>
            <w:r>
              <w:rPr>
                <w:rFonts w:hint="default" w:ascii="Times New Roman" w:hAnsi="Times New Roman" w:eastAsia="宋体" w:cs="Times New Roman"/>
                <w:b w:val="0"/>
                <w:bCs/>
                <w:color w:val="auto"/>
                <w:sz w:val="21"/>
                <w:szCs w:val="21"/>
                <w:highlight w:val="none"/>
                <w:lang w:val="en-US" w:eastAsia="zh-CN"/>
              </w:rPr>
              <w:t>）设计保证率</w:t>
            </w:r>
          </w:p>
          <w:p>
            <w:pPr>
              <w:adjustRightInd w:val="0"/>
              <w:snapToGrid w:val="0"/>
              <w:spacing w:line="360" w:lineRule="auto"/>
              <w:ind w:firstLine="420" w:firstLineChars="20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灌溉设计保证率</w:t>
            </w:r>
            <w:r>
              <w:rPr>
                <w:rFonts w:hint="eastAsia"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lang w:val="en-US" w:eastAsia="zh-CN"/>
              </w:rPr>
              <w:t>依据区域水文气象、水土资源、种植业发展及灌溉方法等实际情况，按照《灌溉与排水工程设计标准》（GB50288-2018）规定，灌溉设计保证率为75%。</w:t>
            </w:r>
          </w:p>
          <w:p>
            <w:pPr>
              <w:adjustRightInd w:val="0"/>
              <w:snapToGrid w:val="0"/>
              <w:spacing w:line="360" w:lineRule="auto"/>
              <w:ind w:firstLine="420" w:firstLineChars="20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场镇供水保证率</w:t>
            </w:r>
            <w:r>
              <w:rPr>
                <w:rFonts w:hint="eastAsia"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lang w:val="en-US" w:eastAsia="zh-CN"/>
              </w:rPr>
              <w:t>根据</w:t>
            </w:r>
            <w:r>
              <w:rPr>
                <w:rFonts w:hint="eastAsia" w:cs="Times New Roman"/>
                <w:b w:val="0"/>
                <w:bCs/>
                <w:color w:val="auto"/>
                <w:sz w:val="21"/>
                <w:szCs w:val="21"/>
                <w:highlight w:val="none"/>
                <w:lang w:val="en-US" w:eastAsia="zh-CN"/>
              </w:rPr>
              <w:t>《村</w:t>
            </w:r>
            <w:r>
              <w:rPr>
                <w:rFonts w:hint="default" w:ascii="Times New Roman" w:hAnsi="Times New Roman" w:eastAsia="宋体" w:cs="Times New Roman"/>
                <w:b w:val="0"/>
                <w:bCs/>
                <w:color w:val="auto"/>
                <w:sz w:val="21"/>
                <w:szCs w:val="21"/>
                <w:highlight w:val="none"/>
                <w:lang w:val="en-US" w:eastAsia="zh-CN"/>
              </w:rPr>
              <w:t>镇规划标准》（GB50188-2007）10.2.5条集镇地表水源供水枯水期供水保证率不低于90%，以及根据《村镇供水工程技术规范》（SL310-2017）3.3.1第2条“干旱年枯水期设计取水量的保证率，严重缺水地区不低于90%，其他地区不低于95%”，确定场镇供水保证率采用95%。</w:t>
            </w:r>
          </w:p>
          <w:p>
            <w:pPr>
              <w:adjustRightInd w:val="0"/>
              <w:snapToGrid w:val="0"/>
              <w:spacing w:line="360" w:lineRule="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2.</w:t>
            </w:r>
            <w:r>
              <w:rPr>
                <w:rFonts w:hint="default" w:ascii="Times New Roman" w:hAnsi="Times New Roman" w:cs="Times New Roman"/>
                <w:b/>
                <w:color w:val="auto"/>
                <w:sz w:val="21"/>
                <w:szCs w:val="21"/>
                <w:highlight w:val="none"/>
                <w:lang w:val="en-US" w:eastAsia="zh-CN"/>
              </w:rPr>
              <w:t>2.</w:t>
            </w:r>
            <w:r>
              <w:rPr>
                <w:rFonts w:hint="eastAsia" w:cs="Times New Roman"/>
                <w:b/>
                <w:color w:val="auto"/>
                <w:sz w:val="21"/>
                <w:szCs w:val="21"/>
                <w:highlight w:val="none"/>
                <w:lang w:val="en-US" w:eastAsia="zh-CN"/>
              </w:rPr>
              <w:t>1</w:t>
            </w:r>
            <w:r>
              <w:rPr>
                <w:rFonts w:hint="default" w:ascii="Times New Roman" w:hAnsi="Times New Roman" w:eastAsia="宋体" w:cs="Times New Roman"/>
                <w:b/>
                <w:color w:val="auto"/>
                <w:sz w:val="21"/>
                <w:szCs w:val="21"/>
                <w:highlight w:val="none"/>
                <w:lang w:val="en-US" w:eastAsia="zh-CN"/>
              </w:rPr>
              <w:t>.3工程规模</w:t>
            </w:r>
          </w:p>
          <w:p>
            <w:pPr>
              <w:adjustRightInd w:val="0"/>
              <w:snapToGrid w:val="0"/>
              <w:spacing w:line="360" w:lineRule="auto"/>
              <w:ind w:firstLine="420" w:firstLineChars="200"/>
              <w:rPr>
                <w:rFonts w:hint="default" w:ascii="Times New Roman" w:hAnsi="Times New Roman" w:eastAsia="宋体" w:cs="Times New Roman"/>
                <w:b w:val="0"/>
                <w:bCs/>
                <w:color w:val="auto"/>
                <w:sz w:val="21"/>
                <w:szCs w:val="21"/>
                <w:highlight w:val="none"/>
                <w:lang w:val="en-US" w:eastAsia="zh-CN"/>
              </w:rPr>
            </w:pPr>
            <w:r>
              <w:rPr>
                <w:rFonts w:hint="eastAsia"/>
                <w:color w:val="auto"/>
                <w:highlight w:val="none"/>
              </w:rPr>
              <w:t>水库正常蓄水位609.00m，</w:t>
            </w:r>
            <w:r>
              <w:rPr>
                <w:color w:val="auto"/>
                <w:highlight w:val="none"/>
              </w:rPr>
              <w:t>对应库容</w:t>
            </w:r>
            <w:r>
              <w:rPr>
                <w:rFonts w:hint="eastAsia"/>
                <w:color w:val="auto"/>
                <w:highlight w:val="none"/>
              </w:rPr>
              <w:t>193.74</w:t>
            </w:r>
            <w:r>
              <w:rPr>
                <w:color w:val="auto"/>
                <w:highlight w:val="none"/>
              </w:rPr>
              <w:t>万m</w:t>
            </w:r>
            <w:r>
              <w:rPr>
                <w:rFonts w:hint="eastAsia"/>
                <w:color w:val="auto"/>
                <w:highlight w:val="none"/>
                <w:vertAlign w:val="superscript"/>
              </w:rPr>
              <w:t>3</w:t>
            </w:r>
            <w:r>
              <w:rPr>
                <w:rFonts w:hint="eastAsia"/>
                <w:color w:val="auto"/>
                <w:highlight w:val="none"/>
              </w:rPr>
              <w:t>；校核洪水位610.</w:t>
            </w:r>
            <w:r>
              <w:rPr>
                <w:color w:val="auto"/>
                <w:highlight w:val="none"/>
              </w:rPr>
              <w:t>09</w:t>
            </w:r>
            <w:r>
              <w:rPr>
                <w:rFonts w:hint="eastAsia"/>
                <w:color w:val="auto"/>
                <w:highlight w:val="none"/>
              </w:rPr>
              <w:t>m，</w:t>
            </w:r>
            <w:r>
              <w:rPr>
                <w:color w:val="auto"/>
                <w:highlight w:val="none"/>
              </w:rPr>
              <w:t>总库容</w:t>
            </w:r>
            <w:r>
              <w:rPr>
                <w:rFonts w:hint="eastAsia"/>
                <w:color w:val="auto"/>
                <w:highlight w:val="none"/>
              </w:rPr>
              <w:t>21</w:t>
            </w:r>
            <w:r>
              <w:rPr>
                <w:color w:val="auto"/>
                <w:highlight w:val="none"/>
              </w:rPr>
              <w:t>6.82m</w:t>
            </w:r>
            <w:r>
              <w:rPr>
                <w:rFonts w:hint="eastAsia"/>
                <w:color w:val="auto"/>
                <w:highlight w:val="none"/>
                <w:vertAlign w:val="superscript"/>
              </w:rPr>
              <w:t>3</w:t>
            </w:r>
            <w:r>
              <w:rPr>
                <w:rFonts w:hint="eastAsia"/>
                <w:color w:val="auto"/>
                <w:highlight w:val="none"/>
              </w:rPr>
              <w:t>；死水位591.00m，</w:t>
            </w:r>
            <w:r>
              <w:rPr>
                <w:color w:val="auto"/>
                <w:highlight w:val="none"/>
              </w:rPr>
              <w:t>死库容</w:t>
            </w:r>
            <w:r>
              <w:rPr>
                <w:rFonts w:hint="eastAsia"/>
                <w:color w:val="auto"/>
                <w:highlight w:val="none"/>
              </w:rPr>
              <w:t>5.44</w:t>
            </w:r>
            <w:r>
              <w:rPr>
                <w:color w:val="auto"/>
                <w:highlight w:val="none"/>
              </w:rPr>
              <w:t>万m</w:t>
            </w:r>
            <w:r>
              <w:rPr>
                <w:rFonts w:hint="eastAsia"/>
                <w:color w:val="auto"/>
                <w:highlight w:val="none"/>
                <w:vertAlign w:val="superscript"/>
              </w:rPr>
              <w:t>3</w:t>
            </w:r>
            <w:r>
              <w:rPr>
                <w:rFonts w:hint="eastAsia"/>
                <w:color w:val="auto"/>
                <w:highlight w:val="none"/>
              </w:rPr>
              <w:t>；兴利库容188.30</w:t>
            </w:r>
            <w:r>
              <w:rPr>
                <w:color w:val="auto"/>
                <w:highlight w:val="none"/>
              </w:rPr>
              <w:t>万m</w:t>
            </w:r>
            <w:r>
              <w:rPr>
                <w:rFonts w:hint="eastAsia"/>
                <w:color w:val="auto"/>
                <w:highlight w:val="none"/>
                <w:vertAlign w:val="superscript"/>
              </w:rPr>
              <w:t>3</w:t>
            </w:r>
            <w:r>
              <w:rPr>
                <w:color w:val="auto"/>
                <w:highlight w:val="none"/>
              </w:rPr>
              <w:t>。</w:t>
            </w:r>
          </w:p>
          <w:p>
            <w:pPr>
              <w:adjustRightInd w:val="0"/>
              <w:snapToGrid w:val="0"/>
              <w:spacing w:line="360" w:lineRule="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2.</w:t>
            </w:r>
            <w:r>
              <w:rPr>
                <w:rFonts w:hint="default" w:ascii="Times New Roman" w:hAnsi="Times New Roman" w:cs="Times New Roman"/>
                <w:b/>
                <w:color w:val="auto"/>
                <w:sz w:val="21"/>
                <w:szCs w:val="21"/>
                <w:highlight w:val="none"/>
                <w:lang w:val="en-US" w:eastAsia="zh-CN"/>
              </w:rPr>
              <w:t>2.</w:t>
            </w:r>
            <w:r>
              <w:rPr>
                <w:rFonts w:hint="eastAsia" w:cs="Times New Roman"/>
                <w:b/>
                <w:color w:val="auto"/>
                <w:sz w:val="21"/>
                <w:szCs w:val="21"/>
                <w:highlight w:val="none"/>
                <w:lang w:val="en-US" w:eastAsia="zh-CN"/>
              </w:rPr>
              <w:t>2供水规划</w:t>
            </w:r>
          </w:p>
          <w:p>
            <w:pPr>
              <w:adjustRightInd w:val="0"/>
              <w:snapToGrid w:val="0"/>
              <w:spacing w:line="360" w:lineRule="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2.</w:t>
            </w:r>
            <w:r>
              <w:rPr>
                <w:rFonts w:hint="default" w:ascii="Times New Roman" w:hAnsi="Times New Roman" w:cs="Times New Roman"/>
                <w:b/>
                <w:color w:val="auto"/>
                <w:sz w:val="21"/>
                <w:szCs w:val="21"/>
                <w:highlight w:val="none"/>
                <w:lang w:val="en-US" w:eastAsia="zh-CN"/>
              </w:rPr>
              <w:t>2.2</w:t>
            </w:r>
            <w:r>
              <w:rPr>
                <w:rFonts w:hint="default" w:ascii="Times New Roman" w:hAnsi="Times New Roman" w:eastAsia="宋体" w:cs="Times New Roman"/>
                <w:b/>
                <w:color w:val="auto"/>
                <w:sz w:val="21"/>
                <w:szCs w:val="21"/>
                <w:highlight w:val="none"/>
                <w:lang w:val="en-US" w:eastAsia="zh-CN"/>
              </w:rPr>
              <w:t>.1供区需水量</w:t>
            </w:r>
          </w:p>
          <w:p>
            <w:pPr>
              <w:adjustRightInd w:val="0"/>
              <w:snapToGrid w:val="0"/>
              <w:spacing w:line="360" w:lineRule="auto"/>
              <w:ind w:firstLine="420" w:firstLineChars="200"/>
              <w:rPr>
                <w:rFonts w:hint="default"/>
                <w:color w:val="auto"/>
                <w:highlight w:val="none"/>
                <w:lang w:val="en-US" w:eastAsia="zh-CN"/>
              </w:rPr>
            </w:pPr>
            <w:r>
              <w:rPr>
                <w:rFonts w:hint="eastAsia"/>
                <w:color w:val="auto"/>
                <w:highlight w:val="none"/>
                <w:lang w:val="en-US" w:eastAsia="zh-CN"/>
              </w:rPr>
              <w:t>（1）</w:t>
            </w:r>
            <w:r>
              <w:rPr>
                <w:rFonts w:hint="eastAsia"/>
                <w:b w:val="0"/>
                <w:bCs/>
                <w:color w:val="auto"/>
                <w:highlight w:val="none"/>
                <w:lang w:val="en-US" w:eastAsia="zh-CN"/>
              </w:rPr>
              <w:t>供水片区需水量</w:t>
            </w:r>
          </w:p>
          <w:p>
            <w:pPr>
              <w:adjustRightInd w:val="0"/>
              <w:snapToGrid w:val="0"/>
              <w:spacing w:line="360" w:lineRule="auto"/>
              <w:ind w:firstLine="420" w:firstLineChars="200"/>
              <w:rPr>
                <w:rFonts w:hint="eastAsia" w:eastAsia="宋体"/>
                <w:b w:val="0"/>
                <w:bCs/>
                <w:color w:val="auto"/>
                <w:sz w:val="21"/>
                <w:szCs w:val="21"/>
                <w:highlight w:val="none"/>
                <w:vertAlign w:val="baseline"/>
                <w:lang w:val="en-US" w:eastAsia="zh-CN"/>
              </w:rPr>
            </w:pPr>
            <w:r>
              <w:rPr>
                <w:rFonts w:hint="eastAsia"/>
                <w:color w:val="auto"/>
                <w:highlight w:val="none"/>
                <w:lang w:val="en-US" w:eastAsia="zh-CN"/>
              </w:rPr>
              <w:t>根据初步设计预测，</w:t>
            </w:r>
            <w:r>
              <w:rPr>
                <w:rFonts w:hint="eastAsia"/>
                <w:b w:val="0"/>
                <w:bCs/>
                <w:color w:val="auto"/>
                <w:highlight w:val="none"/>
                <w:lang w:val="en-US" w:eastAsia="zh-CN"/>
              </w:rPr>
              <w:t>供水片区</w:t>
            </w:r>
            <w:r>
              <w:rPr>
                <w:rFonts w:hint="default" w:ascii="Times New Roman" w:hAnsi="Times New Roman" w:eastAsia="宋体" w:cs="Times New Roman"/>
                <w:b w:val="0"/>
                <w:bCs/>
                <w:color w:val="auto"/>
                <w:sz w:val="21"/>
                <w:szCs w:val="21"/>
                <w:highlight w:val="none"/>
                <w:lang w:val="en-US" w:eastAsia="zh-CN"/>
              </w:rPr>
              <w:t>胡家场镇、花池社区及沿线村组共5.2万人口</w:t>
            </w:r>
            <w:r>
              <w:rPr>
                <w:rFonts w:hint="eastAsia" w:cs="Times New Roman"/>
                <w:b w:val="0"/>
                <w:bCs/>
                <w:color w:val="auto"/>
                <w:sz w:val="21"/>
                <w:szCs w:val="21"/>
                <w:highlight w:val="none"/>
                <w:lang w:val="en-US" w:eastAsia="zh-CN"/>
              </w:rPr>
              <w:t>，规划</w:t>
            </w:r>
            <w:r>
              <w:rPr>
                <w:rFonts w:ascii="Times New Roman" w:hAnsi="Times New Roman"/>
                <w:color w:val="auto"/>
                <w:sz w:val="21"/>
                <w:szCs w:val="21"/>
                <w:highlight w:val="none"/>
              </w:rPr>
              <w:t>水平年</w:t>
            </w:r>
            <w:r>
              <w:rPr>
                <w:rFonts w:hint="eastAsia" w:cs="Times New Roman"/>
                <w:b w:val="0"/>
                <w:bCs/>
                <w:color w:val="auto"/>
                <w:sz w:val="21"/>
                <w:szCs w:val="21"/>
                <w:highlight w:val="none"/>
                <w:lang w:val="en-US" w:eastAsia="zh-CN"/>
              </w:rPr>
              <w:t>2030年</w:t>
            </w:r>
            <w:r>
              <w:rPr>
                <w:rFonts w:hint="eastAsia"/>
                <w:b w:val="0"/>
                <w:bCs/>
                <w:color w:val="auto"/>
                <w:highlight w:val="none"/>
                <w:lang w:val="en-US" w:eastAsia="zh-CN"/>
              </w:rPr>
              <w:t>供水片区</w:t>
            </w:r>
            <w:r>
              <w:rPr>
                <w:rFonts w:ascii="Times New Roman" w:hAnsi="Times New Roman"/>
                <w:color w:val="auto"/>
                <w:sz w:val="21"/>
                <w:szCs w:val="21"/>
                <w:highlight w:val="none"/>
              </w:rPr>
              <w:t>多年平均净</w:t>
            </w:r>
            <w:r>
              <w:rPr>
                <w:rFonts w:hint="eastAsia"/>
                <w:b w:val="0"/>
                <w:bCs/>
                <w:color w:val="auto"/>
                <w:highlight w:val="none"/>
                <w:lang w:val="en-US" w:eastAsia="zh-CN"/>
              </w:rPr>
              <w:t>需水量为243.3</w:t>
            </w:r>
            <w:r>
              <w:rPr>
                <w:rFonts w:hint="default"/>
                <w:color w:val="auto"/>
                <w:highlight w:val="none"/>
                <w:lang w:val="en-US" w:eastAsia="zh-CN"/>
              </w:rPr>
              <w:t>万m</w:t>
            </w:r>
            <w:r>
              <w:rPr>
                <w:rFonts w:hint="default"/>
                <w:color w:val="auto"/>
                <w:highlight w:val="none"/>
                <w:vertAlign w:val="superscript"/>
                <w:lang w:val="en-US" w:eastAsia="zh-CN"/>
              </w:rPr>
              <w:t>3</w:t>
            </w:r>
            <w:r>
              <w:rPr>
                <w:rFonts w:hint="eastAsia"/>
                <w:color w:val="auto"/>
                <w:highlight w:val="none"/>
                <w:vertAlign w:val="baseline"/>
                <w:lang w:val="en-US" w:eastAsia="zh-CN"/>
              </w:rPr>
              <w:t>。</w:t>
            </w:r>
            <w:r>
              <w:rPr>
                <w:rFonts w:hint="default" w:ascii="Times New Roman" w:hAnsi="Times New Roman" w:eastAsia="宋体" w:cs="Times New Roman"/>
                <w:b w:val="0"/>
                <w:bCs/>
                <w:color w:val="auto"/>
                <w:sz w:val="21"/>
                <w:szCs w:val="21"/>
                <w:highlight w:val="none"/>
                <w:lang w:val="en-US" w:eastAsia="zh-CN"/>
              </w:rPr>
              <w:t>胡家场镇</w:t>
            </w:r>
            <w:r>
              <w:rPr>
                <w:rFonts w:hint="eastAsia" w:ascii="Times New Roman" w:hAnsi="Times New Roman" w:cs="Times New Roman"/>
                <w:color w:val="auto"/>
                <w:spacing w:val="-2"/>
                <w:sz w:val="21"/>
                <w:szCs w:val="21"/>
                <w:highlight w:val="none"/>
              </w:rPr>
              <w:t>现状靠胡家水厂、王书均水厂、胡家供水站供水，水源为黑滩石河堰及林口岩、李寺沟、河塘水库3座水库</w:t>
            </w:r>
            <w:r>
              <w:rPr>
                <w:rFonts w:hint="eastAsia" w:cs="Times New Roman"/>
                <w:color w:val="auto"/>
                <w:spacing w:val="-2"/>
                <w:sz w:val="21"/>
                <w:szCs w:val="21"/>
                <w:highlight w:val="none"/>
                <w:lang w:eastAsia="zh-CN"/>
              </w:rPr>
              <w:t>，</w:t>
            </w:r>
            <w:r>
              <w:rPr>
                <w:rFonts w:hint="eastAsia" w:ascii="Times New Roman" w:hAnsi="Times New Roman"/>
                <w:color w:val="auto"/>
                <w:sz w:val="21"/>
                <w:szCs w:val="21"/>
                <w:highlight w:val="none"/>
              </w:rPr>
              <w:t>现有水源年总供水量为124.8万m</w:t>
            </w:r>
            <w:r>
              <w:rPr>
                <w:rFonts w:hint="eastAsia" w:ascii="Times New Roman" w:hAnsi="Times New Roman"/>
                <w:color w:val="auto"/>
                <w:sz w:val="21"/>
                <w:szCs w:val="21"/>
                <w:highlight w:val="none"/>
                <w:vertAlign w:val="superscript"/>
              </w:rPr>
              <w:t>3</w:t>
            </w:r>
            <w:r>
              <w:rPr>
                <w:rFonts w:hint="eastAsia" w:cs="Times New Roman"/>
                <w:color w:val="auto"/>
                <w:spacing w:val="-2"/>
                <w:sz w:val="21"/>
                <w:szCs w:val="21"/>
                <w:highlight w:val="none"/>
                <w:lang w:eastAsia="zh-CN"/>
              </w:rPr>
              <w:t>。</w:t>
            </w:r>
          </w:p>
          <w:p>
            <w:pPr>
              <w:adjustRightInd w:val="0"/>
              <w:snapToGrid w:val="0"/>
              <w:spacing w:line="360" w:lineRule="auto"/>
              <w:ind w:firstLine="420" w:firstLineChars="200"/>
              <w:rPr>
                <w:color w:val="auto"/>
                <w:highlight w:val="none"/>
              </w:rPr>
            </w:pPr>
            <w:r>
              <w:rPr>
                <w:rFonts w:hint="eastAsia"/>
                <w:color w:val="auto"/>
                <w:highlight w:val="none"/>
                <w:lang w:val="en-US" w:eastAsia="zh-CN"/>
              </w:rPr>
              <w:t>（2）</w:t>
            </w:r>
            <w:r>
              <w:rPr>
                <w:color w:val="auto"/>
                <w:highlight w:val="none"/>
              </w:rPr>
              <w:t>灌区需水</w:t>
            </w:r>
            <w:r>
              <w:rPr>
                <w:rFonts w:hint="eastAsia"/>
                <w:b w:val="0"/>
                <w:bCs/>
                <w:color w:val="auto"/>
                <w:highlight w:val="none"/>
                <w:lang w:val="en-US" w:eastAsia="zh-CN"/>
              </w:rPr>
              <w:t>量</w:t>
            </w:r>
          </w:p>
          <w:p>
            <w:pPr>
              <w:adjustRightInd w:val="0"/>
              <w:snapToGrid w:val="0"/>
              <w:spacing w:line="360" w:lineRule="auto"/>
              <w:ind w:firstLine="420" w:firstLineChars="200"/>
              <w:rPr>
                <w:rFonts w:hint="eastAsia" w:ascii="Times New Roman" w:hAnsi="Times New Roman"/>
                <w:color w:val="auto"/>
                <w:sz w:val="21"/>
                <w:szCs w:val="21"/>
                <w:highlight w:val="none"/>
              </w:rPr>
            </w:pPr>
            <w:r>
              <w:rPr>
                <w:rFonts w:ascii="Times New Roman" w:hAnsi="Times New Roman"/>
                <w:color w:val="auto"/>
                <w:sz w:val="21"/>
                <w:szCs w:val="21"/>
                <w:highlight w:val="none"/>
              </w:rPr>
              <w:t>灌区主要粮食作物有水稻、小麦、玉米、薯类等，主要经济作物有油菜、蔬菜、花生等。</w:t>
            </w:r>
            <w:r>
              <w:rPr>
                <w:rFonts w:hint="eastAsia" w:ascii="Times New Roman" w:hAnsi="Times New Roman"/>
                <w:color w:val="auto"/>
                <w:sz w:val="21"/>
                <w:szCs w:val="21"/>
                <w:highlight w:val="none"/>
              </w:rPr>
              <w:t>灌区田土比为35：65</w:t>
            </w:r>
            <w:r>
              <w:rPr>
                <w:rFonts w:hint="eastAsia"/>
                <w:color w:val="auto"/>
                <w:sz w:val="21"/>
                <w:szCs w:val="21"/>
                <w:highlight w:val="none"/>
                <w:lang w:eastAsia="zh-CN"/>
              </w:rPr>
              <w:t>，</w:t>
            </w:r>
            <w:r>
              <w:rPr>
                <w:rFonts w:hint="eastAsia" w:ascii="Times New Roman" w:hAnsi="Times New Roman"/>
                <w:color w:val="auto"/>
                <w:sz w:val="21"/>
                <w:szCs w:val="21"/>
                <w:highlight w:val="none"/>
              </w:rPr>
              <w:t>粮经比为56：44</w:t>
            </w:r>
            <w:r>
              <w:rPr>
                <w:rFonts w:hint="eastAsia"/>
                <w:color w:val="auto"/>
                <w:sz w:val="21"/>
                <w:szCs w:val="21"/>
                <w:highlight w:val="none"/>
                <w:lang w:eastAsia="zh-CN"/>
              </w:rPr>
              <w:t>，</w:t>
            </w:r>
            <w:r>
              <w:rPr>
                <w:rFonts w:hint="eastAsia" w:ascii="Times New Roman" w:hAnsi="Times New Roman"/>
                <w:color w:val="auto"/>
                <w:sz w:val="21"/>
                <w:szCs w:val="21"/>
                <w:highlight w:val="none"/>
              </w:rPr>
              <w:t>复种指数</w:t>
            </w:r>
            <w:r>
              <w:rPr>
                <w:rFonts w:hint="eastAsia"/>
                <w:color w:val="auto"/>
                <w:sz w:val="21"/>
                <w:szCs w:val="21"/>
                <w:highlight w:val="none"/>
                <w:lang w:val="en-US" w:eastAsia="zh-CN"/>
              </w:rPr>
              <w:t>为</w:t>
            </w:r>
            <w:r>
              <w:rPr>
                <w:rFonts w:hint="eastAsia" w:ascii="Times New Roman" w:hAnsi="Times New Roman"/>
                <w:color w:val="auto"/>
                <w:sz w:val="21"/>
                <w:szCs w:val="21"/>
                <w:highlight w:val="none"/>
              </w:rPr>
              <w:t>224%。规划区设计灌面5600亩，其中耕地5100亩，园地500亩。</w:t>
            </w:r>
          </w:p>
          <w:p>
            <w:pPr>
              <w:adjustRightInd w:val="0"/>
              <w:snapToGrid w:val="0"/>
              <w:spacing w:line="360" w:lineRule="auto"/>
              <w:ind w:firstLine="420" w:firstLineChars="200"/>
              <w:rPr>
                <w:color w:val="auto"/>
                <w:sz w:val="21"/>
                <w:szCs w:val="21"/>
                <w:highlight w:val="none"/>
              </w:rPr>
            </w:pPr>
            <w:r>
              <w:rPr>
                <w:rFonts w:hint="eastAsia"/>
                <w:color w:val="auto"/>
                <w:highlight w:val="none"/>
                <w:lang w:val="en-US" w:eastAsia="zh-CN"/>
              </w:rPr>
              <w:t>根据初步设计预测，</w:t>
            </w:r>
            <w:r>
              <w:rPr>
                <w:rFonts w:ascii="Times New Roman" w:hAnsi="Times New Roman"/>
                <w:color w:val="auto"/>
                <w:sz w:val="21"/>
                <w:szCs w:val="21"/>
                <w:highlight w:val="none"/>
              </w:rPr>
              <w:t>规划水平年203</w:t>
            </w:r>
            <w:r>
              <w:rPr>
                <w:rFonts w:hint="eastAsia" w:ascii="Times New Roman" w:hAnsi="Times New Roman"/>
                <w:color w:val="auto"/>
                <w:sz w:val="21"/>
                <w:szCs w:val="21"/>
                <w:highlight w:val="none"/>
              </w:rPr>
              <w:t>0</w:t>
            </w:r>
            <w:r>
              <w:rPr>
                <w:rFonts w:ascii="Times New Roman" w:hAnsi="Times New Roman"/>
                <w:color w:val="auto"/>
                <w:sz w:val="21"/>
                <w:szCs w:val="21"/>
                <w:highlight w:val="none"/>
              </w:rPr>
              <w:t>年灌区多年平均灌溉净需水量为</w:t>
            </w:r>
            <w:r>
              <w:rPr>
                <w:rFonts w:hint="eastAsia" w:ascii="Times New Roman" w:hAnsi="Times New Roman"/>
                <w:color w:val="auto"/>
                <w:sz w:val="21"/>
                <w:szCs w:val="21"/>
                <w:highlight w:val="none"/>
              </w:rPr>
              <w:t>8</w:t>
            </w:r>
            <w:r>
              <w:rPr>
                <w:rFonts w:ascii="Times New Roman" w:hAnsi="Times New Roman"/>
                <w:color w:val="auto"/>
                <w:sz w:val="21"/>
                <w:szCs w:val="21"/>
                <w:highlight w:val="none"/>
              </w:rPr>
              <w:t>5.5万m</w:t>
            </w:r>
            <w:r>
              <w:rPr>
                <w:rFonts w:ascii="Times New Roman" w:hAnsi="Times New Roman"/>
                <w:color w:val="auto"/>
                <w:sz w:val="21"/>
                <w:szCs w:val="21"/>
                <w:highlight w:val="none"/>
                <w:vertAlign w:val="superscript"/>
              </w:rPr>
              <w:t>3</w:t>
            </w:r>
            <w:r>
              <w:rPr>
                <w:rFonts w:ascii="Times New Roman" w:hAnsi="Times New Roman"/>
                <w:color w:val="auto"/>
                <w:sz w:val="21"/>
                <w:szCs w:val="21"/>
                <w:highlight w:val="none"/>
              </w:rPr>
              <w:t>，P=75%典型年为</w:t>
            </w:r>
            <w:r>
              <w:rPr>
                <w:rFonts w:hint="eastAsia" w:ascii="Times New Roman" w:hAnsi="Times New Roman"/>
                <w:color w:val="auto"/>
                <w:sz w:val="21"/>
                <w:szCs w:val="21"/>
                <w:highlight w:val="none"/>
              </w:rPr>
              <w:t>98</w:t>
            </w:r>
            <w:r>
              <w:rPr>
                <w:rFonts w:ascii="Times New Roman" w:hAnsi="Times New Roman"/>
                <w:color w:val="auto"/>
                <w:sz w:val="21"/>
                <w:szCs w:val="21"/>
                <w:highlight w:val="none"/>
              </w:rPr>
              <w:t>.1万m</w:t>
            </w:r>
            <w:r>
              <w:rPr>
                <w:rFonts w:ascii="Times New Roman" w:hAnsi="Times New Roman"/>
                <w:color w:val="auto"/>
                <w:sz w:val="21"/>
                <w:szCs w:val="21"/>
                <w:highlight w:val="none"/>
                <w:vertAlign w:val="superscript"/>
              </w:rPr>
              <w:t>3</w:t>
            </w:r>
            <w:r>
              <w:rPr>
                <w:rFonts w:ascii="Times New Roman" w:hAnsi="Times New Roman"/>
                <w:color w:val="auto"/>
                <w:sz w:val="21"/>
                <w:szCs w:val="21"/>
                <w:highlight w:val="none"/>
              </w:rPr>
              <w:t>。</w:t>
            </w:r>
            <w:r>
              <w:rPr>
                <w:rFonts w:hint="eastAsia" w:ascii="Times New Roman" w:hAnsi="Times New Roman"/>
                <w:color w:val="auto"/>
                <w:sz w:val="21"/>
                <w:szCs w:val="21"/>
                <w:highlight w:val="none"/>
              </w:rPr>
              <w:t>灌区内</w:t>
            </w:r>
            <w:r>
              <w:rPr>
                <w:rFonts w:hint="eastAsia"/>
                <w:color w:val="auto"/>
                <w:sz w:val="21"/>
                <w:szCs w:val="21"/>
                <w:highlight w:val="none"/>
                <w:lang w:val="en-US" w:eastAsia="zh-CN"/>
              </w:rPr>
              <w:t>现</w:t>
            </w:r>
            <w:r>
              <w:rPr>
                <w:rFonts w:hint="eastAsia" w:ascii="Times New Roman" w:hAnsi="Times New Roman"/>
                <w:color w:val="auto"/>
                <w:sz w:val="21"/>
                <w:szCs w:val="21"/>
                <w:highlight w:val="none"/>
              </w:rPr>
              <w:t>有山坪塘32处，有效库容3.84万m</w:t>
            </w:r>
            <w:r>
              <w:rPr>
                <w:rFonts w:hint="eastAsia" w:ascii="Times New Roman" w:hAnsi="Times New Roman"/>
                <w:color w:val="auto"/>
                <w:sz w:val="21"/>
                <w:szCs w:val="21"/>
                <w:highlight w:val="none"/>
                <w:vertAlign w:val="superscript"/>
              </w:rPr>
              <w:t>3</w:t>
            </w:r>
            <w:r>
              <w:rPr>
                <w:rFonts w:hint="eastAsia" w:ascii="Times New Roman" w:hAnsi="Times New Roman"/>
                <w:color w:val="auto"/>
                <w:sz w:val="21"/>
                <w:szCs w:val="21"/>
                <w:highlight w:val="none"/>
              </w:rPr>
              <w:t>；有石河堰3处</w:t>
            </w:r>
            <w:r>
              <w:rPr>
                <w:rFonts w:hint="eastAsia"/>
                <w:color w:val="auto"/>
                <w:sz w:val="21"/>
                <w:szCs w:val="21"/>
                <w:highlight w:val="none"/>
                <w:lang w:eastAsia="zh-CN"/>
              </w:rPr>
              <w:t>，</w:t>
            </w:r>
            <w:r>
              <w:rPr>
                <w:rFonts w:hint="eastAsia" w:ascii="Times New Roman" w:hAnsi="Times New Roman"/>
                <w:color w:val="auto"/>
                <w:sz w:val="21"/>
                <w:szCs w:val="21"/>
                <w:highlight w:val="none"/>
              </w:rPr>
              <w:t>现有水源年总供水量为</w:t>
            </w:r>
            <w:r>
              <w:rPr>
                <w:rFonts w:hint="eastAsia"/>
                <w:color w:val="auto"/>
                <w:sz w:val="21"/>
                <w:szCs w:val="21"/>
                <w:highlight w:val="none"/>
                <w:lang w:val="en-US" w:eastAsia="zh-CN"/>
              </w:rPr>
              <w:t>4</w:t>
            </w:r>
            <w:r>
              <w:rPr>
                <w:rFonts w:hint="eastAsia" w:ascii="Times New Roman" w:hAnsi="Times New Roman"/>
                <w:color w:val="auto"/>
                <w:sz w:val="21"/>
                <w:szCs w:val="21"/>
                <w:highlight w:val="none"/>
              </w:rPr>
              <w:t>万m</w:t>
            </w:r>
            <w:r>
              <w:rPr>
                <w:rFonts w:hint="eastAsia" w:ascii="Times New Roman" w:hAnsi="Times New Roman"/>
                <w:color w:val="auto"/>
                <w:sz w:val="21"/>
                <w:szCs w:val="21"/>
                <w:highlight w:val="none"/>
                <w:vertAlign w:val="superscript"/>
              </w:rPr>
              <w:t>3</w:t>
            </w:r>
            <w:r>
              <w:rPr>
                <w:rFonts w:hint="eastAsia" w:ascii="Times New Roman" w:hAnsi="Times New Roman"/>
                <w:color w:val="auto"/>
                <w:sz w:val="21"/>
                <w:szCs w:val="21"/>
                <w:highlight w:val="none"/>
              </w:rPr>
              <w:t>。</w:t>
            </w:r>
          </w:p>
          <w:p>
            <w:pPr>
              <w:kinsoku/>
              <w:snapToGrid/>
              <w:spacing w:line="360" w:lineRule="auto"/>
              <w:ind w:firstLine="420" w:firstLineChars="200"/>
              <w:jc w:val="both"/>
              <w:rPr>
                <w:rFonts w:ascii="Times New Roman" w:hAnsi="Times New Roman"/>
                <w:color w:val="auto"/>
                <w:sz w:val="21"/>
                <w:szCs w:val="21"/>
                <w:highlight w:val="none"/>
              </w:rPr>
            </w:pPr>
            <w:r>
              <w:rPr>
                <w:rFonts w:ascii="Times New Roman" w:hAnsi="Times New Roman"/>
                <w:color w:val="auto"/>
                <w:sz w:val="21"/>
                <w:szCs w:val="21"/>
                <w:highlight w:val="none"/>
              </w:rPr>
              <w:t>在多年平均情况下</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胡家场镇净需</w:t>
            </w:r>
            <w:r>
              <w:rPr>
                <w:rFonts w:hint="eastAsia" w:ascii="Times New Roman" w:hAnsi="Times New Roman"/>
                <w:color w:val="auto"/>
                <w:sz w:val="21"/>
                <w:szCs w:val="21"/>
                <w:highlight w:val="none"/>
              </w:rPr>
              <w:t>水232.4</w:t>
            </w:r>
            <w:r>
              <w:rPr>
                <w:rFonts w:ascii="Times New Roman" w:hAnsi="Times New Roman"/>
                <w:color w:val="auto"/>
                <w:sz w:val="21"/>
                <w:szCs w:val="21"/>
                <w:highlight w:val="none"/>
              </w:rPr>
              <w:t>万m</w:t>
            </w:r>
            <w:r>
              <w:rPr>
                <w:rFonts w:ascii="Times New Roman" w:hAnsi="Times New Roman"/>
                <w:color w:val="auto"/>
                <w:sz w:val="21"/>
                <w:szCs w:val="21"/>
                <w:highlight w:val="none"/>
                <w:vertAlign w:val="superscript"/>
              </w:rPr>
              <w:t>3</w:t>
            </w:r>
            <w:r>
              <w:rPr>
                <w:rFonts w:ascii="Times New Roman" w:hAnsi="Times New Roman" w:cs="Times New Roman"/>
                <w:color w:val="auto"/>
                <w:spacing w:val="-2"/>
                <w:sz w:val="21"/>
                <w:szCs w:val="21"/>
                <w:highlight w:val="none"/>
              </w:rPr>
              <w:t>，扣除现状水源供水</w:t>
            </w:r>
            <w:r>
              <w:rPr>
                <w:rFonts w:hint="eastAsia" w:ascii="Times New Roman" w:hAnsi="Times New Roman" w:cs="Times New Roman"/>
                <w:color w:val="auto"/>
                <w:spacing w:val="-2"/>
                <w:sz w:val="21"/>
                <w:szCs w:val="21"/>
                <w:highlight w:val="none"/>
              </w:rPr>
              <w:t>124.8</w:t>
            </w:r>
            <w:r>
              <w:rPr>
                <w:rFonts w:ascii="Times New Roman" w:hAnsi="Times New Roman"/>
                <w:color w:val="auto"/>
                <w:sz w:val="21"/>
                <w:szCs w:val="21"/>
                <w:highlight w:val="none"/>
              </w:rPr>
              <w:t>万m</w:t>
            </w:r>
            <w:r>
              <w:rPr>
                <w:rFonts w:ascii="Times New Roman" w:hAnsi="Times New Roman"/>
                <w:color w:val="auto"/>
                <w:sz w:val="21"/>
                <w:szCs w:val="21"/>
                <w:highlight w:val="none"/>
                <w:vertAlign w:val="superscript"/>
              </w:rPr>
              <w:t>3</w:t>
            </w:r>
            <w:r>
              <w:rPr>
                <w:rFonts w:hint="eastAsia" w:ascii="Times New Roman" w:hAnsi="Times New Roman" w:cs="Times New Roman"/>
                <w:color w:val="auto"/>
                <w:spacing w:val="-2"/>
                <w:sz w:val="21"/>
                <w:szCs w:val="21"/>
                <w:highlight w:val="none"/>
              </w:rPr>
              <w:t>后</w:t>
            </w:r>
            <w:r>
              <w:rPr>
                <w:rFonts w:ascii="Times New Roman" w:hAnsi="Times New Roman" w:cs="Times New Roman"/>
                <w:color w:val="auto"/>
                <w:spacing w:val="-2"/>
                <w:sz w:val="21"/>
                <w:szCs w:val="21"/>
                <w:highlight w:val="none"/>
              </w:rPr>
              <w:t>，</w:t>
            </w:r>
            <w:r>
              <w:rPr>
                <w:rFonts w:hint="eastAsia" w:ascii="Times New Roman" w:hAnsi="Times New Roman"/>
                <w:color w:val="auto"/>
                <w:sz w:val="21"/>
                <w:szCs w:val="21"/>
                <w:highlight w:val="none"/>
              </w:rPr>
              <w:t>缺水107.6</w:t>
            </w:r>
            <w:r>
              <w:rPr>
                <w:rFonts w:ascii="Times New Roman" w:hAnsi="Times New Roman"/>
                <w:color w:val="auto"/>
                <w:sz w:val="21"/>
                <w:szCs w:val="21"/>
                <w:highlight w:val="none"/>
              </w:rPr>
              <w:t>万m</w:t>
            </w:r>
            <w:r>
              <w:rPr>
                <w:rFonts w:ascii="Times New Roman" w:hAnsi="Times New Roman"/>
                <w:color w:val="auto"/>
                <w:sz w:val="21"/>
                <w:szCs w:val="21"/>
                <w:highlight w:val="none"/>
                <w:vertAlign w:val="superscript"/>
              </w:rPr>
              <w:t>3</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花池</w:t>
            </w:r>
            <w:r>
              <w:rPr>
                <w:rFonts w:hint="eastAsia" w:ascii="Times New Roman" w:hAnsi="Times New Roman"/>
                <w:color w:val="auto"/>
                <w:sz w:val="21"/>
                <w:szCs w:val="21"/>
                <w:highlight w:val="none"/>
              </w:rPr>
              <w:t>社区及沿线</w:t>
            </w:r>
            <w:r>
              <w:rPr>
                <w:rFonts w:ascii="Times New Roman" w:hAnsi="Times New Roman"/>
                <w:color w:val="auto"/>
                <w:sz w:val="21"/>
                <w:szCs w:val="21"/>
                <w:highlight w:val="none"/>
              </w:rPr>
              <w:t>村组</w:t>
            </w:r>
            <w:r>
              <w:rPr>
                <w:rFonts w:hint="eastAsia" w:ascii="Times New Roman" w:hAnsi="Times New Roman"/>
                <w:color w:val="auto"/>
                <w:sz w:val="21"/>
                <w:szCs w:val="21"/>
                <w:highlight w:val="none"/>
              </w:rPr>
              <w:t>缺水10.9</w:t>
            </w:r>
            <w:r>
              <w:rPr>
                <w:rFonts w:ascii="Times New Roman" w:hAnsi="Times New Roman"/>
                <w:color w:val="auto"/>
                <w:sz w:val="21"/>
                <w:szCs w:val="21"/>
                <w:highlight w:val="none"/>
              </w:rPr>
              <w:t>万m</w:t>
            </w:r>
            <w:r>
              <w:rPr>
                <w:rFonts w:ascii="Times New Roman" w:hAnsi="Times New Roman"/>
                <w:color w:val="auto"/>
                <w:sz w:val="21"/>
                <w:szCs w:val="21"/>
                <w:highlight w:val="none"/>
                <w:vertAlign w:val="superscript"/>
              </w:rPr>
              <w:t>3</w:t>
            </w:r>
            <w:r>
              <w:rPr>
                <w:rFonts w:hint="eastAsia" w:ascii="Times New Roman" w:hAnsi="Times New Roman"/>
                <w:color w:val="auto"/>
                <w:sz w:val="21"/>
                <w:szCs w:val="21"/>
                <w:highlight w:val="none"/>
              </w:rPr>
              <w:t>；镇村合</w:t>
            </w:r>
            <w:r>
              <w:rPr>
                <w:rFonts w:ascii="Times New Roman" w:hAnsi="Times New Roman"/>
                <w:color w:val="auto"/>
                <w:sz w:val="21"/>
                <w:szCs w:val="21"/>
                <w:highlight w:val="none"/>
              </w:rPr>
              <w:t>计净</w:t>
            </w:r>
            <w:r>
              <w:rPr>
                <w:rFonts w:hint="eastAsia" w:ascii="Times New Roman" w:hAnsi="Times New Roman"/>
                <w:color w:val="auto"/>
                <w:sz w:val="21"/>
                <w:szCs w:val="21"/>
                <w:highlight w:val="none"/>
              </w:rPr>
              <w:t>缺水118.5</w:t>
            </w:r>
            <w:r>
              <w:rPr>
                <w:rFonts w:ascii="Times New Roman" w:hAnsi="Times New Roman"/>
                <w:color w:val="auto"/>
                <w:sz w:val="21"/>
                <w:szCs w:val="21"/>
                <w:highlight w:val="none"/>
              </w:rPr>
              <w:t>万m</w:t>
            </w:r>
            <w:r>
              <w:rPr>
                <w:rFonts w:ascii="Times New Roman" w:hAnsi="Times New Roman"/>
                <w:color w:val="auto"/>
                <w:sz w:val="21"/>
                <w:szCs w:val="21"/>
                <w:highlight w:val="none"/>
                <w:vertAlign w:val="superscript"/>
              </w:rPr>
              <w:t>3</w:t>
            </w:r>
            <w:r>
              <w:rPr>
                <w:rFonts w:hint="eastAsia" w:ascii="Times New Roman" w:hAnsi="Times New Roman"/>
                <w:color w:val="auto"/>
                <w:sz w:val="21"/>
                <w:szCs w:val="21"/>
                <w:highlight w:val="none"/>
              </w:rPr>
              <w:t>，毛缺水120.9</w:t>
            </w:r>
            <w:r>
              <w:rPr>
                <w:rFonts w:ascii="Times New Roman" w:hAnsi="Times New Roman"/>
                <w:color w:val="auto"/>
                <w:sz w:val="21"/>
                <w:szCs w:val="21"/>
                <w:highlight w:val="none"/>
              </w:rPr>
              <w:t>万m</w:t>
            </w:r>
            <w:r>
              <w:rPr>
                <w:rFonts w:ascii="Times New Roman" w:hAnsi="Times New Roman"/>
                <w:color w:val="auto"/>
                <w:sz w:val="21"/>
                <w:szCs w:val="21"/>
                <w:highlight w:val="none"/>
                <w:vertAlign w:val="superscript"/>
              </w:rPr>
              <w:t>3</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灌</w:t>
            </w:r>
            <w:r>
              <w:rPr>
                <w:rFonts w:hint="eastAsia" w:ascii="Times New Roman" w:hAnsi="Times New Roman"/>
                <w:color w:val="auto"/>
                <w:sz w:val="21"/>
                <w:szCs w:val="21"/>
                <w:highlight w:val="none"/>
              </w:rPr>
              <w:t>区</w:t>
            </w:r>
            <w:r>
              <w:rPr>
                <w:rFonts w:ascii="Times New Roman" w:hAnsi="Times New Roman"/>
                <w:color w:val="auto"/>
                <w:sz w:val="21"/>
                <w:szCs w:val="21"/>
                <w:highlight w:val="none"/>
              </w:rPr>
              <w:t>多年平均净需水</w:t>
            </w:r>
            <w:r>
              <w:rPr>
                <w:rFonts w:hint="eastAsia" w:ascii="Times New Roman" w:hAnsi="Times New Roman"/>
                <w:color w:val="auto"/>
                <w:sz w:val="21"/>
                <w:szCs w:val="21"/>
                <w:highlight w:val="none"/>
              </w:rPr>
              <w:t>85.5</w:t>
            </w:r>
            <w:r>
              <w:rPr>
                <w:rFonts w:ascii="Times New Roman" w:hAnsi="Times New Roman"/>
                <w:color w:val="auto"/>
                <w:sz w:val="21"/>
                <w:szCs w:val="21"/>
                <w:highlight w:val="none"/>
              </w:rPr>
              <w:t>万m</w:t>
            </w:r>
            <w:r>
              <w:rPr>
                <w:rFonts w:ascii="Times New Roman" w:hAnsi="Times New Roman"/>
                <w:color w:val="auto"/>
                <w:sz w:val="21"/>
                <w:szCs w:val="21"/>
                <w:highlight w:val="none"/>
                <w:vertAlign w:val="superscript"/>
              </w:rPr>
              <w:t>3</w:t>
            </w:r>
            <w:r>
              <w:rPr>
                <w:rFonts w:ascii="Times New Roman" w:hAnsi="Times New Roman"/>
                <w:color w:val="auto"/>
                <w:sz w:val="21"/>
                <w:szCs w:val="21"/>
                <w:highlight w:val="none"/>
              </w:rPr>
              <w:t>，扣除水利设施供水</w:t>
            </w:r>
            <w:r>
              <w:rPr>
                <w:rFonts w:hint="eastAsia" w:ascii="Times New Roman" w:hAnsi="Times New Roman"/>
                <w:color w:val="auto"/>
                <w:sz w:val="21"/>
                <w:szCs w:val="21"/>
                <w:highlight w:val="none"/>
              </w:rPr>
              <w:t>4.0</w:t>
            </w:r>
            <w:r>
              <w:rPr>
                <w:rFonts w:ascii="Times New Roman" w:hAnsi="Times New Roman"/>
                <w:color w:val="auto"/>
                <w:sz w:val="21"/>
                <w:szCs w:val="21"/>
                <w:highlight w:val="none"/>
              </w:rPr>
              <w:t>万m</w:t>
            </w:r>
            <w:r>
              <w:rPr>
                <w:rFonts w:ascii="Times New Roman" w:hAnsi="Times New Roman"/>
                <w:color w:val="auto"/>
                <w:sz w:val="21"/>
                <w:szCs w:val="21"/>
                <w:highlight w:val="none"/>
                <w:vertAlign w:val="superscript"/>
              </w:rPr>
              <w:t>3</w:t>
            </w:r>
            <w:r>
              <w:rPr>
                <w:rFonts w:ascii="Times New Roman" w:hAnsi="Times New Roman"/>
                <w:color w:val="auto"/>
                <w:sz w:val="21"/>
                <w:szCs w:val="21"/>
                <w:highlight w:val="none"/>
              </w:rPr>
              <w:t>，灌</w:t>
            </w:r>
            <w:r>
              <w:rPr>
                <w:rFonts w:hint="eastAsia" w:ascii="Times New Roman" w:hAnsi="Times New Roman"/>
                <w:color w:val="auto"/>
                <w:sz w:val="21"/>
                <w:szCs w:val="21"/>
                <w:highlight w:val="none"/>
              </w:rPr>
              <w:t>区</w:t>
            </w:r>
            <w:r>
              <w:rPr>
                <w:rFonts w:ascii="Times New Roman" w:hAnsi="Times New Roman"/>
                <w:color w:val="auto"/>
                <w:sz w:val="21"/>
                <w:szCs w:val="21"/>
                <w:highlight w:val="none"/>
              </w:rPr>
              <w:t>多年平均净</w:t>
            </w:r>
            <w:r>
              <w:rPr>
                <w:rFonts w:hint="eastAsia" w:ascii="Times New Roman" w:hAnsi="Times New Roman"/>
                <w:color w:val="auto"/>
                <w:sz w:val="21"/>
                <w:szCs w:val="21"/>
                <w:highlight w:val="none"/>
              </w:rPr>
              <w:t>缺</w:t>
            </w:r>
            <w:r>
              <w:rPr>
                <w:rFonts w:ascii="Times New Roman" w:hAnsi="Times New Roman"/>
                <w:color w:val="auto"/>
                <w:sz w:val="21"/>
                <w:szCs w:val="21"/>
                <w:highlight w:val="none"/>
              </w:rPr>
              <w:t>水</w:t>
            </w:r>
            <w:r>
              <w:rPr>
                <w:rFonts w:hint="eastAsia" w:ascii="Times New Roman" w:hAnsi="Times New Roman"/>
                <w:color w:val="auto"/>
                <w:sz w:val="21"/>
                <w:szCs w:val="21"/>
                <w:highlight w:val="none"/>
              </w:rPr>
              <w:t>81.5</w:t>
            </w:r>
            <w:r>
              <w:rPr>
                <w:rFonts w:ascii="Times New Roman" w:hAnsi="Times New Roman"/>
                <w:color w:val="auto"/>
                <w:sz w:val="21"/>
                <w:szCs w:val="21"/>
                <w:highlight w:val="none"/>
              </w:rPr>
              <w:t>万m</w:t>
            </w:r>
            <w:r>
              <w:rPr>
                <w:rFonts w:ascii="Times New Roman" w:hAnsi="Times New Roman"/>
                <w:color w:val="auto"/>
                <w:sz w:val="21"/>
                <w:szCs w:val="21"/>
                <w:highlight w:val="none"/>
                <w:vertAlign w:val="superscript"/>
              </w:rPr>
              <w:t>3</w:t>
            </w:r>
            <w:r>
              <w:rPr>
                <w:rFonts w:ascii="Times New Roman" w:hAnsi="Times New Roman"/>
                <w:color w:val="auto"/>
                <w:sz w:val="21"/>
                <w:szCs w:val="21"/>
                <w:highlight w:val="none"/>
              </w:rPr>
              <w:t>，毛</w:t>
            </w:r>
            <w:r>
              <w:rPr>
                <w:rFonts w:hint="eastAsia" w:ascii="Times New Roman" w:hAnsi="Times New Roman"/>
                <w:color w:val="auto"/>
                <w:sz w:val="21"/>
                <w:szCs w:val="21"/>
                <w:highlight w:val="none"/>
              </w:rPr>
              <w:t>缺水97.4</w:t>
            </w:r>
            <w:r>
              <w:rPr>
                <w:rFonts w:ascii="Times New Roman" w:hAnsi="Times New Roman"/>
                <w:color w:val="auto"/>
                <w:sz w:val="21"/>
                <w:szCs w:val="21"/>
                <w:highlight w:val="none"/>
              </w:rPr>
              <w:t>万m</w:t>
            </w:r>
            <w:r>
              <w:rPr>
                <w:rFonts w:ascii="Times New Roman" w:hAnsi="Times New Roman"/>
                <w:color w:val="auto"/>
                <w:sz w:val="21"/>
                <w:szCs w:val="21"/>
                <w:highlight w:val="none"/>
                <w:vertAlign w:val="superscript"/>
              </w:rPr>
              <w:t>3</w:t>
            </w:r>
            <w:r>
              <w:rPr>
                <w:rFonts w:hint="eastAsia" w:ascii="Times New Roman" w:hAnsi="Times New Roman"/>
                <w:color w:val="auto"/>
                <w:sz w:val="21"/>
                <w:szCs w:val="21"/>
                <w:highlight w:val="none"/>
              </w:rPr>
              <w:t>。供水区多年需水库毛供水量共218.3</w:t>
            </w:r>
            <w:r>
              <w:rPr>
                <w:rFonts w:ascii="Times New Roman" w:hAnsi="Times New Roman"/>
                <w:color w:val="auto"/>
                <w:sz w:val="21"/>
                <w:szCs w:val="21"/>
                <w:highlight w:val="none"/>
              </w:rPr>
              <w:t>万m</w:t>
            </w:r>
            <w:r>
              <w:rPr>
                <w:rFonts w:ascii="Times New Roman" w:hAnsi="Times New Roman"/>
                <w:color w:val="auto"/>
                <w:sz w:val="21"/>
                <w:szCs w:val="21"/>
                <w:highlight w:val="none"/>
                <w:vertAlign w:val="superscript"/>
              </w:rPr>
              <w:t>3</w:t>
            </w:r>
            <w:r>
              <w:rPr>
                <w:rFonts w:ascii="Times New Roman" w:hAnsi="Times New Roman"/>
                <w:color w:val="auto"/>
                <w:sz w:val="21"/>
                <w:szCs w:val="21"/>
                <w:highlight w:val="none"/>
              </w:rPr>
              <w:t>。</w:t>
            </w:r>
          </w:p>
          <w:p>
            <w:pPr>
              <w:adjustRightInd w:val="0"/>
              <w:snapToGrid w:val="0"/>
              <w:spacing w:line="360" w:lineRule="auto"/>
              <w:ind w:firstLine="420" w:firstLineChars="200"/>
              <w:rPr>
                <w:rFonts w:hint="default"/>
                <w:color w:val="auto"/>
                <w:sz w:val="21"/>
                <w:szCs w:val="21"/>
                <w:highlight w:val="none"/>
                <w:lang w:val="en-US" w:eastAsia="zh-CN"/>
              </w:rPr>
            </w:pPr>
            <w:r>
              <w:rPr>
                <w:rFonts w:hint="eastAsia" w:ascii="Times New Roman" w:hAnsi="Times New Roman"/>
                <w:color w:val="auto"/>
                <w:sz w:val="21"/>
                <w:szCs w:val="21"/>
                <w:highlight w:val="none"/>
              </w:rPr>
              <w:t>在</w:t>
            </w:r>
            <w:r>
              <w:rPr>
                <w:rFonts w:ascii="Times New Roman" w:hAnsi="Times New Roman"/>
                <w:color w:val="auto"/>
                <w:sz w:val="21"/>
                <w:szCs w:val="21"/>
                <w:highlight w:val="none"/>
              </w:rPr>
              <w:t>P=75%典型年</w:t>
            </w:r>
            <w:r>
              <w:rPr>
                <w:rFonts w:hint="eastAsia" w:ascii="Times New Roman" w:hAnsi="Times New Roman"/>
                <w:color w:val="auto"/>
                <w:sz w:val="21"/>
                <w:szCs w:val="21"/>
                <w:highlight w:val="none"/>
              </w:rPr>
              <w:t>，镇村合</w:t>
            </w:r>
            <w:r>
              <w:rPr>
                <w:rFonts w:ascii="Times New Roman" w:hAnsi="Times New Roman"/>
                <w:color w:val="auto"/>
                <w:sz w:val="21"/>
                <w:szCs w:val="21"/>
                <w:highlight w:val="none"/>
              </w:rPr>
              <w:t>计净</w:t>
            </w:r>
            <w:r>
              <w:rPr>
                <w:rFonts w:hint="eastAsia" w:ascii="Times New Roman" w:hAnsi="Times New Roman"/>
                <w:color w:val="auto"/>
                <w:sz w:val="21"/>
                <w:szCs w:val="21"/>
                <w:highlight w:val="none"/>
              </w:rPr>
              <w:t>缺水118.5</w:t>
            </w:r>
            <w:r>
              <w:rPr>
                <w:rFonts w:ascii="Times New Roman" w:hAnsi="Times New Roman"/>
                <w:color w:val="auto"/>
                <w:sz w:val="21"/>
                <w:szCs w:val="21"/>
                <w:highlight w:val="none"/>
              </w:rPr>
              <w:t>万m</w:t>
            </w:r>
            <w:r>
              <w:rPr>
                <w:rFonts w:ascii="Times New Roman" w:hAnsi="Times New Roman"/>
                <w:color w:val="auto"/>
                <w:sz w:val="21"/>
                <w:szCs w:val="21"/>
                <w:highlight w:val="none"/>
                <w:vertAlign w:val="superscript"/>
              </w:rPr>
              <w:t>3</w:t>
            </w:r>
            <w:r>
              <w:rPr>
                <w:rFonts w:hint="eastAsia" w:ascii="Times New Roman" w:hAnsi="Times New Roman"/>
                <w:color w:val="auto"/>
                <w:sz w:val="21"/>
                <w:szCs w:val="21"/>
                <w:highlight w:val="none"/>
              </w:rPr>
              <w:t>，毛缺水120.9</w:t>
            </w:r>
            <w:r>
              <w:rPr>
                <w:rFonts w:ascii="Times New Roman" w:hAnsi="Times New Roman"/>
                <w:color w:val="auto"/>
                <w:sz w:val="21"/>
                <w:szCs w:val="21"/>
                <w:highlight w:val="none"/>
              </w:rPr>
              <w:t>万m</w:t>
            </w:r>
            <w:r>
              <w:rPr>
                <w:rFonts w:ascii="Times New Roman" w:hAnsi="Times New Roman"/>
                <w:color w:val="auto"/>
                <w:sz w:val="21"/>
                <w:szCs w:val="21"/>
                <w:highlight w:val="none"/>
                <w:vertAlign w:val="superscript"/>
              </w:rPr>
              <w:t>3</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灌</w:t>
            </w:r>
            <w:r>
              <w:rPr>
                <w:rFonts w:hint="eastAsia" w:ascii="Times New Roman" w:hAnsi="Times New Roman"/>
                <w:color w:val="auto"/>
                <w:sz w:val="21"/>
                <w:szCs w:val="21"/>
                <w:highlight w:val="none"/>
              </w:rPr>
              <w:t>区</w:t>
            </w:r>
            <w:r>
              <w:rPr>
                <w:rFonts w:ascii="Times New Roman" w:hAnsi="Times New Roman"/>
                <w:color w:val="auto"/>
                <w:sz w:val="21"/>
                <w:szCs w:val="21"/>
                <w:highlight w:val="none"/>
              </w:rPr>
              <w:t>净需水</w:t>
            </w:r>
            <w:r>
              <w:rPr>
                <w:rFonts w:hint="eastAsia" w:ascii="Times New Roman" w:hAnsi="Times New Roman"/>
                <w:color w:val="auto"/>
                <w:sz w:val="21"/>
                <w:szCs w:val="21"/>
                <w:highlight w:val="none"/>
              </w:rPr>
              <w:t>98.1</w:t>
            </w:r>
            <w:r>
              <w:rPr>
                <w:rFonts w:ascii="Times New Roman" w:hAnsi="Times New Roman"/>
                <w:color w:val="auto"/>
                <w:sz w:val="21"/>
                <w:szCs w:val="21"/>
                <w:highlight w:val="none"/>
              </w:rPr>
              <w:t>万m</w:t>
            </w:r>
            <w:r>
              <w:rPr>
                <w:rFonts w:ascii="Times New Roman" w:hAnsi="Times New Roman"/>
                <w:color w:val="auto"/>
                <w:sz w:val="21"/>
                <w:szCs w:val="21"/>
                <w:highlight w:val="none"/>
                <w:vertAlign w:val="superscript"/>
              </w:rPr>
              <w:t>3</w:t>
            </w:r>
            <w:r>
              <w:rPr>
                <w:rFonts w:ascii="Times New Roman" w:hAnsi="Times New Roman"/>
                <w:color w:val="auto"/>
                <w:sz w:val="21"/>
                <w:szCs w:val="21"/>
                <w:highlight w:val="none"/>
              </w:rPr>
              <w:t>，扣除水利设施供水</w:t>
            </w:r>
            <w:r>
              <w:rPr>
                <w:rFonts w:hint="eastAsia" w:ascii="Times New Roman" w:hAnsi="Times New Roman"/>
                <w:color w:val="auto"/>
                <w:sz w:val="21"/>
                <w:szCs w:val="21"/>
                <w:highlight w:val="none"/>
              </w:rPr>
              <w:t>4.0</w:t>
            </w:r>
            <w:r>
              <w:rPr>
                <w:rFonts w:ascii="Times New Roman" w:hAnsi="Times New Roman"/>
                <w:color w:val="auto"/>
                <w:sz w:val="21"/>
                <w:szCs w:val="21"/>
                <w:highlight w:val="none"/>
              </w:rPr>
              <w:t>万m</w:t>
            </w:r>
            <w:r>
              <w:rPr>
                <w:rFonts w:ascii="Times New Roman" w:hAnsi="Times New Roman"/>
                <w:color w:val="auto"/>
                <w:sz w:val="21"/>
                <w:szCs w:val="21"/>
                <w:highlight w:val="none"/>
                <w:vertAlign w:val="superscript"/>
              </w:rPr>
              <w:t>3</w:t>
            </w:r>
            <w:r>
              <w:rPr>
                <w:rFonts w:ascii="Times New Roman" w:hAnsi="Times New Roman"/>
                <w:color w:val="auto"/>
                <w:sz w:val="21"/>
                <w:szCs w:val="21"/>
                <w:highlight w:val="none"/>
              </w:rPr>
              <w:t>，净</w:t>
            </w:r>
            <w:r>
              <w:rPr>
                <w:rFonts w:hint="eastAsia" w:ascii="Times New Roman" w:hAnsi="Times New Roman"/>
                <w:color w:val="auto"/>
                <w:sz w:val="21"/>
                <w:szCs w:val="21"/>
                <w:highlight w:val="none"/>
              </w:rPr>
              <w:t>缺</w:t>
            </w:r>
            <w:r>
              <w:rPr>
                <w:rFonts w:ascii="Times New Roman" w:hAnsi="Times New Roman"/>
                <w:color w:val="auto"/>
                <w:sz w:val="21"/>
                <w:szCs w:val="21"/>
                <w:highlight w:val="none"/>
              </w:rPr>
              <w:t>水</w:t>
            </w:r>
            <w:r>
              <w:rPr>
                <w:rFonts w:hint="eastAsia" w:ascii="Times New Roman" w:hAnsi="Times New Roman"/>
                <w:color w:val="auto"/>
                <w:sz w:val="21"/>
                <w:szCs w:val="21"/>
                <w:highlight w:val="none"/>
              </w:rPr>
              <w:t>94.1</w:t>
            </w:r>
            <w:r>
              <w:rPr>
                <w:rFonts w:ascii="Times New Roman" w:hAnsi="Times New Roman"/>
                <w:color w:val="auto"/>
                <w:sz w:val="21"/>
                <w:szCs w:val="21"/>
                <w:highlight w:val="none"/>
              </w:rPr>
              <w:t>万m</w:t>
            </w:r>
            <w:r>
              <w:rPr>
                <w:rFonts w:ascii="Times New Roman" w:hAnsi="Times New Roman"/>
                <w:color w:val="auto"/>
                <w:sz w:val="21"/>
                <w:szCs w:val="21"/>
                <w:highlight w:val="none"/>
                <w:vertAlign w:val="superscript"/>
              </w:rPr>
              <w:t>3</w:t>
            </w:r>
            <w:r>
              <w:rPr>
                <w:rFonts w:ascii="Times New Roman" w:hAnsi="Times New Roman"/>
                <w:color w:val="auto"/>
                <w:sz w:val="21"/>
                <w:szCs w:val="21"/>
                <w:highlight w:val="none"/>
              </w:rPr>
              <w:t>，毛</w:t>
            </w:r>
            <w:r>
              <w:rPr>
                <w:rFonts w:hint="eastAsia" w:ascii="Times New Roman" w:hAnsi="Times New Roman"/>
                <w:color w:val="auto"/>
                <w:sz w:val="21"/>
                <w:szCs w:val="21"/>
                <w:highlight w:val="none"/>
              </w:rPr>
              <w:t>缺水112.5</w:t>
            </w:r>
            <w:r>
              <w:rPr>
                <w:rFonts w:ascii="Times New Roman" w:hAnsi="Times New Roman"/>
                <w:color w:val="auto"/>
                <w:sz w:val="21"/>
                <w:szCs w:val="21"/>
                <w:highlight w:val="none"/>
              </w:rPr>
              <w:t>万m</w:t>
            </w:r>
            <w:r>
              <w:rPr>
                <w:rFonts w:ascii="Times New Roman" w:hAnsi="Times New Roman"/>
                <w:color w:val="auto"/>
                <w:sz w:val="21"/>
                <w:szCs w:val="21"/>
                <w:highlight w:val="none"/>
                <w:vertAlign w:val="superscript"/>
              </w:rPr>
              <w:t>3</w:t>
            </w:r>
            <w:r>
              <w:rPr>
                <w:rFonts w:hint="eastAsia" w:ascii="Times New Roman" w:hAnsi="Times New Roman"/>
                <w:color w:val="auto"/>
                <w:sz w:val="21"/>
                <w:szCs w:val="21"/>
                <w:highlight w:val="none"/>
              </w:rPr>
              <w:t>。供水区在</w:t>
            </w:r>
            <w:r>
              <w:rPr>
                <w:rFonts w:ascii="Times New Roman" w:hAnsi="Times New Roman"/>
                <w:color w:val="auto"/>
                <w:sz w:val="21"/>
                <w:szCs w:val="21"/>
                <w:highlight w:val="none"/>
              </w:rPr>
              <w:t>P=75%典型年</w:t>
            </w:r>
            <w:r>
              <w:rPr>
                <w:rFonts w:hint="eastAsia" w:ascii="Times New Roman" w:hAnsi="Times New Roman"/>
                <w:color w:val="auto"/>
                <w:sz w:val="21"/>
                <w:szCs w:val="21"/>
                <w:highlight w:val="none"/>
              </w:rPr>
              <w:t>缺水量共233.4</w:t>
            </w:r>
            <w:r>
              <w:rPr>
                <w:rFonts w:ascii="Times New Roman" w:hAnsi="Times New Roman"/>
                <w:color w:val="auto"/>
                <w:sz w:val="21"/>
                <w:szCs w:val="21"/>
                <w:highlight w:val="none"/>
              </w:rPr>
              <w:t>万m</w:t>
            </w:r>
            <w:r>
              <w:rPr>
                <w:rFonts w:ascii="Times New Roman" w:hAnsi="Times New Roman"/>
                <w:color w:val="auto"/>
                <w:sz w:val="21"/>
                <w:szCs w:val="21"/>
                <w:highlight w:val="none"/>
                <w:vertAlign w:val="superscript"/>
              </w:rPr>
              <w:t>3</w:t>
            </w:r>
            <w:r>
              <w:rPr>
                <w:rFonts w:ascii="Times New Roman" w:hAnsi="Times New Roman"/>
                <w:color w:val="auto"/>
                <w:sz w:val="21"/>
                <w:szCs w:val="21"/>
                <w:highlight w:val="none"/>
              </w:rPr>
              <w:t>。</w:t>
            </w:r>
          </w:p>
          <w:p>
            <w:pPr>
              <w:adjustRightInd w:val="0"/>
              <w:snapToGrid w:val="0"/>
              <w:spacing w:line="360" w:lineRule="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2.</w:t>
            </w:r>
            <w:r>
              <w:rPr>
                <w:rFonts w:hint="default" w:ascii="Times New Roman" w:hAnsi="Times New Roman" w:cs="Times New Roman"/>
                <w:b/>
                <w:color w:val="auto"/>
                <w:sz w:val="21"/>
                <w:szCs w:val="21"/>
                <w:highlight w:val="none"/>
                <w:lang w:val="en-US" w:eastAsia="zh-CN"/>
              </w:rPr>
              <w:t>2.2</w:t>
            </w:r>
            <w:r>
              <w:rPr>
                <w:rFonts w:hint="default" w:ascii="Times New Roman" w:hAnsi="Times New Roman" w:eastAsia="宋体" w:cs="Times New Roman"/>
                <w:b/>
                <w:color w:val="auto"/>
                <w:sz w:val="21"/>
                <w:szCs w:val="21"/>
                <w:highlight w:val="none"/>
                <w:lang w:val="en-US" w:eastAsia="zh-CN"/>
              </w:rPr>
              <w:t>.</w:t>
            </w:r>
            <w:r>
              <w:rPr>
                <w:rFonts w:hint="eastAsia" w:cs="Times New Roman"/>
                <w:b/>
                <w:color w:val="auto"/>
                <w:sz w:val="21"/>
                <w:szCs w:val="21"/>
                <w:highlight w:val="none"/>
                <w:lang w:val="en-US" w:eastAsia="zh-CN"/>
              </w:rPr>
              <w:t>2天然来水量</w:t>
            </w:r>
          </w:p>
          <w:p>
            <w:pPr>
              <w:adjustRightInd w:val="0"/>
              <w:snapToGrid w:val="0"/>
              <w:spacing w:line="360" w:lineRule="auto"/>
              <w:ind w:firstLine="420" w:firstLineChars="200"/>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olor w:val="auto"/>
                <w:sz w:val="21"/>
                <w:szCs w:val="21"/>
                <w:highlight w:val="none"/>
              </w:rPr>
              <w:t>坝址位于堰沟右支沟下游峡口段、汇口上游0.3km处，</w:t>
            </w:r>
            <w:r>
              <w:rPr>
                <w:rFonts w:hint="eastAsia" w:ascii="Times New Roman" w:hAnsi="Times New Roman"/>
                <w:color w:val="auto"/>
                <w:sz w:val="21"/>
                <w:szCs w:val="21"/>
                <w:highlight w:val="none"/>
                <w:shd w:val="clear" w:color="auto" w:fill="FFFFFF"/>
              </w:rPr>
              <w:t>堰沟</w:t>
            </w:r>
            <w:r>
              <w:rPr>
                <w:rFonts w:ascii="Times New Roman" w:hAnsi="Times New Roman"/>
                <w:color w:val="auto"/>
                <w:sz w:val="21"/>
                <w:szCs w:val="21"/>
                <w:highlight w:val="none"/>
                <w:shd w:val="clear" w:color="auto" w:fill="FFFFFF"/>
              </w:rPr>
              <w:t>水库坝址以上集水面积1.57km</w:t>
            </w:r>
            <w:r>
              <w:rPr>
                <w:rFonts w:ascii="Times New Roman" w:hAnsi="Times New Roman"/>
                <w:color w:val="auto"/>
                <w:sz w:val="21"/>
                <w:szCs w:val="21"/>
                <w:highlight w:val="none"/>
                <w:shd w:val="clear" w:color="auto" w:fill="FFFFFF"/>
                <w:vertAlign w:val="superscript"/>
              </w:rPr>
              <w:t>2</w:t>
            </w:r>
            <w:r>
              <w:rPr>
                <w:rFonts w:ascii="Times New Roman" w:hAnsi="Times New Roman"/>
                <w:color w:val="auto"/>
                <w:sz w:val="21"/>
                <w:szCs w:val="21"/>
                <w:highlight w:val="none"/>
                <w:shd w:val="clear" w:color="auto" w:fill="FFFFFF"/>
              </w:rPr>
              <w:t>，水库坝址处多年平均年来水量</w:t>
            </w:r>
            <w:r>
              <w:rPr>
                <w:rFonts w:hint="eastAsia" w:ascii="Times New Roman" w:hAnsi="Times New Roman"/>
                <w:color w:val="auto"/>
                <w:sz w:val="21"/>
                <w:szCs w:val="21"/>
                <w:highlight w:val="none"/>
                <w:shd w:val="clear" w:color="auto" w:fill="FFFFFF"/>
              </w:rPr>
              <w:t>89.4</w:t>
            </w:r>
            <w:r>
              <w:rPr>
                <w:rFonts w:ascii="Times New Roman" w:hAnsi="Times New Roman"/>
                <w:color w:val="auto"/>
                <w:sz w:val="21"/>
                <w:szCs w:val="21"/>
                <w:highlight w:val="none"/>
                <w:shd w:val="clear" w:color="auto" w:fill="FFFFFF"/>
              </w:rPr>
              <w:t>万m</w:t>
            </w:r>
            <w:r>
              <w:rPr>
                <w:rFonts w:ascii="Times New Roman" w:hAnsi="Times New Roman"/>
                <w:color w:val="auto"/>
                <w:sz w:val="21"/>
                <w:szCs w:val="21"/>
                <w:highlight w:val="none"/>
                <w:shd w:val="clear" w:color="auto" w:fill="FFFFFF"/>
                <w:vertAlign w:val="superscript"/>
              </w:rPr>
              <w:t>3</w:t>
            </w:r>
            <w:r>
              <w:rPr>
                <w:rFonts w:ascii="Times New Roman" w:hAnsi="Times New Roman"/>
                <w:color w:val="auto"/>
                <w:sz w:val="21"/>
                <w:szCs w:val="21"/>
                <w:highlight w:val="none"/>
                <w:shd w:val="clear" w:color="auto" w:fill="FFFFFF"/>
              </w:rPr>
              <w:t>。</w:t>
            </w:r>
          </w:p>
          <w:p>
            <w:pPr>
              <w:adjustRightInd w:val="0"/>
              <w:snapToGrid w:val="0"/>
              <w:spacing w:line="360" w:lineRule="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2.</w:t>
            </w:r>
            <w:r>
              <w:rPr>
                <w:rFonts w:hint="default" w:ascii="Times New Roman" w:hAnsi="Times New Roman" w:cs="Times New Roman"/>
                <w:b/>
                <w:color w:val="auto"/>
                <w:sz w:val="21"/>
                <w:szCs w:val="21"/>
                <w:highlight w:val="none"/>
                <w:lang w:val="en-US" w:eastAsia="zh-CN"/>
              </w:rPr>
              <w:t>2.2</w:t>
            </w:r>
            <w:r>
              <w:rPr>
                <w:rFonts w:hint="default" w:ascii="Times New Roman" w:hAnsi="Times New Roman" w:eastAsia="宋体" w:cs="Times New Roman"/>
                <w:b/>
                <w:color w:val="auto"/>
                <w:sz w:val="21"/>
                <w:szCs w:val="21"/>
                <w:highlight w:val="none"/>
                <w:lang w:val="en-US" w:eastAsia="zh-CN"/>
              </w:rPr>
              <w:t>.</w:t>
            </w:r>
            <w:r>
              <w:rPr>
                <w:rFonts w:hint="eastAsia" w:cs="Times New Roman"/>
                <w:b/>
                <w:color w:val="auto"/>
                <w:sz w:val="21"/>
                <w:szCs w:val="21"/>
                <w:highlight w:val="none"/>
                <w:lang w:val="en-US" w:eastAsia="zh-CN"/>
              </w:rPr>
              <w:t>3堰沟主沟补</w:t>
            </w:r>
            <w:r>
              <w:rPr>
                <w:rFonts w:hint="default" w:ascii="Times New Roman" w:hAnsi="Times New Roman" w:eastAsia="宋体" w:cs="Times New Roman"/>
                <w:b/>
                <w:color w:val="auto"/>
                <w:sz w:val="21"/>
                <w:szCs w:val="21"/>
                <w:highlight w:val="none"/>
                <w:lang w:val="en-US" w:eastAsia="zh-CN"/>
              </w:rPr>
              <w:t>水量</w:t>
            </w:r>
          </w:p>
          <w:p>
            <w:pPr>
              <w:adjustRightInd w:val="0"/>
              <w:snapToGrid w:val="0"/>
              <w:spacing w:line="360" w:lineRule="auto"/>
              <w:ind w:firstLine="420" w:firstLineChars="200"/>
              <w:rPr>
                <w:rFonts w:hint="eastAsia" w:ascii="Times New Roman" w:hAnsi="Times New Roman" w:eastAsia="宋体" w:cs="Times New Roman"/>
                <w:b w:val="0"/>
                <w:bCs/>
                <w:color w:val="auto"/>
                <w:sz w:val="21"/>
                <w:szCs w:val="21"/>
                <w:highlight w:val="none"/>
                <w:lang w:val="en-US" w:eastAsia="zh-CN"/>
              </w:rPr>
            </w:pPr>
            <w:r>
              <w:rPr>
                <w:rFonts w:hint="eastAsia"/>
                <w:color w:val="auto"/>
                <w:sz w:val="21"/>
                <w:szCs w:val="21"/>
                <w:highlight w:val="none"/>
                <w:lang w:val="en-US" w:eastAsia="zh-CN"/>
              </w:rPr>
              <w:t>项目</w:t>
            </w:r>
            <w:r>
              <w:rPr>
                <w:rFonts w:hint="eastAsia" w:ascii="Times New Roman" w:hAnsi="Times New Roman"/>
                <w:color w:val="auto"/>
                <w:sz w:val="21"/>
                <w:szCs w:val="21"/>
                <w:highlight w:val="none"/>
              </w:rPr>
              <w:t>选择临近的堰沟主沟进行补水。</w:t>
            </w:r>
            <w:r>
              <w:rPr>
                <w:rFonts w:ascii="Times New Roman" w:hAnsi="Times New Roman"/>
                <w:color w:val="auto"/>
                <w:sz w:val="21"/>
                <w:szCs w:val="21"/>
                <w:highlight w:val="none"/>
              </w:rPr>
              <w:t>补水坝址位于</w:t>
            </w:r>
            <w:r>
              <w:rPr>
                <w:rFonts w:hint="eastAsia" w:ascii="Times New Roman" w:hAnsi="Times New Roman"/>
                <w:color w:val="auto"/>
                <w:sz w:val="21"/>
                <w:szCs w:val="21"/>
                <w:highlight w:val="none"/>
              </w:rPr>
              <w:t>原</w:t>
            </w:r>
            <w:r>
              <w:rPr>
                <w:rFonts w:ascii="Times New Roman" w:hAnsi="Times New Roman" w:cs="Times New Roman"/>
                <w:color w:val="auto"/>
                <w:sz w:val="21"/>
                <w:szCs w:val="21"/>
                <w:highlight w:val="none"/>
                <w:u w:color="FF0000"/>
              </w:rPr>
              <w:t>花池水厂石河堰上游0.4km处，</w:t>
            </w:r>
            <w:r>
              <w:rPr>
                <w:rFonts w:ascii="Times New Roman" w:hAnsi="Times New Roman" w:cs="Times New Roman"/>
                <w:color w:val="auto"/>
                <w:sz w:val="21"/>
                <w:szCs w:val="21"/>
                <w:highlight w:val="none"/>
              </w:rPr>
              <w:t>补水</w:t>
            </w:r>
            <w:r>
              <w:rPr>
                <w:rFonts w:ascii="Times New Roman" w:hAnsi="Times New Roman"/>
                <w:color w:val="auto"/>
                <w:sz w:val="21"/>
                <w:szCs w:val="21"/>
                <w:highlight w:val="none"/>
              </w:rPr>
              <w:t>线路1.4km</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河床高程</w:t>
            </w:r>
            <w:r>
              <w:rPr>
                <w:rFonts w:hint="eastAsia" w:ascii="Times New Roman" w:hAnsi="Times New Roman"/>
                <w:color w:val="auto"/>
                <w:sz w:val="21"/>
                <w:szCs w:val="21"/>
                <w:highlight w:val="none"/>
              </w:rPr>
              <w:t>62</w:t>
            </w:r>
            <w:r>
              <w:rPr>
                <w:rFonts w:ascii="Times New Roman" w:hAnsi="Times New Roman"/>
                <w:color w:val="auto"/>
                <w:sz w:val="21"/>
                <w:szCs w:val="21"/>
                <w:highlight w:val="none"/>
              </w:rPr>
              <w:t>8m左右，高于堰沟水库正常蓄水位</w:t>
            </w:r>
            <w:r>
              <w:rPr>
                <w:rFonts w:hint="eastAsia" w:ascii="Times New Roman" w:hAnsi="Times New Roman"/>
                <w:color w:val="auto"/>
                <w:sz w:val="21"/>
                <w:szCs w:val="21"/>
                <w:highlight w:val="none"/>
              </w:rPr>
              <w:t>609.00m</w:t>
            </w:r>
            <w:r>
              <w:rPr>
                <w:rFonts w:hint="eastAsia"/>
                <w:color w:val="auto"/>
                <w:sz w:val="21"/>
                <w:szCs w:val="21"/>
                <w:highlight w:val="none"/>
                <w:lang w:eastAsia="zh-CN"/>
              </w:rPr>
              <w:t>。</w:t>
            </w:r>
            <w:r>
              <w:rPr>
                <w:rFonts w:hint="eastAsia" w:ascii="Times New Roman" w:hAnsi="Times New Roman"/>
                <w:color w:val="auto"/>
                <w:sz w:val="21"/>
                <w:szCs w:val="21"/>
                <w:highlight w:val="none"/>
              </w:rPr>
              <w:t>堰沟主沟补水</w:t>
            </w:r>
            <w:r>
              <w:rPr>
                <w:rFonts w:ascii="Times New Roman" w:hAnsi="Times New Roman"/>
                <w:color w:val="auto"/>
                <w:sz w:val="21"/>
                <w:szCs w:val="21"/>
                <w:highlight w:val="none"/>
              </w:rPr>
              <w:t>坝址以上</w:t>
            </w:r>
            <w:r>
              <w:rPr>
                <w:rFonts w:ascii="Times New Roman" w:hAnsi="Times New Roman"/>
                <w:color w:val="auto"/>
                <w:sz w:val="21"/>
                <w:szCs w:val="21"/>
                <w:highlight w:val="none"/>
                <w:shd w:val="clear" w:color="auto" w:fill="FFFFFF"/>
              </w:rPr>
              <w:t>控制集水面积5.78km</w:t>
            </w:r>
            <w:r>
              <w:rPr>
                <w:rFonts w:ascii="Times New Roman" w:hAnsi="Times New Roman"/>
                <w:color w:val="auto"/>
                <w:sz w:val="21"/>
                <w:szCs w:val="21"/>
                <w:highlight w:val="none"/>
                <w:shd w:val="clear" w:color="auto" w:fill="FFFFFF"/>
                <w:vertAlign w:val="superscript"/>
              </w:rPr>
              <w:t>2</w:t>
            </w:r>
            <w:r>
              <w:rPr>
                <w:rFonts w:ascii="Times New Roman" w:hAnsi="Times New Roman"/>
                <w:color w:val="auto"/>
                <w:sz w:val="21"/>
                <w:szCs w:val="21"/>
                <w:highlight w:val="none"/>
                <w:shd w:val="clear" w:color="auto" w:fill="FFFFFF"/>
              </w:rPr>
              <w:t>，</w:t>
            </w:r>
            <w:r>
              <w:rPr>
                <w:rFonts w:ascii="Times New Roman" w:hAnsi="Times New Roman" w:cs="Times New Roman"/>
                <w:color w:val="auto"/>
                <w:sz w:val="21"/>
                <w:szCs w:val="21"/>
                <w:highlight w:val="none"/>
              </w:rPr>
              <w:t>多年平均流量0.104m</w:t>
            </w:r>
            <w:r>
              <w:rPr>
                <w:rFonts w:ascii="Times New Roman" w:hAnsi="Times New Roman" w:cs="Times New Roman"/>
                <w:color w:val="auto"/>
                <w:sz w:val="21"/>
                <w:szCs w:val="21"/>
                <w:highlight w:val="none"/>
                <w:vertAlign w:val="superscript"/>
              </w:rPr>
              <w:t>3</w:t>
            </w:r>
            <w:r>
              <w:rPr>
                <w:rFonts w:ascii="Times New Roman" w:hAnsi="Times New Roman" w:cs="Times New Roman"/>
                <w:color w:val="auto"/>
                <w:sz w:val="21"/>
                <w:szCs w:val="21"/>
                <w:highlight w:val="none"/>
              </w:rPr>
              <w:t>/s，</w:t>
            </w:r>
            <w:r>
              <w:rPr>
                <w:rFonts w:ascii="Times New Roman" w:hAnsi="Times New Roman"/>
                <w:color w:val="auto"/>
                <w:sz w:val="21"/>
                <w:szCs w:val="21"/>
                <w:highlight w:val="none"/>
                <w:shd w:val="clear" w:color="auto" w:fill="FFFFFF"/>
              </w:rPr>
              <w:t>多年平均（</w:t>
            </w:r>
            <w:r>
              <w:rPr>
                <w:rFonts w:ascii="Times New Roman" w:hAnsi="Times New Roman" w:cs="Times New Roman"/>
                <w:color w:val="auto"/>
                <w:sz w:val="21"/>
                <w:szCs w:val="21"/>
                <w:highlight w:val="none"/>
              </w:rPr>
              <w:t>水利年</w:t>
            </w:r>
            <w:r>
              <w:rPr>
                <w:rFonts w:ascii="Times New Roman" w:hAnsi="Times New Roman"/>
                <w:color w:val="auto"/>
                <w:sz w:val="21"/>
                <w:szCs w:val="21"/>
                <w:highlight w:val="none"/>
                <w:shd w:val="clear" w:color="auto" w:fill="FFFFFF"/>
              </w:rPr>
              <w:t>）来水</w:t>
            </w:r>
            <w:r>
              <w:rPr>
                <w:rFonts w:hint="eastAsia" w:ascii="Times New Roman" w:hAnsi="Times New Roman"/>
                <w:color w:val="auto"/>
                <w:sz w:val="21"/>
                <w:szCs w:val="21"/>
                <w:highlight w:val="none"/>
                <w:shd w:val="clear" w:color="auto" w:fill="FFFFFF"/>
              </w:rPr>
              <w:t>329.1</w:t>
            </w:r>
            <w:r>
              <w:rPr>
                <w:rFonts w:ascii="Times New Roman" w:hAnsi="Times New Roman"/>
                <w:color w:val="auto"/>
                <w:sz w:val="21"/>
                <w:szCs w:val="21"/>
                <w:highlight w:val="none"/>
                <w:shd w:val="clear" w:color="auto" w:fill="FFFFFF"/>
              </w:rPr>
              <w:t>万m</w:t>
            </w:r>
            <w:r>
              <w:rPr>
                <w:rFonts w:ascii="Times New Roman" w:hAnsi="Times New Roman"/>
                <w:color w:val="auto"/>
                <w:sz w:val="21"/>
                <w:szCs w:val="21"/>
                <w:highlight w:val="none"/>
                <w:shd w:val="clear" w:color="auto" w:fill="FFFFFF"/>
                <w:vertAlign w:val="superscript"/>
              </w:rPr>
              <w:t>3</w:t>
            </w:r>
            <w:r>
              <w:rPr>
                <w:rFonts w:ascii="Times New Roman" w:hAnsi="Times New Roman"/>
                <w:color w:val="auto"/>
                <w:sz w:val="21"/>
                <w:szCs w:val="21"/>
                <w:highlight w:val="none"/>
                <w:shd w:val="clear" w:color="auto" w:fill="FFFFFF"/>
              </w:rPr>
              <w:t>，下泄流量为0.01</w:t>
            </w:r>
            <w:r>
              <w:rPr>
                <w:rFonts w:hint="eastAsia" w:ascii="Times New Roman" w:hAnsi="Times New Roman"/>
                <w:color w:val="auto"/>
                <w:sz w:val="21"/>
                <w:szCs w:val="21"/>
                <w:highlight w:val="none"/>
                <w:shd w:val="clear" w:color="auto" w:fill="FFFFFF"/>
              </w:rPr>
              <w:t>6</w:t>
            </w:r>
            <w:r>
              <w:rPr>
                <w:rFonts w:ascii="Times New Roman" w:hAnsi="Times New Roman"/>
                <w:color w:val="auto"/>
                <w:sz w:val="21"/>
                <w:szCs w:val="21"/>
                <w:highlight w:val="none"/>
                <w:shd w:val="clear" w:color="auto" w:fill="FFFFFF"/>
              </w:rPr>
              <w:t>m</w:t>
            </w:r>
            <w:r>
              <w:rPr>
                <w:rFonts w:ascii="Times New Roman" w:hAnsi="Times New Roman"/>
                <w:color w:val="auto"/>
                <w:sz w:val="21"/>
                <w:szCs w:val="21"/>
                <w:highlight w:val="none"/>
                <w:shd w:val="clear" w:color="auto" w:fill="FFFFFF"/>
                <w:vertAlign w:val="superscript"/>
              </w:rPr>
              <w:t>3</w:t>
            </w:r>
            <w:r>
              <w:rPr>
                <w:rFonts w:ascii="Times New Roman" w:hAnsi="Times New Roman"/>
                <w:color w:val="auto"/>
                <w:sz w:val="21"/>
                <w:szCs w:val="21"/>
                <w:highlight w:val="none"/>
                <w:shd w:val="clear" w:color="auto" w:fill="FFFFFF"/>
              </w:rPr>
              <w:t>/s，折合年水量</w:t>
            </w:r>
            <w:r>
              <w:rPr>
                <w:rFonts w:hint="eastAsia" w:ascii="Times New Roman" w:hAnsi="Times New Roman"/>
                <w:color w:val="auto"/>
                <w:sz w:val="21"/>
                <w:szCs w:val="21"/>
                <w:highlight w:val="none"/>
                <w:shd w:val="clear" w:color="auto" w:fill="FFFFFF"/>
              </w:rPr>
              <w:t>49.4</w:t>
            </w:r>
            <w:r>
              <w:rPr>
                <w:rFonts w:ascii="Times New Roman" w:hAnsi="Times New Roman"/>
                <w:color w:val="auto"/>
                <w:sz w:val="21"/>
                <w:szCs w:val="21"/>
                <w:highlight w:val="none"/>
                <w:shd w:val="clear" w:color="auto" w:fill="FFFFFF"/>
              </w:rPr>
              <w:t>万m</w:t>
            </w:r>
            <w:r>
              <w:rPr>
                <w:rFonts w:ascii="Times New Roman" w:hAnsi="Times New Roman"/>
                <w:color w:val="auto"/>
                <w:sz w:val="21"/>
                <w:szCs w:val="21"/>
                <w:highlight w:val="none"/>
                <w:shd w:val="clear" w:color="auto" w:fill="FFFFFF"/>
                <w:vertAlign w:val="superscript"/>
              </w:rPr>
              <w:t>3</w:t>
            </w:r>
            <w:r>
              <w:rPr>
                <w:rFonts w:ascii="Times New Roman" w:hAnsi="Times New Roman"/>
                <w:color w:val="auto"/>
                <w:sz w:val="21"/>
                <w:szCs w:val="21"/>
                <w:highlight w:val="none"/>
                <w:shd w:val="clear" w:color="auto" w:fill="FFFFFF"/>
              </w:rPr>
              <w:t>，故最大可引水量为</w:t>
            </w:r>
            <w:r>
              <w:rPr>
                <w:rFonts w:hint="eastAsia" w:ascii="Times New Roman" w:hAnsi="Times New Roman"/>
                <w:color w:val="auto"/>
                <w:sz w:val="21"/>
                <w:szCs w:val="21"/>
                <w:highlight w:val="none"/>
                <w:shd w:val="clear" w:color="auto" w:fill="FFFFFF"/>
              </w:rPr>
              <w:t>291.3</w:t>
            </w:r>
            <w:r>
              <w:rPr>
                <w:rFonts w:ascii="Times New Roman" w:hAnsi="Times New Roman"/>
                <w:color w:val="auto"/>
                <w:sz w:val="21"/>
                <w:szCs w:val="21"/>
                <w:highlight w:val="none"/>
                <w:shd w:val="clear" w:color="auto" w:fill="FFFFFF"/>
              </w:rPr>
              <w:t>万m</w:t>
            </w:r>
            <w:r>
              <w:rPr>
                <w:rFonts w:ascii="Times New Roman" w:hAnsi="Times New Roman"/>
                <w:color w:val="auto"/>
                <w:sz w:val="21"/>
                <w:szCs w:val="21"/>
                <w:highlight w:val="none"/>
                <w:shd w:val="clear" w:color="auto" w:fill="FFFFFF"/>
                <w:vertAlign w:val="superscript"/>
              </w:rPr>
              <w:t>3</w:t>
            </w:r>
            <w:r>
              <w:rPr>
                <w:rFonts w:ascii="Times New Roman" w:hAnsi="Times New Roman"/>
                <w:color w:val="auto"/>
                <w:sz w:val="21"/>
                <w:szCs w:val="21"/>
                <w:highlight w:val="none"/>
                <w:shd w:val="clear" w:color="auto" w:fill="FFFFFF"/>
              </w:rPr>
              <w:t>。</w:t>
            </w:r>
          </w:p>
          <w:p>
            <w:pPr>
              <w:adjustRightInd w:val="0"/>
              <w:snapToGrid w:val="0"/>
              <w:spacing w:line="360" w:lineRule="auto"/>
              <w:ind w:firstLine="420" w:firstLineChars="200"/>
              <w:rPr>
                <w:rFonts w:hint="default" w:ascii="Times New Roman" w:hAnsi="Times New Roman" w:eastAsia="宋体" w:cs="Times New Roman"/>
                <w:b w:val="0"/>
                <w:bCs/>
                <w:color w:val="auto"/>
                <w:sz w:val="21"/>
                <w:szCs w:val="21"/>
                <w:highlight w:val="none"/>
                <w:lang w:val="en-US" w:eastAsia="zh-CN"/>
              </w:rPr>
            </w:pPr>
            <w:r>
              <w:rPr>
                <w:rFonts w:hint="eastAsia"/>
                <w:color w:val="auto"/>
                <w:highlight w:val="none"/>
                <w:lang w:val="en-US" w:eastAsia="zh-CN"/>
              </w:rPr>
              <w:t>根据初步设计预测，补水坝址处</w:t>
            </w:r>
            <w:r>
              <w:rPr>
                <w:rFonts w:ascii="Times New Roman" w:hAnsi="Times New Roman"/>
                <w:color w:val="auto"/>
                <w:sz w:val="21"/>
                <w:szCs w:val="21"/>
                <w:highlight w:val="none"/>
                <w:shd w:val="clear" w:color="auto" w:fill="FFFFFF"/>
              </w:rPr>
              <w:t>多年平均引水量为</w:t>
            </w:r>
            <w:r>
              <w:rPr>
                <w:rFonts w:hint="eastAsia" w:ascii="Times New Roman" w:hAnsi="Times New Roman"/>
                <w:color w:val="auto"/>
                <w:sz w:val="21"/>
                <w:szCs w:val="21"/>
                <w:highlight w:val="none"/>
                <w:shd w:val="clear" w:color="auto" w:fill="FFFFFF"/>
              </w:rPr>
              <w:t>147</w:t>
            </w:r>
            <w:r>
              <w:rPr>
                <w:rFonts w:ascii="Times New Roman" w:hAnsi="Times New Roman"/>
                <w:color w:val="auto"/>
                <w:sz w:val="21"/>
                <w:szCs w:val="21"/>
                <w:highlight w:val="none"/>
                <w:shd w:val="clear" w:color="auto" w:fill="FFFFFF"/>
              </w:rPr>
              <w:t>万m</w:t>
            </w:r>
            <w:r>
              <w:rPr>
                <w:rFonts w:ascii="Times New Roman" w:hAnsi="Times New Roman"/>
                <w:color w:val="auto"/>
                <w:sz w:val="21"/>
                <w:szCs w:val="21"/>
                <w:highlight w:val="none"/>
                <w:shd w:val="clear" w:color="auto" w:fill="FFFFFF"/>
                <w:vertAlign w:val="superscript"/>
              </w:rPr>
              <w:t>3</w:t>
            </w:r>
            <w:r>
              <w:rPr>
                <w:rFonts w:ascii="Times New Roman" w:hAnsi="Times New Roman"/>
                <w:color w:val="auto"/>
                <w:sz w:val="21"/>
                <w:szCs w:val="21"/>
                <w:highlight w:val="none"/>
                <w:shd w:val="clear" w:color="auto" w:fill="FFFFFF"/>
              </w:rPr>
              <w:t>，P=75%典型年引水量为</w:t>
            </w:r>
            <w:r>
              <w:rPr>
                <w:rFonts w:hint="eastAsia" w:ascii="Times New Roman" w:hAnsi="Times New Roman"/>
                <w:color w:val="auto"/>
                <w:sz w:val="21"/>
                <w:szCs w:val="21"/>
                <w:highlight w:val="none"/>
                <w:shd w:val="clear" w:color="auto" w:fill="FFFFFF"/>
              </w:rPr>
              <w:t>167</w:t>
            </w:r>
            <w:r>
              <w:rPr>
                <w:rFonts w:ascii="Times New Roman" w:hAnsi="Times New Roman"/>
                <w:color w:val="auto"/>
                <w:sz w:val="21"/>
                <w:szCs w:val="21"/>
                <w:highlight w:val="none"/>
                <w:shd w:val="clear" w:color="auto" w:fill="FFFFFF"/>
              </w:rPr>
              <w:t>万m</w:t>
            </w:r>
            <w:r>
              <w:rPr>
                <w:rFonts w:ascii="Times New Roman" w:hAnsi="Times New Roman"/>
                <w:color w:val="auto"/>
                <w:sz w:val="21"/>
                <w:szCs w:val="21"/>
                <w:highlight w:val="none"/>
                <w:shd w:val="clear" w:color="auto" w:fill="FFFFFF"/>
                <w:vertAlign w:val="superscript"/>
              </w:rPr>
              <w:t>3</w:t>
            </w:r>
            <w:r>
              <w:rPr>
                <w:rFonts w:ascii="Times New Roman" w:hAnsi="Times New Roman"/>
                <w:color w:val="auto"/>
                <w:sz w:val="21"/>
                <w:szCs w:val="21"/>
                <w:highlight w:val="none"/>
                <w:shd w:val="clear" w:color="auto" w:fill="FFFFFF"/>
              </w:rPr>
              <w:t>，</w:t>
            </w:r>
          </w:p>
          <w:p>
            <w:pPr>
              <w:adjustRightInd w:val="0"/>
              <w:snapToGrid w:val="0"/>
              <w:spacing w:line="360" w:lineRule="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2.</w:t>
            </w:r>
            <w:r>
              <w:rPr>
                <w:rFonts w:hint="default" w:ascii="Times New Roman" w:hAnsi="Times New Roman" w:cs="Times New Roman"/>
                <w:b/>
                <w:color w:val="auto"/>
                <w:sz w:val="21"/>
                <w:szCs w:val="21"/>
                <w:highlight w:val="none"/>
                <w:lang w:val="en-US" w:eastAsia="zh-CN"/>
              </w:rPr>
              <w:t>2.2</w:t>
            </w:r>
            <w:r>
              <w:rPr>
                <w:rFonts w:hint="default" w:ascii="Times New Roman" w:hAnsi="Times New Roman" w:eastAsia="宋体" w:cs="Times New Roman"/>
                <w:b/>
                <w:color w:val="auto"/>
                <w:sz w:val="21"/>
                <w:szCs w:val="21"/>
                <w:highlight w:val="none"/>
                <w:lang w:val="en-US" w:eastAsia="zh-CN"/>
              </w:rPr>
              <w:t>.</w:t>
            </w:r>
            <w:r>
              <w:rPr>
                <w:rFonts w:hint="eastAsia" w:cs="Times New Roman"/>
                <w:b/>
                <w:color w:val="auto"/>
                <w:sz w:val="21"/>
                <w:szCs w:val="21"/>
                <w:highlight w:val="none"/>
                <w:lang w:val="en-US" w:eastAsia="zh-CN"/>
              </w:rPr>
              <w:t>4坝址下游河道生态环境用水</w:t>
            </w:r>
            <w:r>
              <w:rPr>
                <w:rFonts w:hint="default" w:ascii="Times New Roman" w:hAnsi="Times New Roman" w:eastAsia="宋体" w:cs="Times New Roman"/>
                <w:b/>
                <w:color w:val="auto"/>
                <w:sz w:val="21"/>
                <w:szCs w:val="21"/>
                <w:highlight w:val="none"/>
                <w:lang w:val="en-US" w:eastAsia="zh-CN"/>
              </w:rPr>
              <w:t>量</w:t>
            </w:r>
          </w:p>
          <w:p>
            <w:pPr>
              <w:adjustRightInd w:val="0"/>
              <w:snapToGrid w:val="0"/>
              <w:spacing w:line="360" w:lineRule="auto"/>
              <w:ind w:firstLine="396" w:firstLineChars="200"/>
              <w:rPr>
                <w:rFonts w:hint="default" w:ascii="Times New Roman" w:hAnsi="Times New Roman" w:eastAsia="宋体" w:cs="Times New Roman"/>
                <w:b/>
                <w:color w:val="auto"/>
                <w:sz w:val="21"/>
                <w:szCs w:val="21"/>
                <w:highlight w:val="none"/>
                <w:lang w:val="en-US" w:eastAsia="zh-CN"/>
              </w:rPr>
            </w:pPr>
            <w:r>
              <w:rPr>
                <w:rFonts w:ascii="Times New Roman" w:hAnsi="Times New Roman" w:cs="Times New Roman"/>
                <w:color w:val="auto"/>
                <w:spacing w:val="-6"/>
                <w:sz w:val="21"/>
                <w:szCs w:val="21"/>
                <w:highlight w:val="none"/>
              </w:rPr>
              <w:t>坝址处天然径流多年平均来水流量0.</w:t>
            </w:r>
            <w:r>
              <w:rPr>
                <w:rFonts w:hint="eastAsia" w:ascii="Times New Roman" w:hAnsi="Times New Roman" w:cs="Times New Roman"/>
                <w:color w:val="auto"/>
                <w:spacing w:val="-6"/>
                <w:sz w:val="21"/>
                <w:szCs w:val="21"/>
                <w:highlight w:val="none"/>
              </w:rPr>
              <w:t>028</w:t>
            </w:r>
            <w:r>
              <w:rPr>
                <w:rFonts w:ascii="Times New Roman" w:hAnsi="Times New Roman" w:cs="Times New Roman"/>
                <w:color w:val="auto"/>
                <w:spacing w:val="-6"/>
                <w:sz w:val="21"/>
                <w:szCs w:val="21"/>
                <w:highlight w:val="none"/>
              </w:rPr>
              <w:t>m</w:t>
            </w:r>
            <w:r>
              <w:rPr>
                <w:rFonts w:ascii="Times New Roman" w:hAnsi="Times New Roman" w:cs="Times New Roman"/>
                <w:color w:val="auto"/>
                <w:spacing w:val="-6"/>
                <w:sz w:val="21"/>
                <w:szCs w:val="21"/>
                <w:highlight w:val="none"/>
                <w:vertAlign w:val="superscript"/>
              </w:rPr>
              <w:t>3</w:t>
            </w:r>
            <w:r>
              <w:rPr>
                <w:rFonts w:ascii="Times New Roman" w:hAnsi="Times New Roman" w:cs="Times New Roman"/>
                <w:color w:val="auto"/>
                <w:spacing w:val="-6"/>
                <w:sz w:val="21"/>
                <w:szCs w:val="21"/>
                <w:highlight w:val="none"/>
              </w:rPr>
              <w:t>/s，采用多年平均流量的1</w:t>
            </w:r>
            <w:r>
              <w:rPr>
                <w:rFonts w:hint="eastAsia" w:ascii="Times New Roman" w:hAnsi="Times New Roman" w:cs="Times New Roman"/>
                <w:color w:val="auto"/>
                <w:spacing w:val="-6"/>
                <w:sz w:val="21"/>
                <w:szCs w:val="21"/>
                <w:highlight w:val="none"/>
              </w:rPr>
              <w:t>5</w:t>
            </w:r>
            <w:r>
              <w:rPr>
                <w:rFonts w:ascii="Times New Roman" w:hAnsi="Times New Roman" w:cs="Times New Roman"/>
                <w:color w:val="auto"/>
                <w:spacing w:val="-6"/>
                <w:sz w:val="21"/>
                <w:szCs w:val="21"/>
                <w:highlight w:val="none"/>
              </w:rPr>
              <w:t>%下泄生态基流0.0</w:t>
            </w:r>
            <w:r>
              <w:rPr>
                <w:rFonts w:hint="eastAsia" w:ascii="Times New Roman" w:hAnsi="Times New Roman" w:cs="Times New Roman"/>
                <w:color w:val="auto"/>
                <w:spacing w:val="-6"/>
                <w:sz w:val="21"/>
                <w:szCs w:val="21"/>
                <w:highlight w:val="none"/>
              </w:rPr>
              <w:t>0</w:t>
            </w:r>
            <w:r>
              <w:rPr>
                <w:rFonts w:ascii="Times New Roman" w:hAnsi="Times New Roman" w:cs="Times New Roman"/>
                <w:color w:val="auto"/>
                <w:spacing w:val="-6"/>
                <w:sz w:val="21"/>
                <w:szCs w:val="21"/>
                <w:highlight w:val="none"/>
              </w:rPr>
              <w:t>4m</w:t>
            </w:r>
            <w:r>
              <w:rPr>
                <w:rFonts w:ascii="Times New Roman" w:hAnsi="Times New Roman" w:cs="Times New Roman"/>
                <w:color w:val="auto"/>
                <w:spacing w:val="-6"/>
                <w:sz w:val="21"/>
                <w:szCs w:val="21"/>
                <w:highlight w:val="none"/>
                <w:vertAlign w:val="superscript"/>
              </w:rPr>
              <w:t>3</w:t>
            </w:r>
            <w:r>
              <w:rPr>
                <w:rFonts w:ascii="Times New Roman" w:hAnsi="Times New Roman" w:cs="Times New Roman"/>
                <w:color w:val="auto"/>
                <w:spacing w:val="-6"/>
                <w:sz w:val="21"/>
                <w:szCs w:val="21"/>
                <w:highlight w:val="none"/>
              </w:rPr>
              <w:t>/s，折合年水量</w:t>
            </w:r>
            <w:r>
              <w:rPr>
                <w:rFonts w:hint="eastAsia" w:ascii="Times New Roman" w:hAnsi="Times New Roman" w:cs="Times New Roman"/>
                <w:color w:val="auto"/>
                <w:spacing w:val="-6"/>
                <w:sz w:val="21"/>
                <w:szCs w:val="21"/>
                <w:highlight w:val="none"/>
              </w:rPr>
              <w:t>13.4</w:t>
            </w:r>
            <w:r>
              <w:rPr>
                <w:rFonts w:ascii="Times New Roman" w:hAnsi="Times New Roman" w:cs="Times New Roman"/>
                <w:color w:val="auto"/>
                <w:spacing w:val="-6"/>
                <w:sz w:val="21"/>
                <w:szCs w:val="21"/>
                <w:highlight w:val="none"/>
              </w:rPr>
              <w:t>万m</w:t>
            </w:r>
            <w:r>
              <w:rPr>
                <w:rFonts w:ascii="Times New Roman" w:hAnsi="Times New Roman" w:cs="Times New Roman"/>
                <w:color w:val="auto"/>
                <w:spacing w:val="-6"/>
                <w:sz w:val="21"/>
                <w:szCs w:val="21"/>
                <w:highlight w:val="none"/>
                <w:vertAlign w:val="superscript"/>
              </w:rPr>
              <w:t>3</w:t>
            </w:r>
            <w:r>
              <w:rPr>
                <w:rFonts w:ascii="Times New Roman" w:hAnsi="Times New Roman" w:cs="Times New Roman"/>
                <w:color w:val="auto"/>
                <w:spacing w:val="-6"/>
                <w:sz w:val="21"/>
                <w:szCs w:val="21"/>
                <w:highlight w:val="none"/>
              </w:rPr>
              <w:t>。</w:t>
            </w:r>
          </w:p>
          <w:p>
            <w:pPr>
              <w:adjustRightInd w:val="0"/>
              <w:snapToGrid w:val="0"/>
              <w:spacing w:line="360" w:lineRule="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2.</w:t>
            </w:r>
            <w:r>
              <w:rPr>
                <w:rFonts w:hint="default" w:ascii="Times New Roman" w:hAnsi="Times New Roman" w:cs="Times New Roman"/>
                <w:b/>
                <w:color w:val="auto"/>
                <w:sz w:val="21"/>
                <w:szCs w:val="21"/>
                <w:highlight w:val="none"/>
                <w:lang w:val="en-US" w:eastAsia="zh-CN"/>
              </w:rPr>
              <w:t>2.3工程运行方式</w:t>
            </w:r>
          </w:p>
          <w:p>
            <w:pPr>
              <w:adjustRightInd w:val="0"/>
              <w:snapToGrid w:val="0"/>
              <w:spacing w:line="360" w:lineRule="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2.</w:t>
            </w:r>
            <w:r>
              <w:rPr>
                <w:rFonts w:hint="default" w:ascii="Times New Roman" w:hAnsi="Times New Roman" w:cs="Times New Roman"/>
                <w:b/>
                <w:color w:val="auto"/>
                <w:sz w:val="21"/>
                <w:szCs w:val="21"/>
                <w:highlight w:val="none"/>
                <w:lang w:val="en-US" w:eastAsia="zh-CN"/>
              </w:rPr>
              <w:t>2.</w:t>
            </w:r>
            <w:r>
              <w:rPr>
                <w:rFonts w:hint="eastAsia" w:cs="Times New Roman"/>
                <w:b/>
                <w:color w:val="auto"/>
                <w:sz w:val="21"/>
                <w:szCs w:val="21"/>
                <w:highlight w:val="none"/>
                <w:lang w:val="en-US" w:eastAsia="zh-CN"/>
              </w:rPr>
              <w:t>3</w:t>
            </w:r>
            <w:r>
              <w:rPr>
                <w:rFonts w:hint="default" w:ascii="Times New Roman" w:hAnsi="Times New Roman" w:eastAsia="宋体" w:cs="Times New Roman"/>
                <w:b/>
                <w:color w:val="auto"/>
                <w:sz w:val="21"/>
                <w:szCs w:val="21"/>
                <w:highlight w:val="none"/>
                <w:lang w:val="en-US" w:eastAsia="zh-CN"/>
              </w:rPr>
              <w:t>.</w:t>
            </w:r>
            <w:r>
              <w:rPr>
                <w:rFonts w:hint="eastAsia" w:cs="Times New Roman"/>
                <w:b/>
                <w:color w:val="auto"/>
                <w:sz w:val="21"/>
                <w:szCs w:val="21"/>
                <w:highlight w:val="none"/>
                <w:lang w:val="en-US" w:eastAsia="zh-CN"/>
              </w:rPr>
              <w:t>1水库兴利调度</w:t>
            </w:r>
          </w:p>
          <w:p>
            <w:pPr>
              <w:adjustRightInd w:val="0"/>
              <w:snapToGrid w:val="0"/>
              <w:spacing w:line="360" w:lineRule="auto"/>
              <w:ind w:firstLine="420" w:firstLineChars="20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堰沟水库工程开发任务是乡村供水、农业灌溉，其调度运行基本原则为：</w:t>
            </w:r>
          </w:p>
          <w:p>
            <w:pPr>
              <w:adjustRightInd w:val="0"/>
              <w:snapToGrid w:val="0"/>
              <w:spacing w:line="360" w:lineRule="auto"/>
              <w:ind w:firstLine="420" w:firstLineChars="20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①水库调度规则应依据和遵守《中华人民共和国水法</w:t>
            </w:r>
            <w:r>
              <w:rPr>
                <w:rFonts w:hint="eastAsia"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lang w:val="en-US" w:eastAsia="zh-CN"/>
              </w:rPr>
              <w:t>中华人民共和国防洪法</w:t>
            </w:r>
            <w:r>
              <w:rPr>
                <w:rFonts w:hint="eastAsia"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lang w:val="en-US" w:eastAsia="zh-CN"/>
              </w:rPr>
              <w:t>中华人民共和国河道管理条例</w:t>
            </w:r>
            <w:r>
              <w:rPr>
                <w:rFonts w:hint="eastAsia"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lang w:val="en-US" w:eastAsia="zh-CN"/>
              </w:rPr>
              <w:t>水库大坝安全管理条例》和水库规划、设计等有关批准文件；</w:t>
            </w:r>
          </w:p>
          <w:p>
            <w:pPr>
              <w:adjustRightInd w:val="0"/>
              <w:snapToGrid w:val="0"/>
              <w:spacing w:line="360" w:lineRule="auto"/>
              <w:ind w:firstLine="420" w:firstLineChars="20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②保证水库工程安全的前提下，充分发挥水库蓄水兴利作用，在遵循计划用水、节约用水的原则下，</w:t>
            </w:r>
            <w:r>
              <w:rPr>
                <w:rFonts w:hint="eastAsia" w:cs="Times New Roman"/>
                <w:b w:val="0"/>
                <w:bCs/>
                <w:color w:val="auto"/>
                <w:sz w:val="21"/>
                <w:szCs w:val="21"/>
                <w:highlight w:val="none"/>
                <w:lang w:val="en-US" w:eastAsia="zh-CN"/>
              </w:rPr>
              <w:t>最大限度满足</w:t>
            </w:r>
            <w:r>
              <w:rPr>
                <w:rFonts w:hint="default" w:ascii="Times New Roman" w:hAnsi="Times New Roman" w:eastAsia="宋体" w:cs="Times New Roman"/>
                <w:b w:val="0"/>
                <w:bCs/>
                <w:color w:val="auto"/>
                <w:sz w:val="21"/>
                <w:szCs w:val="21"/>
                <w:highlight w:val="none"/>
                <w:lang w:val="en-US" w:eastAsia="zh-CN"/>
              </w:rPr>
              <w:t>各部门用水需求；</w:t>
            </w:r>
          </w:p>
          <w:p>
            <w:pPr>
              <w:adjustRightInd w:val="0"/>
              <w:snapToGrid w:val="0"/>
              <w:spacing w:line="360" w:lineRule="auto"/>
              <w:ind w:firstLine="420" w:firstLineChars="20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③当水库水位在保证供水区时，水库按需供水；</w:t>
            </w:r>
          </w:p>
          <w:p>
            <w:pPr>
              <w:adjustRightInd w:val="0"/>
              <w:snapToGrid w:val="0"/>
              <w:spacing w:line="360" w:lineRule="auto"/>
              <w:ind w:firstLine="420" w:firstLineChars="20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④当水库在加大供水区时，水库加大供水，尽量减少弃水；</w:t>
            </w:r>
          </w:p>
          <w:p>
            <w:pPr>
              <w:adjustRightInd w:val="0"/>
              <w:snapToGrid w:val="0"/>
              <w:spacing w:line="360" w:lineRule="auto"/>
              <w:ind w:firstLine="420" w:firstLineChars="20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⑤当水库在限制供水区时，水库在确保乡镇供水后余水按灌溉需水的70%</w:t>
            </w:r>
            <w:r>
              <w:rPr>
                <w:rFonts w:hint="eastAsia"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lang w:val="en-US" w:eastAsia="zh-CN"/>
              </w:rPr>
              <w:t>80%限制供水；</w:t>
            </w:r>
          </w:p>
          <w:p>
            <w:pPr>
              <w:adjustRightInd w:val="0"/>
              <w:snapToGrid w:val="0"/>
              <w:spacing w:line="360" w:lineRule="auto"/>
              <w:ind w:firstLine="420" w:firstLineChars="20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⑥当水库水位消落至死水位时，水库应停止供水，原则不能动用死库容，防止下一年供水遭破坏；</w:t>
            </w:r>
          </w:p>
          <w:p>
            <w:pPr>
              <w:adjustRightInd w:val="0"/>
              <w:snapToGrid w:val="0"/>
              <w:spacing w:line="360" w:lineRule="auto"/>
              <w:ind w:firstLine="420" w:firstLineChars="20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⑦当发生突发事件或特殊干旱年份，为满足基本的生活饮用水需求，本水库可加大供水，甚至可以动用死库容。</w:t>
            </w:r>
          </w:p>
          <w:p>
            <w:pPr>
              <w:adjustRightInd w:val="0"/>
              <w:snapToGrid w:val="0"/>
              <w:spacing w:line="360" w:lineRule="auto"/>
              <w:ind w:firstLine="420" w:firstLineChars="200"/>
              <w:rPr>
                <w:rFonts w:hint="eastAsia"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根据水库来水和蓄水状况，在优先下泄河道内生态用水的条件下，按照水库开发任务，水库供水次序由各用水部门供水设计保证率决定，依次为场镇及农村生活用水、灌区农业灌溉</w:t>
            </w:r>
            <w:r>
              <w:rPr>
                <w:rFonts w:hint="eastAsia" w:cs="Times New Roman"/>
                <w:b w:val="0"/>
                <w:bCs/>
                <w:color w:val="auto"/>
                <w:sz w:val="21"/>
                <w:szCs w:val="21"/>
                <w:highlight w:val="none"/>
                <w:lang w:val="en-US" w:eastAsia="zh-CN"/>
              </w:rPr>
              <w:t>。</w:t>
            </w:r>
          </w:p>
          <w:p>
            <w:pPr>
              <w:adjustRightInd w:val="0"/>
              <w:snapToGrid w:val="0"/>
              <w:spacing w:line="360" w:lineRule="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2.</w:t>
            </w:r>
            <w:r>
              <w:rPr>
                <w:rFonts w:hint="default" w:ascii="Times New Roman" w:hAnsi="Times New Roman" w:cs="Times New Roman"/>
                <w:b/>
                <w:color w:val="auto"/>
                <w:sz w:val="21"/>
                <w:szCs w:val="21"/>
                <w:highlight w:val="none"/>
                <w:lang w:val="en-US" w:eastAsia="zh-CN"/>
              </w:rPr>
              <w:t>2.</w:t>
            </w:r>
            <w:r>
              <w:rPr>
                <w:rFonts w:hint="eastAsia" w:cs="Times New Roman"/>
                <w:b/>
                <w:color w:val="auto"/>
                <w:sz w:val="21"/>
                <w:szCs w:val="21"/>
                <w:highlight w:val="none"/>
                <w:lang w:val="en-US" w:eastAsia="zh-CN"/>
              </w:rPr>
              <w:t>3</w:t>
            </w:r>
            <w:r>
              <w:rPr>
                <w:rFonts w:hint="default" w:ascii="Times New Roman" w:hAnsi="Times New Roman" w:eastAsia="宋体" w:cs="Times New Roman"/>
                <w:b/>
                <w:color w:val="auto"/>
                <w:sz w:val="21"/>
                <w:szCs w:val="21"/>
                <w:highlight w:val="none"/>
                <w:lang w:val="en-US" w:eastAsia="zh-CN"/>
              </w:rPr>
              <w:t>.</w:t>
            </w:r>
            <w:r>
              <w:rPr>
                <w:rFonts w:hint="eastAsia" w:cs="Times New Roman"/>
                <w:b/>
                <w:color w:val="auto"/>
                <w:sz w:val="21"/>
                <w:szCs w:val="21"/>
                <w:highlight w:val="none"/>
                <w:lang w:val="en-US" w:eastAsia="zh-CN"/>
              </w:rPr>
              <w:t>2水库防洪调度</w:t>
            </w:r>
          </w:p>
          <w:p>
            <w:pPr>
              <w:kinsoku/>
              <w:snapToGrid/>
              <w:spacing w:line="360" w:lineRule="auto"/>
              <w:ind w:firstLine="416" w:firstLineChars="200"/>
              <w:jc w:val="both"/>
              <w:rPr>
                <w:rFonts w:ascii="Times New Roman" w:hAnsi="Times New Roman" w:cs="Times New Roman"/>
                <w:color w:val="auto"/>
                <w:spacing w:val="-1"/>
                <w:sz w:val="21"/>
                <w:szCs w:val="21"/>
                <w:highlight w:val="none"/>
              </w:rPr>
            </w:pPr>
            <w:r>
              <w:rPr>
                <w:rFonts w:hint="eastAsia" w:ascii="Times New Roman" w:hAnsi="Times New Roman" w:cs="Times New Roman"/>
                <w:color w:val="auto"/>
                <w:spacing w:val="-1"/>
                <w:sz w:val="21"/>
                <w:szCs w:val="21"/>
                <w:highlight w:val="none"/>
              </w:rPr>
              <w:t>堰沟水库调洪时从正常蓄水位起调，采用坝身表孔开敞泄流的方式进行防洪调度。正常情况下，水库按需水过程供水，当来水大于供水，水库蓄水，库水位上升，当库水位达到正常蓄水位609.00m时，溢流堰自由泄流；当来水小于供水，则动用水库库容，库水位下降，当库水位降落到死水位591.00m时，供水开始破坏。</w:t>
            </w:r>
          </w:p>
          <w:p>
            <w:pPr>
              <w:adjustRightInd w:val="0"/>
              <w:snapToGrid w:val="0"/>
              <w:spacing w:line="360" w:lineRule="auto"/>
              <w:ind w:firstLine="416" w:firstLineChars="200"/>
              <w:rPr>
                <w:rFonts w:hint="eastAsia" w:cs="Times New Roman"/>
                <w:b w:val="0"/>
                <w:bCs/>
                <w:color w:val="auto"/>
                <w:sz w:val="21"/>
                <w:szCs w:val="21"/>
                <w:highlight w:val="none"/>
                <w:lang w:val="en-US" w:eastAsia="zh-CN"/>
              </w:rPr>
            </w:pPr>
            <w:r>
              <w:rPr>
                <w:rFonts w:hint="eastAsia" w:ascii="Times New Roman" w:hAnsi="Times New Roman" w:cs="Times New Roman"/>
                <w:color w:val="auto"/>
                <w:spacing w:val="-1"/>
                <w:sz w:val="21"/>
                <w:szCs w:val="21"/>
                <w:highlight w:val="none"/>
              </w:rPr>
              <w:t>经调节计算，大坝设计洪峰流量为27</w:t>
            </w:r>
            <w:r>
              <w:rPr>
                <w:rFonts w:ascii="Times New Roman" w:hAnsi="Times New Roman" w:cs="Times New Roman"/>
                <w:color w:val="auto"/>
                <w:spacing w:val="-1"/>
                <w:sz w:val="21"/>
                <w:szCs w:val="21"/>
                <w:highlight w:val="none"/>
              </w:rPr>
              <w:t>.0</w:t>
            </w:r>
            <w:r>
              <w:rPr>
                <w:rFonts w:hint="eastAsia" w:ascii="Times New Roman" w:hAnsi="Times New Roman" w:cs="Times New Roman"/>
                <w:color w:val="auto"/>
                <w:spacing w:val="-1"/>
                <w:sz w:val="21"/>
                <w:szCs w:val="21"/>
                <w:highlight w:val="none"/>
              </w:rPr>
              <w:t>m</w:t>
            </w:r>
            <w:r>
              <w:rPr>
                <w:rFonts w:hint="eastAsia" w:ascii="Times New Roman" w:hAnsi="Times New Roman" w:cs="Times New Roman"/>
                <w:color w:val="auto"/>
                <w:spacing w:val="-1"/>
                <w:sz w:val="21"/>
                <w:szCs w:val="21"/>
                <w:highlight w:val="none"/>
                <w:vertAlign w:val="superscript"/>
              </w:rPr>
              <w:t>3</w:t>
            </w:r>
            <w:r>
              <w:rPr>
                <w:rFonts w:hint="eastAsia" w:ascii="Times New Roman" w:hAnsi="Times New Roman" w:cs="Times New Roman"/>
                <w:color w:val="auto"/>
                <w:spacing w:val="-1"/>
                <w:sz w:val="21"/>
                <w:szCs w:val="21"/>
                <w:highlight w:val="none"/>
              </w:rPr>
              <w:t>/s（P=3.3%），设计洪水位609.87m，相应库容212.08万m</w:t>
            </w:r>
            <w:r>
              <w:rPr>
                <w:rFonts w:hint="eastAsia" w:ascii="Times New Roman" w:hAnsi="Times New Roman" w:cs="Times New Roman"/>
                <w:color w:val="auto"/>
                <w:spacing w:val="-1"/>
                <w:sz w:val="21"/>
                <w:szCs w:val="21"/>
                <w:highlight w:val="none"/>
                <w:vertAlign w:val="superscript"/>
              </w:rPr>
              <w:t>3</w:t>
            </w:r>
            <w:r>
              <w:rPr>
                <w:rFonts w:hint="eastAsia" w:ascii="Times New Roman" w:hAnsi="Times New Roman" w:cs="Times New Roman"/>
                <w:color w:val="auto"/>
                <w:spacing w:val="-1"/>
                <w:sz w:val="21"/>
                <w:szCs w:val="21"/>
                <w:highlight w:val="none"/>
              </w:rPr>
              <w:t>，削峰流量</w:t>
            </w:r>
            <w:r>
              <w:rPr>
                <w:rFonts w:ascii="Times New Roman" w:hAnsi="Times New Roman" w:cs="Times New Roman"/>
                <w:color w:val="auto"/>
                <w:spacing w:val="-1"/>
                <w:sz w:val="21"/>
                <w:szCs w:val="21"/>
                <w:highlight w:val="none"/>
              </w:rPr>
              <w:t>15.</w:t>
            </w:r>
            <w:r>
              <w:rPr>
                <w:rFonts w:hint="eastAsia" w:ascii="Times New Roman" w:hAnsi="Times New Roman" w:cs="Times New Roman"/>
                <w:color w:val="auto"/>
                <w:spacing w:val="-1"/>
                <w:sz w:val="21"/>
                <w:szCs w:val="21"/>
                <w:highlight w:val="none"/>
              </w:rPr>
              <w:t>28m</w:t>
            </w:r>
            <w:r>
              <w:rPr>
                <w:rFonts w:hint="eastAsia" w:ascii="Times New Roman" w:hAnsi="Times New Roman" w:cs="Times New Roman"/>
                <w:color w:val="auto"/>
                <w:spacing w:val="-1"/>
                <w:sz w:val="21"/>
                <w:szCs w:val="21"/>
                <w:highlight w:val="none"/>
                <w:vertAlign w:val="superscript"/>
              </w:rPr>
              <w:t>3</w:t>
            </w:r>
            <w:r>
              <w:rPr>
                <w:rFonts w:hint="eastAsia" w:ascii="Times New Roman" w:hAnsi="Times New Roman" w:cs="Times New Roman"/>
                <w:color w:val="auto"/>
                <w:spacing w:val="-1"/>
                <w:sz w:val="21"/>
                <w:szCs w:val="21"/>
                <w:highlight w:val="none"/>
              </w:rPr>
              <w:t>/s，滞洪库容18.34万m</w:t>
            </w:r>
            <w:r>
              <w:rPr>
                <w:rFonts w:hint="eastAsia" w:ascii="Times New Roman" w:hAnsi="Times New Roman" w:cs="Times New Roman"/>
                <w:color w:val="auto"/>
                <w:spacing w:val="-1"/>
                <w:sz w:val="21"/>
                <w:szCs w:val="21"/>
                <w:highlight w:val="none"/>
                <w:vertAlign w:val="superscript"/>
              </w:rPr>
              <w:t>3</w:t>
            </w:r>
            <w:r>
              <w:rPr>
                <w:rFonts w:hint="eastAsia" w:ascii="Times New Roman" w:hAnsi="Times New Roman" w:cs="Times New Roman"/>
                <w:color w:val="auto"/>
                <w:spacing w:val="-1"/>
                <w:sz w:val="21"/>
                <w:szCs w:val="21"/>
                <w:highlight w:val="none"/>
              </w:rPr>
              <w:t>；大坝校核洪水洪峰流量为3</w:t>
            </w:r>
            <w:r>
              <w:rPr>
                <w:rFonts w:ascii="Times New Roman" w:hAnsi="Times New Roman" w:cs="Times New Roman"/>
                <w:color w:val="auto"/>
                <w:spacing w:val="-1"/>
                <w:sz w:val="21"/>
                <w:szCs w:val="21"/>
                <w:highlight w:val="none"/>
              </w:rPr>
              <w:t>7.2</w:t>
            </w:r>
            <w:r>
              <w:rPr>
                <w:rFonts w:hint="eastAsia" w:ascii="Times New Roman" w:hAnsi="Times New Roman" w:cs="Times New Roman"/>
                <w:color w:val="auto"/>
                <w:spacing w:val="-1"/>
                <w:sz w:val="21"/>
                <w:szCs w:val="21"/>
                <w:highlight w:val="none"/>
              </w:rPr>
              <w:t>m</w:t>
            </w:r>
            <w:r>
              <w:rPr>
                <w:rFonts w:hint="eastAsia" w:ascii="Times New Roman" w:hAnsi="Times New Roman" w:cs="Times New Roman"/>
                <w:color w:val="auto"/>
                <w:spacing w:val="-1"/>
                <w:sz w:val="21"/>
                <w:szCs w:val="21"/>
                <w:highlight w:val="none"/>
                <w:vertAlign w:val="superscript"/>
              </w:rPr>
              <w:t>3</w:t>
            </w:r>
            <w:r>
              <w:rPr>
                <w:rFonts w:hint="eastAsia" w:ascii="Times New Roman" w:hAnsi="Times New Roman" w:cs="Times New Roman"/>
                <w:color w:val="auto"/>
                <w:spacing w:val="-1"/>
                <w:sz w:val="21"/>
                <w:szCs w:val="21"/>
                <w:highlight w:val="none"/>
              </w:rPr>
              <w:t>/s（P=0.</w:t>
            </w:r>
            <w:r>
              <w:rPr>
                <w:rFonts w:ascii="Times New Roman" w:hAnsi="Times New Roman" w:cs="Times New Roman"/>
                <w:color w:val="auto"/>
                <w:spacing w:val="-1"/>
                <w:sz w:val="21"/>
                <w:szCs w:val="21"/>
                <w:highlight w:val="none"/>
              </w:rPr>
              <w:t>5</w:t>
            </w:r>
            <w:r>
              <w:rPr>
                <w:rFonts w:hint="eastAsia" w:ascii="Times New Roman" w:hAnsi="Times New Roman" w:cs="Times New Roman"/>
                <w:color w:val="auto"/>
                <w:spacing w:val="-1"/>
                <w:sz w:val="21"/>
                <w:szCs w:val="21"/>
                <w:highlight w:val="none"/>
              </w:rPr>
              <w:t>%），经洪水调节后，校核洪水位610.09m，相应库容216.82万m</w:t>
            </w:r>
            <w:r>
              <w:rPr>
                <w:rFonts w:hint="eastAsia" w:ascii="Times New Roman" w:hAnsi="Times New Roman" w:cs="Times New Roman"/>
                <w:color w:val="auto"/>
                <w:spacing w:val="-1"/>
                <w:sz w:val="21"/>
                <w:szCs w:val="21"/>
                <w:highlight w:val="none"/>
                <w:vertAlign w:val="superscript"/>
              </w:rPr>
              <w:t>3</w:t>
            </w:r>
            <w:r>
              <w:rPr>
                <w:rFonts w:hint="eastAsia" w:ascii="Times New Roman" w:hAnsi="Times New Roman" w:cs="Times New Roman"/>
                <w:color w:val="auto"/>
                <w:spacing w:val="-1"/>
                <w:sz w:val="21"/>
                <w:szCs w:val="21"/>
                <w:highlight w:val="none"/>
              </w:rPr>
              <w:t>，削峰流量20.61m</w:t>
            </w:r>
            <w:r>
              <w:rPr>
                <w:rFonts w:hint="eastAsia" w:ascii="Times New Roman" w:hAnsi="Times New Roman" w:cs="Times New Roman"/>
                <w:color w:val="auto"/>
                <w:spacing w:val="-1"/>
                <w:sz w:val="21"/>
                <w:szCs w:val="21"/>
                <w:highlight w:val="none"/>
                <w:vertAlign w:val="superscript"/>
              </w:rPr>
              <w:t>3</w:t>
            </w:r>
            <w:r>
              <w:rPr>
                <w:rFonts w:hint="eastAsia" w:ascii="Times New Roman" w:hAnsi="Times New Roman" w:cs="Times New Roman"/>
                <w:color w:val="auto"/>
                <w:spacing w:val="-1"/>
                <w:sz w:val="21"/>
                <w:szCs w:val="21"/>
                <w:highlight w:val="none"/>
              </w:rPr>
              <w:t>/s，滞洪库容23.08万m</w:t>
            </w:r>
            <w:r>
              <w:rPr>
                <w:rFonts w:hint="eastAsia" w:ascii="Times New Roman" w:hAnsi="Times New Roman" w:cs="Times New Roman"/>
                <w:color w:val="auto"/>
                <w:spacing w:val="-1"/>
                <w:sz w:val="21"/>
                <w:szCs w:val="21"/>
                <w:highlight w:val="none"/>
                <w:vertAlign w:val="superscript"/>
              </w:rPr>
              <w:t>3</w:t>
            </w:r>
            <w:r>
              <w:rPr>
                <w:rFonts w:hint="eastAsia" w:ascii="Times New Roman" w:hAnsi="Times New Roman" w:cs="Times New Roman"/>
                <w:color w:val="auto"/>
                <w:spacing w:val="-1"/>
                <w:sz w:val="21"/>
                <w:szCs w:val="21"/>
                <w:highlight w:val="none"/>
              </w:rPr>
              <w:t>。</w:t>
            </w:r>
          </w:p>
          <w:p>
            <w:pPr>
              <w:adjustRightInd w:val="0"/>
              <w:snapToGrid w:val="0"/>
              <w:spacing w:line="360" w:lineRule="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2.</w:t>
            </w:r>
            <w:r>
              <w:rPr>
                <w:rFonts w:hint="default" w:ascii="Times New Roman" w:hAnsi="Times New Roman" w:cs="Times New Roman"/>
                <w:b/>
                <w:color w:val="auto"/>
                <w:sz w:val="21"/>
                <w:szCs w:val="21"/>
                <w:highlight w:val="none"/>
                <w:lang w:val="en-US" w:eastAsia="zh-CN"/>
              </w:rPr>
              <w:t>2.</w:t>
            </w:r>
            <w:r>
              <w:rPr>
                <w:rFonts w:hint="eastAsia" w:cs="Times New Roman"/>
                <w:b/>
                <w:color w:val="auto"/>
                <w:sz w:val="21"/>
                <w:szCs w:val="21"/>
                <w:highlight w:val="none"/>
                <w:lang w:val="en-US" w:eastAsia="zh-CN"/>
              </w:rPr>
              <w:t>3</w:t>
            </w:r>
            <w:r>
              <w:rPr>
                <w:rFonts w:hint="default" w:ascii="Times New Roman" w:hAnsi="Times New Roman" w:eastAsia="宋体" w:cs="Times New Roman"/>
                <w:b/>
                <w:color w:val="auto"/>
                <w:sz w:val="21"/>
                <w:szCs w:val="21"/>
                <w:highlight w:val="none"/>
                <w:lang w:val="en-US" w:eastAsia="zh-CN"/>
              </w:rPr>
              <w:t>.</w:t>
            </w:r>
            <w:r>
              <w:rPr>
                <w:rFonts w:hint="eastAsia" w:cs="Times New Roman"/>
                <w:b/>
                <w:color w:val="auto"/>
                <w:sz w:val="21"/>
                <w:szCs w:val="21"/>
                <w:highlight w:val="none"/>
                <w:lang w:val="en-US" w:eastAsia="zh-CN"/>
              </w:rPr>
              <w:t>3生态流量调度</w:t>
            </w:r>
          </w:p>
          <w:p>
            <w:pPr>
              <w:kinsoku/>
              <w:snapToGrid/>
              <w:spacing w:line="360" w:lineRule="auto"/>
              <w:ind w:firstLine="416" w:firstLineChars="200"/>
              <w:jc w:val="both"/>
              <w:rPr>
                <w:rFonts w:ascii="Times New Roman" w:hAnsi="Times New Roman"/>
                <w:color w:val="auto"/>
                <w:sz w:val="21"/>
                <w:szCs w:val="21"/>
                <w:highlight w:val="none"/>
              </w:rPr>
            </w:pPr>
            <w:r>
              <w:rPr>
                <w:rFonts w:hint="eastAsia" w:ascii="Times New Roman" w:hAnsi="Times New Roman" w:cs="Times New Roman"/>
                <w:color w:val="auto"/>
                <w:spacing w:val="-1"/>
                <w:sz w:val="21"/>
                <w:szCs w:val="21"/>
                <w:highlight w:val="none"/>
              </w:rPr>
              <w:t>堰沟水库坝址处控制流域集水面积1.57km</w:t>
            </w:r>
            <w:r>
              <w:rPr>
                <w:rFonts w:hint="eastAsia" w:ascii="Times New Roman" w:hAnsi="Times New Roman" w:cs="Times New Roman"/>
                <w:color w:val="auto"/>
                <w:spacing w:val="-1"/>
                <w:sz w:val="21"/>
                <w:szCs w:val="21"/>
                <w:highlight w:val="none"/>
                <w:vertAlign w:val="superscript"/>
              </w:rPr>
              <w:t>2</w:t>
            </w:r>
            <w:r>
              <w:rPr>
                <w:rFonts w:hint="eastAsia" w:ascii="Times New Roman" w:hAnsi="Times New Roman" w:cs="Times New Roman"/>
                <w:color w:val="auto"/>
                <w:spacing w:val="-1"/>
                <w:sz w:val="21"/>
                <w:szCs w:val="21"/>
                <w:highlight w:val="none"/>
              </w:rPr>
              <w:t>、补水坝址处控制流域集水面积5.78km</w:t>
            </w:r>
            <w:r>
              <w:rPr>
                <w:rFonts w:hint="eastAsia" w:ascii="Times New Roman" w:hAnsi="Times New Roman" w:cs="Times New Roman"/>
                <w:color w:val="auto"/>
                <w:spacing w:val="-1"/>
                <w:sz w:val="21"/>
                <w:szCs w:val="21"/>
                <w:highlight w:val="none"/>
                <w:vertAlign w:val="superscript"/>
              </w:rPr>
              <w:t>2</w:t>
            </w:r>
            <w:r>
              <w:rPr>
                <w:rFonts w:hint="eastAsia" w:cs="Times New Roman"/>
                <w:color w:val="auto"/>
                <w:spacing w:val="-1"/>
                <w:sz w:val="21"/>
                <w:szCs w:val="21"/>
                <w:highlight w:val="none"/>
                <w:lang w:eastAsia="zh-CN"/>
              </w:rPr>
              <w:t>。</w:t>
            </w:r>
            <w:r>
              <w:rPr>
                <w:rFonts w:ascii="Times New Roman" w:hAnsi="Times New Roman"/>
                <w:color w:val="auto"/>
                <w:sz w:val="21"/>
                <w:szCs w:val="21"/>
                <w:highlight w:val="none"/>
              </w:rPr>
              <w:t>水库坝址下泄</w:t>
            </w:r>
            <w:r>
              <w:rPr>
                <w:rFonts w:hint="eastAsia" w:ascii="Times New Roman" w:hAnsi="Times New Roman"/>
                <w:color w:val="auto"/>
                <w:sz w:val="21"/>
                <w:szCs w:val="21"/>
                <w:highlight w:val="none"/>
              </w:rPr>
              <w:t>生</w:t>
            </w:r>
            <w:r>
              <w:rPr>
                <w:rFonts w:ascii="Times New Roman" w:hAnsi="Times New Roman"/>
                <w:color w:val="auto"/>
                <w:sz w:val="21"/>
                <w:szCs w:val="21"/>
                <w:highlight w:val="none"/>
              </w:rPr>
              <w:t>态</w:t>
            </w:r>
            <w:r>
              <w:rPr>
                <w:rFonts w:hint="eastAsia" w:ascii="Times New Roman" w:hAnsi="Times New Roman"/>
                <w:color w:val="auto"/>
                <w:sz w:val="21"/>
                <w:szCs w:val="21"/>
                <w:highlight w:val="none"/>
              </w:rPr>
              <w:t>流量0.004</w:t>
            </w:r>
            <w:r>
              <w:rPr>
                <w:rFonts w:ascii="Times New Roman" w:hAnsi="Times New Roman"/>
                <w:color w:val="auto"/>
                <w:sz w:val="21"/>
                <w:szCs w:val="21"/>
                <w:highlight w:val="none"/>
              </w:rPr>
              <w:t>m</w:t>
            </w:r>
            <w:r>
              <w:rPr>
                <w:rFonts w:ascii="Times New Roman" w:hAnsi="Times New Roman"/>
                <w:color w:val="auto"/>
                <w:sz w:val="21"/>
                <w:szCs w:val="21"/>
                <w:highlight w:val="none"/>
                <w:vertAlign w:val="superscript"/>
              </w:rPr>
              <w:t>3</w:t>
            </w:r>
            <w:r>
              <w:rPr>
                <w:rFonts w:ascii="Times New Roman" w:hAnsi="Times New Roman"/>
                <w:color w:val="auto"/>
                <w:sz w:val="21"/>
                <w:szCs w:val="21"/>
                <w:highlight w:val="none"/>
              </w:rPr>
              <w:t>/s</w:t>
            </w:r>
            <w:r>
              <w:rPr>
                <w:rFonts w:hint="eastAsia" w:ascii="Times New Roman" w:hAnsi="Times New Roman"/>
                <w:color w:val="auto"/>
                <w:sz w:val="21"/>
                <w:szCs w:val="21"/>
                <w:highlight w:val="none"/>
              </w:rPr>
              <w:t>，</w:t>
            </w:r>
            <w:r>
              <w:rPr>
                <w:rFonts w:ascii="Times New Roman" w:hAnsi="Times New Roman" w:cs="Times New Roman"/>
                <w:color w:val="auto"/>
                <w:sz w:val="21"/>
                <w:szCs w:val="21"/>
                <w:highlight w:val="none"/>
              </w:rPr>
              <w:t>补水坝址下泄</w:t>
            </w:r>
            <w:r>
              <w:rPr>
                <w:rFonts w:hint="eastAsia" w:ascii="Times New Roman" w:hAnsi="Times New Roman"/>
                <w:color w:val="auto"/>
                <w:sz w:val="21"/>
                <w:szCs w:val="21"/>
                <w:highlight w:val="none"/>
              </w:rPr>
              <w:t>生</w:t>
            </w:r>
            <w:r>
              <w:rPr>
                <w:rFonts w:ascii="Times New Roman" w:hAnsi="Times New Roman"/>
                <w:color w:val="auto"/>
                <w:sz w:val="21"/>
                <w:szCs w:val="21"/>
                <w:highlight w:val="none"/>
              </w:rPr>
              <w:t>态</w:t>
            </w:r>
            <w:r>
              <w:rPr>
                <w:rFonts w:hint="eastAsia" w:ascii="Times New Roman" w:hAnsi="Times New Roman"/>
                <w:color w:val="auto"/>
                <w:sz w:val="21"/>
                <w:szCs w:val="21"/>
                <w:highlight w:val="none"/>
              </w:rPr>
              <w:t>流量0.016</w:t>
            </w:r>
            <w:r>
              <w:rPr>
                <w:rFonts w:ascii="Times New Roman" w:hAnsi="Times New Roman"/>
                <w:color w:val="auto"/>
                <w:sz w:val="21"/>
                <w:szCs w:val="21"/>
                <w:highlight w:val="none"/>
              </w:rPr>
              <w:t>m</w:t>
            </w:r>
            <w:r>
              <w:rPr>
                <w:rFonts w:ascii="Times New Roman" w:hAnsi="Times New Roman"/>
                <w:color w:val="auto"/>
                <w:sz w:val="21"/>
                <w:szCs w:val="21"/>
                <w:highlight w:val="none"/>
                <w:vertAlign w:val="superscript"/>
              </w:rPr>
              <w:t>3</w:t>
            </w:r>
            <w:r>
              <w:rPr>
                <w:rFonts w:ascii="Times New Roman" w:hAnsi="Times New Roman"/>
                <w:color w:val="auto"/>
                <w:sz w:val="21"/>
                <w:szCs w:val="21"/>
                <w:highlight w:val="none"/>
              </w:rPr>
              <w:t>/s。</w:t>
            </w:r>
          </w:p>
          <w:p>
            <w:pPr>
              <w:kinsoku/>
              <w:snapToGrid/>
              <w:spacing w:line="360" w:lineRule="auto"/>
              <w:ind w:firstLine="416" w:firstLineChars="200"/>
              <w:rPr>
                <w:rFonts w:ascii="Times New Roman" w:hAnsi="Times New Roman" w:cs="Times New Roman"/>
                <w:color w:val="auto"/>
                <w:spacing w:val="-1"/>
                <w:sz w:val="21"/>
                <w:szCs w:val="21"/>
                <w:highlight w:val="none"/>
              </w:rPr>
            </w:pPr>
            <w:r>
              <w:rPr>
                <w:rFonts w:hint="eastAsia" w:ascii="Times New Roman" w:hAnsi="Times New Roman" w:cs="Times New Roman"/>
                <w:color w:val="auto"/>
                <w:spacing w:val="-1"/>
                <w:sz w:val="21"/>
                <w:szCs w:val="21"/>
                <w:highlight w:val="none"/>
              </w:rPr>
              <w:t>根据水库兴利调度原则，河道来水优先满足下泄河道内生态用水。</w:t>
            </w:r>
          </w:p>
          <w:p>
            <w:pPr>
              <w:adjustRightInd w:val="0"/>
              <w:snapToGrid w:val="0"/>
              <w:spacing w:line="360" w:lineRule="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2.</w:t>
            </w:r>
            <w:r>
              <w:rPr>
                <w:rFonts w:hint="default" w:ascii="Times New Roman" w:hAnsi="Times New Roman" w:cs="Times New Roman"/>
                <w:b/>
                <w:color w:val="auto"/>
                <w:sz w:val="21"/>
                <w:szCs w:val="21"/>
                <w:highlight w:val="none"/>
                <w:lang w:val="en-US" w:eastAsia="zh-CN"/>
              </w:rPr>
              <w:t>2.</w:t>
            </w:r>
            <w:r>
              <w:rPr>
                <w:rFonts w:hint="eastAsia" w:cs="Times New Roman"/>
                <w:b/>
                <w:color w:val="auto"/>
                <w:sz w:val="21"/>
                <w:szCs w:val="21"/>
                <w:highlight w:val="none"/>
                <w:lang w:val="en-US" w:eastAsia="zh-CN"/>
              </w:rPr>
              <w:t>3</w:t>
            </w:r>
            <w:r>
              <w:rPr>
                <w:rFonts w:hint="default" w:ascii="Times New Roman" w:hAnsi="Times New Roman" w:eastAsia="宋体" w:cs="Times New Roman"/>
                <w:b/>
                <w:color w:val="auto"/>
                <w:sz w:val="21"/>
                <w:szCs w:val="21"/>
                <w:highlight w:val="none"/>
                <w:lang w:val="en-US" w:eastAsia="zh-CN"/>
              </w:rPr>
              <w:t>.</w:t>
            </w:r>
            <w:r>
              <w:rPr>
                <w:rFonts w:hint="eastAsia" w:cs="Times New Roman"/>
                <w:b/>
                <w:color w:val="auto"/>
                <w:sz w:val="21"/>
                <w:szCs w:val="21"/>
                <w:highlight w:val="none"/>
                <w:lang w:val="en-US" w:eastAsia="zh-CN"/>
              </w:rPr>
              <w:t>4灌区工程运行方式</w:t>
            </w:r>
          </w:p>
          <w:p>
            <w:pPr>
              <w:autoSpaceDE w:val="0"/>
              <w:autoSpaceDN w:val="0"/>
              <w:adjustRightInd w:val="0"/>
              <w:spacing w:line="360" w:lineRule="auto"/>
              <w:ind w:firstLine="476"/>
              <w:rPr>
                <w:color w:val="auto"/>
                <w:spacing w:val="-1"/>
                <w:highlight w:val="none"/>
              </w:rPr>
            </w:pPr>
            <w:r>
              <w:rPr>
                <w:rFonts w:hint="eastAsia"/>
                <w:color w:val="auto"/>
                <w:spacing w:val="-1"/>
                <w:highlight w:val="none"/>
              </w:rPr>
              <w:t>工程运行时启用工程设置的控制设备，满足工程运行及维护的特定要求。主要设备包括：支管分水处设置阀门，干管沿程放水处设置给水栓</w:t>
            </w:r>
            <w:r>
              <w:rPr>
                <w:color w:val="auto"/>
                <w:spacing w:val="-1"/>
                <w:highlight w:val="none"/>
              </w:rPr>
              <w:t>，在干管渠首及各分水口配置</w:t>
            </w:r>
            <w:r>
              <w:rPr>
                <w:rFonts w:hint="eastAsia"/>
                <w:color w:val="auto"/>
                <w:spacing w:val="-1"/>
                <w:highlight w:val="none"/>
              </w:rPr>
              <w:t>测</w:t>
            </w:r>
            <w:r>
              <w:rPr>
                <w:color w:val="auto"/>
                <w:spacing w:val="-1"/>
                <w:highlight w:val="none"/>
              </w:rPr>
              <w:t>流井，共配置量水计量设备</w:t>
            </w:r>
            <w:r>
              <w:rPr>
                <w:rFonts w:hint="eastAsia"/>
                <w:color w:val="auto"/>
                <w:spacing w:val="-1"/>
                <w:highlight w:val="none"/>
              </w:rPr>
              <w:t>10</w:t>
            </w:r>
            <w:r>
              <w:rPr>
                <w:color w:val="auto"/>
                <w:spacing w:val="-1"/>
                <w:highlight w:val="none"/>
              </w:rPr>
              <w:t>套</w:t>
            </w:r>
            <w:r>
              <w:rPr>
                <w:rFonts w:hint="eastAsia"/>
                <w:color w:val="auto"/>
                <w:spacing w:val="-1"/>
                <w:highlight w:val="none"/>
              </w:rPr>
              <w:t>。同时，为保证灌区工程的正常运行，应对灌区工程进行经常性检查、临时性检查、定期检查、过水期检查。</w:t>
            </w:r>
          </w:p>
          <w:p>
            <w:pPr>
              <w:adjustRightInd w:val="0"/>
              <w:snapToGrid w:val="0"/>
              <w:spacing w:line="360" w:lineRule="auto"/>
              <w:ind w:firstLine="416" w:firstLineChars="200"/>
              <w:rPr>
                <w:rFonts w:hint="default" w:ascii="Times New Roman" w:hAnsi="Times New Roman" w:eastAsia="宋体" w:cs="Times New Roman"/>
                <w:b/>
                <w:color w:val="auto"/>
                <w:sz w:val="21"/>
                <w:szCs w:val="21"/>
                <w:highlight w:val="none"/>
                <w:lang w:val="en-US" w:eastAsia="zh-CN"/>
              </w:rPr>
            </w:pPr>
            <w:r>
              <w:rPr>
                <w:color w:val="auto"/>
                <w:spacing w:val="-1"/>
                <w:highlight w:val="none"/>
              </w:rPr>
              <w:t>在检修期，从下段到上段，关闭上段阀门，排空下段管道水量，停止下段及所控制支管的供水，从下到上依序检修。事故期关闭干管上段</w:t>
            </w:r>
            <w:r>
              <w:rPr>
                <w:rFonts w:hint="eastAsia"/>
                <w:color w:val="auto"/>
                <w:spacing w:val="-1"/>
                <w:highlight w:val="none"/>
              </w:rPr>
              <w:t>闸阀</w:t>
            </w:r>
            <w:r>
              <w:rPr>
                <w:color w:val="auto"/>
                <w:spacing w:val="-1"/>
                <w:highlight w:val="none"/>
              </w:rPr>
              <w:t>，排空下段水量，停止下段干管及所控制支管的供水，进行事故处理，事故处理期供水应通过当地水利设施解决。如遇特殊用水要求时，可适当加大流量，但时间不宜过长，尤其是有滑坡危险地段或在12月</w:t>
            </w:r>
            <w:r>
              <w:rPr>
                <w:rFonts w:hint="eastAsia"/>
                <w:color w:val="auto"/>
                <w:spacing w:val="-1"/>
                <w:highlight w:val="none"/>
                <w:lang w:eastAsia="zh-CN"/>
              </w:rPr>
              <w:t>～</w:t>
            </w:r>
            <w:r>
              <w:rPr>
                <w:color w:val="auto"/>
                <w:spacing w:val="-1"/>
                <w:highlight w:val="none"/>
              </w:rPr>
              <w:t>次年3月期间，每次改变流量不应超过10%</w:t>
            </w:r>
            <w:r>
              <w:rPr>
                <w:rFonts w:hint="eastAsia"/>
                <w:color w:val="auto"/>
                <w:spacing w:val="-1"/>
                <w:highlight w:val="none"/>
                <w:lang w:eastAsia="zh-CN"/>
              </w:rPr>
              <w:t>～</w:t>
            </w:r>
            <w:r>
              <w:rPr>
                <w:color w:val="auto"/>
                <w:spacing w:val="-1"/>
                <w:highlight w:val="none"/>
              </w:rPr>
              <w:t>20%。</w:t>
            </w:r>
          </w:p>
          <w:p>
            <w:pPr>
              <w:adjustRightInd w:val="0"/>
              <w:snapToGrid w:val="0"/>
              <w:spacing w:line="360" w:lineRule="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2.</w:t>
            </w:r>
            <w:r>
              <w:rPr>
                <w:rFonts w:hint="default" w:ascii="Times New Roman" w:hAnsi="Times New Roman" w:cs="Times New Roman"/>
                <w:b/>
                <w:color w:val="auto"/>
                <w:sz w:val="21"/>
                <w:szCs w:val="21"/>
                <w:highlight w:val="none"/>
                <w:lang w:val="en-US" w:eastAsia="zh-CN"/>
              </w:rPr>
              <w:t>2.</w:t>
            </w:r>
            <w:r>
              <w:rPr>
                <w:rFonts w:hint="eastAsia" w:cs="Times New Roman"/>
                <w:b/>
                <w:color w:val="auto"/>
                <w:sz w:val="21"/>
                <w:szCs w:val="21"/>
                <w:highlight w:val="none"/>
                <w:lang w:val="en-US" w:eastAsia="zh-CN"/>
              </w:rPr>
              <w:t>4泥沙淤积及回水</w:t>
            </w:r>
          </w:p>
          <w:p>
            <w:pPr>
              <w:adjustRightInd w:val="0"/>
              <w:snapToGrid w:val="0"/>
              <w:spacing w:line="360" w:lineRule="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2.</w:t>
            </w:r>
            <w:r>
              <w:rPr>
                <w:rFonts w:hint="default" w:ascii="Times New Roman" w:hAnsi="Times New Roman" w:cs="Times New Roman"/>
                <w:b/>
                <w:color w:val="auto"/>
                <w:sz w:val="21"/>
                <w:szCs w:val="21"/>
                <w:highlight w:val="none"/>
                <w:lang w:val="en-US" w:eastAsia="zh-CN"/>
              </w:rPr>
              <w:t>2.</w:t>
            </w:r>
            <w:r>
              <w:rPr>
                <w:rFonts w:hint="eastAsia" w:cs="Times New Roman"/>
                <w:b/>
                <w:color w:val="auto"/>
                <w:sz w:val="21"/>
                <w:szCs w:val="21"/>
                <w:highlight w:val="none"/>
                <w:lang w:val="en-US" w:eastAsia="zh-CN"/>
              </w:rPr>
              <w:t>4</w:t>
            </w:r>
            <w:r>
              <w:rPr>
                <w:rFonts w:hint="default" w:ascii="Times New Roman" w:hAnsi="Times New Roman" w:eastAsia="宋体" w:cs="Times New Roman"/>
                <w:b/>
                <w:color w:val="auto"/>
                <w:sz w:val="21"/>
                <w:szCs w:val="21"/>
                <w:highlight w:val="none"/>
                <w:lang w:val="en-US" w:eastAsia="zh-CN"/>
              </w:rPr>
              <w:t>.</w:t>
            </w:r>
            <w:r>
              <w:rPr>
                <w:rFonts w:hint="eastAsia" w:cs="Times New Roman"/>
                <w:b/>
                <w:color w:val="auto"/>
                <w:sz w:val="21"/>
                <w:szCs w:val="21"/>
                <w:highlight w:val="none"/>
                <w:lang w:val="en-US" w:eastAsia="zh-CN"/>
              </w:rPr>
              <w:t>1水库泥沙淤积</w:t>
            </w:r>
          </w:p>
          <w:p>
            <w:pPr>
              <w:adjustRightInd w:val="0"/>
              <w:snapToGrid w:val="0"/>
              <w:spacing w:line="360" w:lineRule="auto"/>
              <w:ind w:firstLine="420" w:firstLineChars="200"/>
              <w:rPr>
                <w:rFonts w:hint="default" w:cs="Times New Roman"/>
                <w:b w:val="0"/>
                <w:bCs/>
                <w:color w:val="auto"/>
                <w:sz w:val="21"/>
                <w:szCs w:val="21"/>
                <w:highlight w:val="none"/>
                <w:lang w:val="en-US" w:eastAsia="zh-CN"/>
              </w:rPr>
            </w:pPr>
            <w:r>
              <w:rPr>
                <w:rFonts w:hint="eastAsia"/>
                <w:color w:val="auto"/>
                <w:highlight w:val="none"/>
                <w:lang w:val="en-US" w:eastAsia="zh-CN"/>
              </w:rPr>
              <w:t>根据初步设计资料，</w:t>
            </w:r>
            <w:r>
              <w:rPr>
                <w:rFonts w:ascii="Times New Roman" w:hAnsi="Times New Roman" w:cs="Times New Roman"/>
                <w:color w:val="auto"/>
                <w:highlight w:val="none"/>
              </w:rPr>
              <w:t>堰沟水库泥沙由两部分组成，自身流域泥沙和充水渠充囤泥沙。堰沟水库坝址处多年平均悬移质输沙量0.11万t，体积0.091万m</w:t>
            </w:r>
            <w:r>
              <w:rPr>
                <w:rFonts w:ascii="Times New Roman" w:hAnsi="Times New Roman" w:cs="Times New Roman"/>
                <w:color w:val="auto"/>
                <w:highlight w:val="none"/>
                <w:vertAlign w:val="superscript"/>
              </w:rPr>
              <w:t>3</w:t>
            </w:r>
            <w:r>
              <w:rPr>
                <w:rFonts w:ascii="Times New Roman" w:hAnsi="Times New Roman" w:cs="Times New Roman"/>
                <w:color w:val="auto"/>
                <w:highlight w:val="none"/>
              </w:rPr>
              <w:t>；多年平均推移质输沙量0.02万t，体积为0.012万m</w:t>
            </w:r>
            <w:r>
              <w:rPr>
                <w:rFonts w:ascii="Times New Roman" w:hAnsi="Times New Roman" w:cs="Times New Roman"/>
                <w:color w:val="auto"/>
                <w:highlight w:val="none"/>
                <w:vertAlign w:val="superscript"/>
              </w:rPr>
              <w:t>3</w:t>
            </w:r>
            <w:r>
              <w:rPr>
                <w:rFonts w:ascii="Times New Roman" w:hAnsi="Times New Roman" w:cs="Times New Roman"/>
                <w:color w:val="auto"/>
                <w:highlight w:val="none"/>
              </w:rPr>
              <w:t>，则入库总沙量为0.103万m</w:t>
            </w:r>
            <w:r>
              <w:rPr>
                <w:rFonts w:ascii="Times New Roman" w:hAnsi="Times New Roman" w:cs="Times New Roman"/>
                <w:color w:val="auto"/>
                <w:highlight w:val="none"/>
                <w:vertAlign w:val="superscript"/>
              </w:rPr>
              <w:t>3</w:t>
            </w:r>
            <w:r>
              <w:rPr>
                <w:rFonts w:ascii="Times New Roman" w:hAnsi="Times New Roman" w:cs="Times New Roman"/>
                <w:color w:val="auto"/>
                <w:highlight w:val="none"/>
              </w:rPr>
              <w:t>。库沙比</w:t>
            </w:r>
            <w:r>
              <w:rPr>
                <w:rFonts w:hint="eastAsia" w:ascii="Times New Roman" w:hAnsi="Times New Roman" w:cs="Times New Roman"/>
                <w:color w:val="auto"/>
                <w:highlight w:val="none"/>
              </w:rPr>
              <w:t>193.74</w:t>
            </w:r>
            <w:r>
              <w:rPr>
                <w:rFonts w:ascii="Times New Roman" w:hAnsi="Times New Roman" w:cs="Times New Roman"/>
                <w:color w:val="auto"/>
                <w:highlight w:val="none"/>
              </w:rPr>
              <w:t>/0.103=</w:t>
            </w:r>
            <w:r>
              <w:rPr>
                <w:rFonts w:hint="eastAsia" w:ascii="Times New Roman" w:hAnsi="Times New Roman" w:cs="Times New Roman"/>
                <w:color w:val="auto"/>
                <w:highlight w:val="none"/>
              </w:rPr>
              <w:t>1881</w:t>
            </w:r>
            <w:r>
              <w:rPr>
                <w:rFonts w:ascii="Times New Roman" w:hAnsi="Times New Roman" w:cs="Times New Roman"/>
                <w:color w:val="auto"/>
                <w:highlight w:val="none"/>
              </w:rPr>
              <w:t>&gt;100。</w:t>
            </w:r>
          </w:p>
          <w:p>
            <w:pPr>
              <w:adjustRightInd w:val="0"/>
              <w:snapToGrid w:val="0"/>
              <w:spacing w:line="360" w:lineRule="auto"/>
              <w:ind w:firstLine="420" w:firstLineChars="200"/>
              <w:rPr>
                <w:rFonts w:hint="eastAsia" w:eastAsia="宋体" w:cs="Times New Roman"/>
                <w:b w:val="0"/>
                <w:bCs/>
                <w:color w:val="auto"/>
                <w:sz w:val="21"/>
                <w:szCs w:val="21"/>
                <w:highlight w:val="none"/>
                <w:lang w:val="en-US" w:eastAsia="zh-CN"/>
              </w:rPr>
            </w:pPr>
            <w:r>
              <w:rPr>
                <w:rFonts w:hint="eastAsia" w:ascii="Times New Roman" w:hAnsi="Times New Roman"/>
                <w:color w:val="auto"/>
                <w:sz w:val="21"/>
                <w:szCs w:val="21"/>
                <w:highlight w:val="none"/>
              </w:rPr>
              <w:t>对水库泥沙冲淤进行计算，</w:t>
            </w:r>
            <w:r>
              <w:rPr>
                <w:rFonts w:ascii="Times New Roman" w:hAnsi="Times New Roman"/>
                <w:color w:val="auto"/>
                <w:sz w:val="21"/>
                <w:szCs w:val="21"/>
                <w:highlight w:val="none"/>
              </w:rPr>
              <w:t>水库年淤沙量0.103万m</w:t>
            </w:r>
            <w:r>
              <w:rPr>
                <w:rFonts w:ascii="Times New Roman" w:hAnsi="Times New Roman"/>
                <w:color w:val="auto"/>
                <w:sz w:val="21"/>
                <w:szCs w:val="21"/>
                <w:highlight w:val="none"/>
                <w:vertAlign w:val="superscript"/>
              </w:rPr>
              <w:t>3</w:t>
            </w:r>
            <w:r>
              <w:rPr>
                <w:rFonts w:ascii="Times New Roman" w:hAnsi="Times New Roman"/>
                <w:color w:val="auto"/>
                <w:sz w:val="21"/>
                <w:szCs w:val="21"/>
                <w:highlight w:val="none"/>
              </w:rPr>
              <w:t>，则30年水库泥沙淤积总量为3.1万m</w:t>
            </w:r>
            <w:r>
              <w:rPr>
                <w:rFonts w:ascii="Times New Roman" w:hAnsi="Times New Roman"/>
                <w:color w:val="auto"/>
                <w:sz w:val="21"/>
                <w:szCs w:val="21"/>
                <w:highlight w:val="none"/>
                <w:vertAlign w:val="superscript"/>
              </w:rPr>
              <w:t>3</w:t>
            </w:r>
            <w:r>
              <w:rPr>
                <w:rFonts w:ascii="Times New Roman" w:hAnsi="Times New Roman"/>
                <w:color w:val="auto"/>
                <w:sz w:val="21"/>
                <w:szCs w:val="21"/>
                <w:highlight w:val="none"/>
              </w:rPr>
              <w:t>，其中入库悬移质淤积量2.75万m</w:t>
            </w:r>
            <w:r>
              <w:rPr>
                <w:rFonts w:ascii="Times New Roman" w:hAnsi="Times New Roman"/>
                <w:color w:val="auto"/>
                <w:sz w:val="21"/>
                <w:szCs w:val="21"/>
                <w:highlight w:val="none"/>
                <w:vertAlign w:val="superscript"/>
              </w:rPr>
              <w:t>3</w:t>
            </w:r>
            <w:r>
              <w:rPr>
                <w:rFonts w:ascii="Times New Roman" w:hAnsi="Times New Roman"/>
                <w:color w:val="auto"/>
                <w:sz w:val="21"/>
                <w:szCs w:val="21"/>
                <w:highlight w:val="none"/>
              </w:rPr>
              <w:t>，推移质淤积量0.35万m</w:t>
            </w:r>
            <w:r>
              <w:rPr>
                <w:rFonts w:ascii="Times New Roman" w:hAnsi="Times New Roman"/>
                <w:color w:val="auto"/>
                <w:sz w:val="21"/>
                <w:szCs w:val="21"/>
                <w:highlight w:val="none"/>
                <w:vertAlign w:val="superscript"/>
              </w:rPr>
              <w:t>3</w:t>
            </w:r>
            <w:r>
              <w:rPr>
                <w:rFonts w:ascii="Times New Roman" w:hAnsi="Times New Roman"/>
                <w:color w:val="auto"/>
                <w:sz w:val="21"/>
                <w:szCs w:val="21"/>
                <w:highlight w:val="none"/>
              </w:rPr>
              <w:t>。坝前淤积高程</w:t>
            </w:r>
            <w:r>
              <w:rPr>
                <w:rFonts w:hint="eastAsia" w:ascii="Times New Roman" w:hAnsi="Times New Roman"/>
                <w:color w:val="auto"/>
                <w:sz w:val="21"/>
                <w:szCs w:val="21"/>
                <w:highlight w:val="none"/>
              </w:rPr>
              <w:t>587.19</w:t>
            </w:r>
            <w:r>
              <w:rPr>
                <w:rFonts w:ascii="Times New Roman" w:hAnsi="Times New Roman"/>
                <w:color w:val="auto"/>
                <w:sz w:val="21"/>
                <w:szCs w:val="21"/>
                <w:highlight w:val="none"/>
              </w:rPr>
              <w:t>m</w:t>
            </w:r>
            <w:r>
              <w:rPr>
                <w:rFonts w:hint="eastAsia"/>
                <w:color w:val="auto"/>
                <w:sz w:val="21"/>
                <w:szCs w:val="21"/>
                <w:highlight w:val="none"/>
                <w:lang w:eastAsia="zh-CN"/>
              </w:rPr>
              <w:t>。</w:t>
            </w:r>
            <w:r>
              <w:rPr>
                <w:rFonts w:ascii="Times New Roman" w:hAnsi="Times New Roman" w:cs="Times New Roman"/>
                <w:color w:val="auto"/>
                <w:highlight w:val="none"/>
              </w:rPr>
              <w:t>泥沙淤积对堰沟水库的库容影响较小，正常蓄水位对应库容</w:t>
            </w:r>
            <w:r>
              <w:rPr>
                <w:rFonts w:hint="eastAsia" w:ascii="Times New Roman" w:hAnsi="Times New Roman" w:cs="Times New Roman"/>
                <w:color w:val="auto"/>
                <w:highlight w:val="none"/>
              </w:rPr>
              <w:t>193.74</w:t>
            </w:r>
            <w:r>
              <w:rPr>
                <w:rFonts w:ascii="Times New Roman" w:hAnsi="Times New Roman" w:cs="Times New Roman"/>
                <w:color w:val="auto"/>
                <w:highlight w:val="none"/>
              </w:rPr>
              <w:t>万m</w:t>
            </w:r>
            <w:r>
              <w:rPr>
                <w:rFonts w:ascii="Times New Roman" w:hAnsi="Times New Roman" w:cs="Times New Roman"/>
                <w:color w:val="auto"/>
                <w:highlight w:val="none"/>
                <w:vertAlign w:val="superscript"/>
              </w:rPr>
              <w:t>3</w:t>
            </w:r>
            <w:r>
              <w:rPr>
                <w:rFonts w:ascii="Times New Roman" w:hAnsi="Times New Roman" w:cs="Times New Roman"/>
                <w:color w:val="auto"/>
                <w:highlight w:val="none"/>
              </w:rPr>
              <w:t>，淤积库容3.1万m</w:t>
            </w:r>
            <w:r>
              <w:rPr>
                <w:rFonts w:ascii="Times New Roman" w:hAnsi="Times New Roman" w:cs="Times New Roman"/>
                <w:color w:val="auto"/>
                <w:highlight w:val="none"/>
                <w:vertAlign w:val="superscript"/>
              </w:rPr>
              <w:t>3</w:t>
            </w:r>
            <w:r>
              <w:rPr>
                <w:rFonts w:ascii="Times New Roman" w:hAnsi="Times New Roman" w:cs="Times New Roman"/>
                <w:color w:val="auto"/>
                <w:highlight w:val="none"/>
              </w:rPr>
              <w:t>，泥沙主要淤积在死库容内，对调节库容影响较小。</w:t>
            </w:r>
          </w:p>
          <w:p>
            <w:pPr>
              <w:adjustRightInd w:val="0"/>
              <w:snapToGrid w:val="0"/>
              <w:spacing w:line="360" w:lineRule="auto"/>
              <w:ind w:firstLine="422" w:firstLineChars="200"/>
              <w:rPr>
                <w:rFonts w:hint="eastAsia" w:cs="Times New Roman"/>
                <w:b w:val="0"/>
                <w:bCs/>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2.</w:t>
            </w:r>
            <w:r>
              <w:rPr>
                <w:rFonts w:hint="default" w:ascii="Times New Roman" w:hAnsi="Times New Roman" w:cs="Times New Roman"/>
                <w:b/>
                <w:color w:val="auto"/>
                <w:sz w:val="21"/>
                <w:szCs w:val="21"/>
                <w:highlight w:val="none"/>
                <w:lang w:val="en-US" w:eastAsia="zh-CN"/>
              </w:rPr>
              <w:t>2.</w:t>
            </w:r>
            <w:r>
              <w:rPr>
                <w:rFonts w:hint="eastAsia" w:cs="Times New Roman"/>
                <w:b/>
                <w:color w:val="auto"/>
                <w:sz w:val="21"/>
                <w:szCs w:val="21"/>
                <w:highlight w:val="none"/>
                <w:lang w:val="en-US" w:eastAsia="zh-CN"/>
              </w:rPr>
              <w:t>4</w:t>
            </w:r>
            <w:r>
              <w:rPr>
                <w:rFonts w:hint="default" w:ascii="Times New Roman" w:hAnsi="Times New Roman" w:eastAsia="宋体" w:cs="Times New Roman"/>
                <w:b/>
                <w:color w:val="auto"/>
                <w:sz w:val="21"/>
                <w:szCs w:val="21"/>
                <w:highlight w:val="none"/>
                <w:lang w:val="en-US" w:eastAsia="zh-CN"/>
              </w:rPr>
              <w:t>.</w:t>
            </w:r>
            <w:r>
              <w:rPr>
                <w:rFonts w:hint="eastAsia" w:cs="Times New Roman"/>
                <w:b/>
                <w:color w:val="auto"/>
                <w:sz w:val="21"/>
                <w:szCs w:val="21"/>
                <w:highlight w:val="none"/>
                <w:lang w:val="en-US" w:eastAsia="zh-CN"/>
              </w:rPr>
              <w:t>2库区回水</w:t>
            </w:r>
          </w:p>
          <w:p>
            <w:pPr>
              <w:adjustRightInd w:val="0"/>
              <w:snapToGrid w:val="0"/>
              <w:spacing w:line="360" w:lineRule="auto"/>
              <w:ind w:firstLine="420" w:firstLineChars="200"/>
              <w:rPr>
                <w:rFonts w:hint="eastAsia" w:ascii="Times New Roman" w:hAnsi="Times New Roman" w:eastAsia="宋体" w:cs="Times New Roman"/>
                <w:b w:val="0"/>
                <w:bCs/>
                <w:color w:val="auto"/>
                <w:sz w:val="21"/>
                <w:szCs w:val="21"/>
                <w:highlight w:val="none"/>
                <w:lang w:val="en-US" w:eastAsia="zh-CN"/>
              </w:rPr>
            </w:pPr>
            <w:r>
              <w:rPr>
                <w:rFonts w:ascii="Times New Roman" w:hAnsi="Times New Roman"/>
                <w:color w:val="auto"/>
                <w:sz w:val="21"/>
                <w:szCs w:val="21"/>
                <w:highlight w:val="none"/>
              </w:rPr>
              <w:t>按照水流能量方程式，用有限差分法计算库区天然洪水水面线及淤积平衡后</w:t>
            </w:r>
            <w:r>
              <w:rPr>
                <w:rFonts w:hint="eastAsia" w:ascii="Times New Roman" w:hAnsi="Times New Roman"/>
                <w:color w:val="auto"/>
                <w:sz w:val="24"/>
                <w:szCs w:val="24"/>
                <w:highlight w:val="none"/>
              </w:rPr>
              <w:t>5</w:t>
            </w:r>
            <w:r>
              <w:rPr>
                <w:rFonts w:ascii="Times New Roman" w:hAnsi="Times New Roman"/>
                <w:color w:val="auto"/>
                <w:sz w:val="24"/>
                <w:szCs w:val="24"/>
                <w:highlight w:val="none"/>
              </w:rPr>
              <w:t>年一遇洪水标准（P=20%）</w:t>
            </w:r>
            <w:r>
              <w:rPr>
                <w:rFonts w:hint="eastAsia"/>
                <w:color w:val="auto"/>
                <w:sz w:val="24"/>
                <w:szCs w:val="24"/>
                <w:highlight w:val="none"/>
                <w:lang w:eastAsia="zh-CN"/>
              </w:rPr>
              <w:t>、</w:t>
            </w:r>
            <w:r>
              <w:rPr>
                <w:rFonts w:hint="eastAsia" w:ascii="Times New Roman" w:hAnsi="Times New Roman"/>
                <w:color w:val="auto"/>
                <w:sz w:val="24"/>
                <w:szCs w:val="24"/>
                <w:highlight w:val="none"/>
              </w:rPr>
              <w:t>20</w:t>
            </w:r>
            <w:r>
              <w:rPr>
                <w:rFonts w:ascii="Times New Roman" w:hAnsi="Times New Roman"/>
                <w:color w:val="auto"/>
                <w:sz w:val="24"/>
                <w:szCs w:val="24"/>
                <w:highlight w:val="none"/>
              </w:rPr>
              <w:t>年一遇洪水标准（P=5%）</w:t>
            </w:r>
            <w:r>
              <w:rPr>
                <w:rFonts w:ascii="Times New Roman" w:hAnsi="Times New Roman"/>
                <w:color w:val="auto"/>
                <w:sz w:val="21"/>
                <w:szCs w:val="21"/>
                <w:highlight w:val="none"/>
              </w:rPr>
              <w:t>洪水的回水水面线，水库干流回水长度</w:t>
            </w:r>
            <w:r>
              <w:rPr>
                <w:rFonts w:hint="eastAsia" w:ascii="Times New Roman" w:hAnsi="Times New Roman"/>
                <w:color w:val="auto"/>
                <w:sz w:val="21"/>
                <w:szCs w:val="21"/>
                <w:highlight w:val="none"/>
              </w:rPr>
              <w:t>1022</w:t>
            </w:r>
            <w:r>
              <w:rPr>
                <w:rFonts w:ascii="Times New Roman" w:hAnsi="Times New Roman"/>
                <w:color w:val="auto"/>
                <w:sz w:val="21"/>
                <w:szCs w:val="21"/>
                <w:highlight w:val="none"/>
              </w:rPr>
              <w:t>m</w:t>
            </w:r>
            <w:r>
              <w:rPr>
                <w:rFonts w:hint="eastAsia"/>
                <w:color w:val="auto"/>
                <w:sz w:val="21"/>
                <w:szCs w:val="21"/>
                <w:highlight w:val="none"/>
                <w:lang w:eastAsia="zh-CN"/>
              </w:rPr>
              <w:t>。</w:t>
            </w:r>
          </w:p>
          <w:p>
            <w:pPr>
              <w:adjustRightInd w:val="0"/>
              <w:snapToGrid w:val="0"/>
              <w:spacing w:line="360" w:lineRule="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2.</w:t>
            </w:r>
            <w:r>
              <w:rPr>
                <w:rFonts w:hint="default" w:ascii="Times New Roman" w:hAnsi="Times New Roman" w:cs="Times New Roman"/>
                <w:b/>
                <w:color w:val="auto"/>
                <w:sz w:val="21"/>
                <w:szCs w:val="21"/>
                <w:highlight w:val="none"/>
                <w:lang w:val="en-US" w:eastAsia="zh-CN"/>
              </w:rPr>
              <w:t>2.</w:t>
            </w:r>
            <w:r>
              <w:rPr>
                <w:rFonts w:hint="eastAsia" w:cs="Times New Roman"/>
                <w:b/>
                <w:color w:val="auto"/>
                <w:sz w:val="21"/>
                <w:szCs w:val="21"/>
                <w:highlight w:val="none"/>
                <w:lang w:val="en-US" w:eastAsia="zh-CN"/>
              </w:rPr>
              <w:t>5工程等级及标准</w:t>
            </w:r>
          </w:p>
          <w:p>
            <w:pPr>
              <w:spacing w:line="360" w:lineRule="auto"/>
              <w:ind w:firstLine="48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根据《水利水电工程等级划分及洪水标准》（</w:t>
            </w:r>
            <w:r>
              <w:rPr>
                <w:rFonts w:hint="default" w:ascii="Times New Roman" w:hAnsi="Times New Roman" w:cs="Times New Roman"/>
                <w:color w:val="auto"/>
                <w:sz w:val="21"/>
                <w:szCs w:val="21"/>
                <w:highlight w:val="none"/>
                <w:lang w:bidi="en-US"/>
              </w:rPr>
              <w:t>SL252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bidi="en-US"/>
              </w:rPr>
              <w:t>2017</w:t>
            </w:r>
            <w:r>
              <w:rPr>
                <w:rFonts w:hint="default" w:ascii="Times New Roman" w:hAnsi="Times New Roman" w:cs="Times New Roman"/>
                <w:color w:val="auto"/>
                <w:sz w:val="21"/>
                <w:szCs w:val="21"/>
                <w:highlight w:val="none"/>
              </w:rPr>
              <w:t>），堰沟水库枢纽等别为Ⅳ等，规模为小（1）型工程。大坝、补水坝和补水渠等主要永久建筑物级别为4级，次要及临时建筑物级别为5级。灌区管道设计流量均小于1m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/s，但供水干管承担建制镇主要供水任务，主要建筑物级别取为4级，其余建筑物级别取为5级。</w:t>
            </w:r>
          </w:p>
          <w:p>
            <w:pPr>
              <w:adjustRightInd w:val="0"/>
              <w:snapToGrid w:val="0"/>
              <w:spacing w:line="360" w:lineRule="auto"/>
              <w:ind w:firstLine="420" w:firstLineChars="20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color w:val="auto"/>
                <w:sz w:val="21"/>
                <w:szCs w:val="21"/>
                <w:highlight w:val="none"/>
                <w:lang w:bidi="en-US"/>
              </w:rPr>
              <w:t>根据《防洪标准》（GB50201</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bidi="en-US"/>
              </w:rPr>
              <w:t>2014）和《水利水电工程等级划分及洪水标准》（SL252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bidi="en-US"/>
              </w:rPr>
              <w:t>2017）之规定：</w:t>
            </w:r>
            <w:r>
              <w:rPr>
                <w:rFonts w:hint="default" w:ascii="Times New Roman" w:hAnsi="Times New Roman" w:cs="Times New Roman"/>
                <w:color w:val="auto"/>
                <w:sz w:val="21"/>
                <w:szCs w:val="21"/>
                <w:highlight w:val="none"/>
              </w:rPr>
              <w:t>枢纽大坝设计洪水重现期为30年一遇，校核洪水重现期为200年一遇，消能防冲设计洪水重现期为20年一遇；补水拦河堰设计洪水重现期为10年一遇，校核洪水重现期为50年一遇，消能防冲设计洪水重现期为10年一遇；补水渠设计洪水重现期为10年一遇。灌区输水管道设计洪水重现期为10年一遇。</w:t>
            </w:r>
          </w:p>
          <w:p>
            <w:pPr>
              <w:adjustRightInd w:val="0"/>
              <w:snapToGrid w:val="0"/>
              <w:spacing w:line="360" w:lineRule="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en-US" w:eastAsia="zh-CN"/>
              </w:rPr>
              <w:t>2.</w:t>
            </w:r>
            <w:r>
              <w:rPr>
                <w:rFonts w:hint="default" w:ascii="Times New Roman" w:hAnsi="Times New Roman" w:cs="Times New Roman"/>
                <w:b/>
                <w:color w:val="auto"/>
                <w:sz w:val="21"/>
                <w:szCs w:val="21"/>
                <w:highlight w:val="none"/>
                <w:lang w:val="en-US" w:eastAsia="zh-CN"/>
              </w:rPr>
              <w:t>3</w:t>
            </w:r>
            <w:r>
              <w:rPr>
                <w:rFonts w:hint="default" w:ascii="Times New Roman" w:hAnsi="Times New Roman" w:eastAsia="宋体" w:cs="Times New Roman"/>
                <w:b/>
                <w:color w:val="auto"/>
                <w:sz w:val="21"/>
                <w:szCs w:val="21"/>
                <w:highlight w:val="none"/>
              </w:rPr>
              <w:t>项目组成</w:t>
            </w:r>
          </w:p>
          <w:p>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堰沟水库工程</w:t>
            </w:r>
            <w:r>
              <w:rPr>
                <w:rFonts w:hint="eastAsia" w:cs="Times New Roman"/>
                <w:color w:val="auto"/>
                <w:sz w:val="21"/>
                <w:szCs w:val="21"/>
                <w:highlight w:val="none"/>
                <w:lang w:val="en-US" w:eastAsia="zh-CN"/>
              </w:rPr>
              <w:t>由</w:t>
            </w:r>
            <w:r>
              <w:rPr>
                <w:rFonts w:hint="default" w:ascii="Times New Roman" w:hAnsi="Times New Roman" w:eastAsia="宋体" w:cs="Times New Roman"/>
                <w:color w:val="auto"/>
                <w:sz w:val="21"/>
                <w:szCs w:val="21"/>
                <w:highlight w:val="none"/>
              </w:rPr>
              <w:t>枢纽工程</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灌区工程</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施工临时工程、公用工程和环境保护工程等组成。</w:t>
            </w:r>
            <w:r>
              <w:rPr>
                <w:rFonts w:hint="default" w:ascii="Times New Roman" w:hAnsi="Times New Roman" w:eastAsia="宋体" w:cs="Times New Roman"/>
                <w:b w:val="0"/>
                <w:bCs/>
                <w:color w:val="auto"/>
                <w:sz w:val="21"/>
                <w:szCs w:val="21"/>
                <w:highlight w:val="none"/>
                <w:lang w:val="en-US" w:eastAsia="zh-CN"/>
              </w:rPr>
              <w:t>项目组成</w:t>
            </w:r>
            <w:r>
              <w:rPr>
                <w:rFonts w:hint="default" w:ascii="Times New Roman" w:hAnsi="Times New Roman" w:eastAsia="宋体" w:cs="Times New Roman"/>
                <w:color w:val="auto"/>
                <w:sz w:val="21"/>
                <w:szCs w:val="21"/>
                <w:highlight w:val="none"/>
              </w:rPr>
              <w:t>见表2</w:t>
            </w:r>
            <w:r>
              <w:rPr>
                <w:rFonts w:hint="default" w:ascii="Times New Roman" w:hAns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-1。</w:t>
            </w:r>
          </w:p>
          <w:p>
            <w:pPr>
              <w:adjustRightInd w:val="0"/>
              <w:snapToGrid w:val="0"/>
              <w:spacing w:line="360" w:lineRule="auto"/>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rPr>
              <w:t>表2</w:t>
            </w:r>
            <w:r>
              <w:rPr>
                <w:rFonts w:hint="default" w:ascii="Times New Roman" w:hAnsi="Times New Roman" w:cs="Times New Roman"/>
                <w:b/>
                <w:color w:val="auto"/>
                <w:sz w:val="21"/>
                <w:szCs w:val="21"/>
                <w:highlight w:val="none"/>
                <w:lang w:val="en-US" w:eastAsia="zh-CN"/>
              </w:rPr>
              <w:t>.3</w:t>
            </w:r>
            <w:r>
              <w:rPr>
                <w:rFonts w:hint="default" w:ascii="Times New Roman" w:hAnsi="Times New Roman" w:eastAsia="宋体" w:cs="Times New Roman"/>
                <w:b/>
                <w:color w:val="auto"/>
                <w:sz w:val="21"/>
                <w:szCs w:val="21"/>
                <w:highlight w:val="none"/>
              </w:rPr>
              <w:t>-1  项目组成</w:t>
            </w:r>
            <w:r>
              <w:rPr>
                <w:rFonts w:hint="default" w:ascii="Times New Roman" w:hAnsi="Times New Roman" w:cs="Times New Roman"/>
                <w:b/>
                <w:color w:val="auto"/>
                <w:sz w:val="21"/>
                <w:szCs w:val="21"/>
                <w:highlight w:val="none"/>
                <w:lang w:eastAsia="zh-CN"/>
              </w:rPr>
              <w:t>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
            <w:tblGrid>
              <w:gridCol w:w="644"/>
              <w:gridCol w:w="829"/>
              <w:gridCol w:w="991"/>
              <w:gridCol w:w="5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4" w:type="dxa"/>
                  <w:bottom w:w="0" w:type="dxa"/>
                  <w:right w:w="74" w:type="dxa"/>
                </w:tblCellMar>
              </w:tblPrEx>
              <w:trPr>
                <w:trHeight w:val="284" w:hRule="atLeast"/>
                <w:jc w:val="center"/>
              </w:trPr>
              <w:tc>
                <w:tcPr>
                  <w:tcW w:w="1479" w:type="pct"/>
                  <w:gridSpan w:val="3"/>
                  <w:shd w:val="clear" w:color="auto" w:fill="auto"/>
                  <w:tcMar>
                    <w:left w:w="57" w:type="dxa"/>
                    <w:right w:w="57" w:type="dxa"/>
                  </w:tcMar>
                  <w:vAlign w:val="center"/>
                </w:tcPr>
                <w:p>
                  <w:pPr>
                    <w:adjustRightInd w:val="0"/>
                    <w:snapToGrid w:val="0"/>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项目组成</w:t>
                  </w:r>
                </w:p>
              </w:tc>
              <w:tc>
                <w:tcPr>
                  <w:tcW w:w="3520" w:type="pct"/>
                  <w:shd w:val="clear" w:color="auto" w:fill="auto"/>
                  <w:tcMar>
                    <w:left w:w="57" w:type="dxa"/>
                    <w:right w:w="57" w:type="dxa"/>
                  </w:tcMar>
                  <w:vAlign w:val="center"/>
                </w:tcPr>
                <w:p>
                  <w:pPr>
                    <w:adjustRightInd w:val="0"/>
                    <w:snapToGrid w:val="0"/>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4" w:type="dxa"/>
                  <w:bottom w:w="0" w:type="dxa"/>
                  <w:right w:w="74" w:type="dxa"/>
                </w:tblCellMar>
              </w:tblPrEx>
              <w:trPr>
                <w:trHeight w:val="739" w:hRule="atLeast"/>
                <w:jc w:val="center"/>
              </w:trPr>
              <w:tc>
                <w:tcPr>
                  <w:tcW w:w="386" w:type="pct"/>
                  <w:vMerge w:val="restart"/>
                  <w:shd w:val="clear" w:color="auto" w:fill="auto"/>
                  <w:tcMar>
                    <w:left w:w="57" w:type="dxa"/>
                    <w:right w:w="57" w:type="dxa"/>
                  </w:tcMar>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主体工程</w:t>
                  </w:r>
                </w:p>
              </w:tc>
              <w:tc>
                <w:tcPr>
                  <w:tcW w:w="497" w:type="pct"/>
                  <w:vMerge w:val="restart"/>
                  <w:shd w:val="clear" w:color="auto" w:fill="auto"/>
                  <w:tcMar>
                    <w:left w:w="57" w:type="dxa"/>
                    <w:right w:w="57" w:type="dxa"/>
                  </w:tcMar>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color w:val="auto"/>
                      <w:sz w:val="21"/>
                      <w:szCs w:val="21"/>
                      <w:highlight w:val="none"/>
                    </w:rPr>
                    <w:t>枢纽工程</w:t>
                  </w:r>
                </w:p>
              </w:tc>
              <w:tc>
                <w:tcPr>
                  <w:tcW w:w="594" w:type="pct"/>
                  <w:shd w:val="clear" w:color="auto" w:fill="auto"/>
                  <w:tcMar>
                    <w:left w:w="57" w:type="dxa"/>
                    <w:right w:w="57" w:type="dxa"/>
                  </w:tcMar>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拦河大坝</w:t>
                  </w:r>
                </w:p>
              </w:tc>
              <w:tc>
                <w:tcPr>
                  <w:tcW w:w="3520" w:type="pct"/>
                  <w:shd w:val="clear" w:color="auto" w:fill="auto"/>
                  <w:tcMar>
                    <w:left w:w="57" w:type="dxa"/>
                    <w:right w:w="57" w:type="dxa"/>
                  </w:tcMar>
                  <w:vAlign w:val="center"/>
                </w:tcPr>
                <w:p>
                  <w:pPr>
                    <w:keepNext w:val="0"/>
                    <w:keepLines w:val="0"/>
                    <w:widowControl/>
                    <w:suppressLineNumbers w:val="0"/>
                    <w:spacing w:line="240" w:lineRule="auto"/>
                    <w:jc w:val="both"/>
                    <w:rPr>
                      <w:rFonts w:hint="eastAsia" w:ascii="Times New Roman" w:hAnsi="Times New Roman" w:eastAsia="宋体" w:cs="Times New Roman"/>
                      <w:color w:val="auto"/>
                      <w:sz w:val="21"/>
                      <w:szCs w:val="21"/>
                      <w:highlight w:val="none"/>
                      <w:lang w:eastAsia="zh-CN"/>
                    </w:rPr>
                  </w:pPr>
                  <w:r>
                    <w:rPr>
                      <w:rFonts w:hint="eastAsia"/>
                      <w:color w:val="auto"/>
                      <w:highlight w:val="none"/>
                    </w:rPr>
                    <w:t>采用埋石混凝土重力坝</w:t>
                  </w:r>
                  <w:r>
                    <w:rPr>
                      <w:rFonts w:hint="eastAsia"/>
                      <w:color w:val="auto"/>
                      <w:highlight w:val="none"/>
                      <w:lang w:eastAsia="zh-CN"/>
                    </w:rPr>
                    <w:t>，</w:t>
                  </w:r>
                  <w:r>
                    <w:rPr>
                      <w:rFonts w:hint="eastAsia"/>
                      <w:color w:val="auto"/>
                      <w:highlight w:val="none"/>
                    </w:rPr>
                    <w:t>布置于右支沟峡口段、汇口上游0.34km</w:t>
                  </w:r>
                  <w:r>
                    <w:rPr>
                      <w:rFonts w:hint="eastAsia"/>
                      <w:color w:val="auto"/>
                      <w:highlight w:val="none"/>
                      <w:lang w:eastAsia="zh-CN"/>
                    </w:rPr>
                    <w:t>。坝顶轴线长150m，坝顶高程611.00m，最大坝高33m。大坝分为非溢流坝段和溢流坝段。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4" w:type="dxa"/>
                  <w:bottom w:w="0" w:type="dxa"/>
                  <w:right w:w="74" w:type="dxa"/>
                </w:tblCellMar>
              </w:tblPrEx>
              <w:trPr>
                <w:trHeight w:val="739" w:hRule="atLeast"/>
                <w:jc w:val="center"/>
              </w:trPr>
              <w:tc>
                <w:tcPr>
                  <w:tcW w:w="386" w:type="pct"/>
                  <w:vMerge w:val="continue"/>
                  <w:shd w:val="clear" w:color="auto" w:fill="auto"/>
                  <w:tcMar>
                    <w:left w:w="57" w:type="dxa"/>
                    <w:right w:w="57" w:type="dxa"/>
                  </w:tcMar>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497" w:type="pct"/>
                  <w:vMerge w:val="continue"/>
                  <w:shd w:val="clear" w:color="auto" w:fill="auto"/>
                  <w:tcMar>
                    <w:left w:w="57" w:type="dxa"/>
                    <w:right w:w="57" w:type="dxa"/>
                  </w:tcMar>
                  <w:vAlign w:val="center"/>
                </w:tcPr>
                <w:p>
                  <w:pPr>
                    <w:adjustRightInd w:val="0"/>
                    <w:snapToGrid w:val="0"/>
                    <w:spacing w:line="240" w:lineRule="auto"/>
                    <w:jc w:val="center"/>
                    <w:rPr>
                      <w:rFonts w:hint="default" w:ascii="Times New Roman" w:hAnsi="Times New Roman" w:eastAsia="宋体" w:cs="Times New Roman"/>
                      <w:b w:val="0"/>
                      <w:bCs/>
                      <w:color w:val="auto"/>
                      <w:sz w:val="21"/>
                      <w:szCs w:val="21"/>
                      <w:highlight w:val="none"/>
                    </w:rPr>
                  </w:pPr>
                </w:p>
              </w:tc>
              <w:tc>
                <w:tcPr>
                  <w:tcW w:w="594" w:type="pct"/>
                  <w:shd w:val="clear" w:color="auto" w:fill="auto"/>
                  <w:tcMar>
                    <w:left w:w="57" w:type="dxa"/>
                    <w:right w:w="57" w:type="dxa"/>
                  </w:tcMar>
                  <w:vAlign w:val="center"/>
                </w:tcPr>
                <w:p>
                  <w:pPr>
                    <w:adjustRightInd w:val="0"/>
                    <w:snapToGrid w:val="0"/>
                    <w:spacing w:line="240" w:lineRule="auto"/>
                    <w:jc w:val="center"/>
                    <w:rPr>
                      <w:rFonts w:hint="eastAsia" w:cs="Times New Roman"/>
                      <w:color w:val="auto"/>
                      <w:sz w:val="21"/>
                      <w:szCs w:val="21"/>
                      <w:highlight w:val="none"/>
                      <w:lang w:val="en-US" w:eastAsia="zh-CN"/>
                    </w:rPr>
                  </w:pPr>
                  <w:r>
                    <w:rPr>
                      <w:rFonts w:hint="eastAsia"/>
                      <w:color w:val="auto"/>
                      <w:highlight w:val="none"/>
                    </w:rPr>
                    <w:t>补水拦河堰</w:t>
                  </w:r>
                </w:p>
              </w:tc>
              <w:tc>
                <w:tcPr>
                  <w:tcW w:w="3520" w:type="pct"/>
                  <w:shd w:val="clear" w:color="auto" w:fill="auto"/>
                  <w:tcMar>
                    <w:left w:w="57" w:type="dxa"/>
                    <w:right w:w="57" w:type="dxa"/>
                  </w:tcMar>
                  <w:vAlign w:val="center"/>
                </w:tcPr>
                <w:p>
                  <w:pPr>
                    <w:keepNext w:val="0"/>
                    <w:keepLines w:val="0"/>
                    <w:widowControl/>
                    <w:suppressLineNumbers w:val="0"/>
                    <w:spacing w:line="240" w:lineRule="auto"/>
                    <w:jc w:val="both"/>
                    <w:rPr>
                      <w:rFonts w:hint="eastAsia"/>
                      <w:color w:val="auto"/>
                      <w:highlight w:val="none"/>
                    </w:rPr>
                  </w:pPr>
                  <w:r>
                    <w:rPr>
                      <w:rFonts w:hint="eastAsia"/>
                      <w:color w:val="auto"/>
                      <w:highlight w:val="none"/>
                    </w:rPr>
                    <w:t>坝轴线位于主沟花池水厂取水石河堰上游0.4km、左岸冲沟下游15m处，坝顶高程629.00m，坝轴线长22.4m，坝高7.5m（河床以上4m）。从右岸至左岸依次布置：溢流坝、冲沙闸、取水闸。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4" w:type="dxa"/>
                  <w:bottom w:w="0" w:type="dxa"/>
                  <w:right w:w="74" w:type="dxa"/>
                </w:tblCellMar>
              </w:tblPrEx>
              <w:trPr>
                <w:trHeight w:val="739" w:hRule="atLeast"/>
                <w:jc w:val="center"/>
              </w:trPr>
              <w:tc>
                <w:tcPr>
                  <w:tcW w:w="386" w:type="pct"/>
                  <w:vMerge w:val="continue"/>
                  <w:shd w:val="clear" w:color="auto" w:fill="auto"/>
                  <w:tcMar>
                    <w:left w:w="57" w:type="dxa"/>
                    <w:right w:w="57" w:type="dxa"/>
                  </w:tcMar>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p>
              </w:tc>
              <w:tc>
                <w:tcPr>
                  <w:tcW w:w="497" w:type="pct"/>
                  <w:vMerge w:val="continue"/>
                  <w:shd w:val="clear" w:color="auto" w:fill="auto"/>
                  <w:tcMar>
                    <w:left w:w="57" w:type="dxa"/>
                    <w:right w:w="57" w:type="dxa"/>
                  </w:tcMar>
                  <w:vAlign w:val="center"/>
                </w:tcPr>
                <w:p>
                  <w:pPr>
                    <w:adjustRightInd w:val="0"/>
                    <w:snapToGrid w:val="0"/>
                    <w:spacing w:line="240" w:lineRule="auto"/>
                    <w:jc w:val="center"/>
                    <w:rPr>
                      <w:rFonts w:hint="default" w:ascii="Times New Roman" w:hAnsi="Times New Roman" w:eastAsia="宋体" w:cs="Times New Roman"/>
                      <w:b w:val="0"/>
                      <w:bCs/>
                      <w:color w:val="auto"/>
                      <w:sz w:val="21"/>
                      <w:szCs w:val="21"/>
                      <w:highlight w:val="none"/>
                    </w:rPr>
                  </w:pPr>
                </w:p>
              </w:tc>
              <w:tc>
                <w:tcPr>
                  <w:tcW w:w="594" w:type="pct"/>
                  <w:shd w:val="clear" w:color="auto" w:fill="auto"/>
                  <w:tcMar>
                    <w:left w:w="57" w:type="dxa"/>
                    <w:right w:w="57" w:type="dxa"/>
                  </w:tcMar>
                  <w:vAlign w:val="center"/>
                </w:tcPr>
                <w:p>
                  <w:pPr>
                    <w:adjustRightInd w:val="0"/>
                    <w:snapToGrid w:val="0"/>
                    <w:spacing w:line="240" w:lineRule="auto"/>
                    <w:jc w:val="center"/>
                    <w:rPr>
                      <w:rFonts w:hint="eastAsia"/>
                      <w:color w:val="auto"/>
                      <w:highlight w:val="none"/>
                    </w:rPr>
                  </w:pPr>
                  <w:r>
                    <w:rPr>
                      <w:rFonts w:hint="eastAsia"/>
                      <w:color w:val="auto"/>
                      <w:highlight w:val="none"/>
                      <w:u w:color="FF0000"/>
                    </w:rPr>
                    <w:t>补水渠</w:t>
                  </w:r>
                </w:p>
              </w:tc>
              <w:tc>
                <w:tcPr>
                  <w:tcW w:w="3520" w:type="pct"/>
                  <w:shd w:val="clear" w:color="auto" w:fill="auto"/>
                  <w:tcMar>
                    <w:left w:w="57" w:type="dxa"/>
                    <w:right w:w="57" w:type="dxa"/>
                  </w:tcMar>
                  <w:vAlign w:val="center"/>
                </w:tcPr>
                <w:p>
                  <w:pPr>
                    <w:keepNext w:val="0"/>
                    <w:keepLines w:val="0"/>
                    <w:widowControl/>
                    <w:suppressLineNumbers w:val="0"/>
                    <w:spacing w:line="240" w:lineRule="auto"/>
                    <w:jc w:val="both"/>
                    <w:rPr>
                      <w:rFonts w:hint="eastAsia" w:eastAsia="宋体"/>
                      <w:color w:val="auto"/>
                      <w:highlight w:val="none"/>
                      <w:lang w:eastAsia="zh-CN"/>
                    </w:rPr>
                  </w:pPr>
                  <w:r>
                    <w:rPr>
                      <w:rFonts w:hint="eastAsia"/>
                      <w:color w:val="auto"/>
                      <w:highlight w:val="none"/>
                      <w:u w:color="FF0000"/>
                    </w:rPr>
                    <w:t>沿河道左岸转右岸，傍山脚、农田布置，跨冲沟入水库库尾</w:t>
                  </w:r>
                  <w:r>
                    <w:rPr>
                      <w:rFonts w:hint="eastAsia"/>
                      <w:color w:val="auto"/>
                      <w:highlight w:val="none"/>
                      <w:u w:color="FF0000"/>
                      <w:lang w:eastAsia="zh-CN"/>
                    </w:rPr>
                    <w:t>，</w:t>
                  </w:r>
                  <w:r>
                    <w:rPr>
                      <w:rFonts w:hint="eastAsia"/>
                      <w:color w:val="auto"/>
                      <w:highlight w:val="none"/>
                      <w:u w:color="FF0000"/>
                    </w:rPr>
                    <w:t>全长</w:t>
                  </w:r>
                  <w:r>
                    <w:rPr>
                      <w:color w:val="auto"/>
                      <w:highlight w:val="none"/>
                      <w:u w:color="FF0000"/>
                    </w:rPr>
                    <w:t>1.435</w:t>
                  </w:r>
                  <w:r>
                    <w:rPr>
                      <w:rFonts w:hint="eastAsia"/>
                      <w:color w:val="auto"/>
                      <w:highlight w:val="none"/>
                      <w:u w:color="FF0000"/>
                    </w:rPr>
                    <w:t>km</w:t>
                  </w:r>
                  <w:r>
                    <w:rPr>
                      <w:rFonts w:hint="eastAsia"/>
                      <w:color w:val="auto"/>
                      <w:highlight w:val="none"/>
                      <w:u w:color="FF000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4" w:type="dxa"/>
                  <w:bottom w:w="0" w:type="dxa"/>
                  <w:right w:w="74" w:type="dxa"/>
                </w:tblCellMar>
              </w:tblPrEx>
              <w:trPr>
                <w:trHeight w:val="539" w:hRule="atLeast"/>
                <w:jc w:val="center"/>
              </w:trPr>
              <w:tc>
                <w:tcPr>
                  <w:tcW w:w="386" w:type="pct"/>
                  <w:vMerge w:val="continue"/>
                  <w:shd w:val="clear" w:color="auto" w:fill="auto"/>
                  <w:tcMar>
                    <w:left w:w="57" w:type="dxa"/>
                    <w:right w:w="57" w:type="dxa"/>
                  </w:tcMar>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497" w:type="pct"/>
                  <w:vMerge w:val="restart"/>
                  <w:shd w:val="clear" w:color="auto" w:fill="auto"/>
                  <w:tcMar>
                    <w:left w:w="57" w:type="dxa"/>
                    <w:right w:w="57" w:type="dxa"/>
                  </w:tcMar>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eastAsia"/>
                      <w:color w:val="auto"/>
                      <w:highlight w:val="none"/>
                    </w:rPr>
                    <w:t>灌区</w:t>
                  </w:r>
                  <w:r>
                    <w:rPr>
                      <w:color w:val="auto"/>
                      <w:highlight w:val="none"/>
                    </w:rPr>
                    <w:t>工程</w:t>
                  </w:r>
                </w:p>
              </w:tc>
              <w:tc>
                <w:tcPr>
                  <w:tcW w:w="594" w:type="pct"/>
                  <w:shd w:val="clear" w:color="auto" w:fill="auto"/>
                  <w:tcMar>
                    <w:left w:w="57" w:type="dxa"/>
                    <w:right w:w="57" w:type="dxa"/>
                  </w:tcMar>
                  <w:vAlign w:val="center"/>
                </w:tcPr>
                <w:p>
                  <w:pPr>
                    <w:adjustRightInd w:val="0"/>
                    <w:snapToGrid w:val="0"/>
                    <w:spacing w:line="240" w:lineRule="auto"/>
                    <w:jc w:val="center"/>
                    <w:rPr>
                      <w:rFonts w:hint="default" w:eastAsia="宋体"/>
                      <w:color w:val="auto"/>
                      <w:highlight w:val="none"/>
                      <w:lang w:val="en-US" w:eastAsia="zh-CN"/>
                    </w:rPr>
                  </w:pPr>
                  <w:r>
                    <w:rPr>
                      <w:rFonts w:hint="eastAsia"/>
                      <w:color w:val="auto"/>
                      <w:highlight w:val="none"/>
                      <w:lang w:val="en-US" w:eastAsia="zh-CN"/>
                    </w:rPr>
                    <w:t>输水管道</w:t>
                  </w:r>
                </w:p>
              </w:tc>
              <w:tc>
                <w:tcPr>
                  <w:tcW w:w="3520" w:type="pct"/>
                  <w:shd w:val="clear" w:color="auto" w:fill="auto"/>
                  <w:tcMar>
                    <w:left w:w="57" w:type="dxa"/>
                    <w:right w:w="57" w:type="dxa"/>
                  </w:tcMar>
                  <w:vAlign w:val="center"/>
                </w:tcPr>
                <w:p>
                  <w:pPr>
                    <w:adjustRightInd w:val="0"/>
                    <w:snapToGrid w:val="0"/>
                    <w:spacing w:line="240" w:lineRule="auto"/>
                    <w:jc w:val="both"/>
                    <w:rPr>
                      <w:rFonts w:hint="default" w:ascii="Times New Roman" w:hAnsi="Times New Roman" w:eastAsia="宋体" w:cs="Times New Roman"/>
                      <w:color w:val="auto"/>
                      <w:sz w:val="21"/>
                      <w:szCs w:val="21"/>
                      <w:highlight w:val="none"/>
                      <w:lang w:eastAsia="zh-CN"/>
                    </w:rPr>
                  </w:pPr>
                  <w:r>
                    <w:rPr>
                      <w:rFonts w:hint="eastAsia"/>
                      <w:color w:val="auto"/>
                      <w:highlight w:val="none"/>
                    </w:rPr>
                    <w:t>采用有压管道输水方案</w:t>
                  </w:r>
                  <w:r>
                    <w:rPr>
                      <w:rFonts w:hint="eastAsia"/>
                      <w:color w:val="auto"/>
                      <w:highlight w:val="none"/>
                      <w:lang w:eastAsia="zh-CN"/>
                    </w:rPr>
                    <w:t>，</w:t>
                  </w:r>
                  <w:r>
                    <w:rPr>
                      <w:rFonts w:hint="eastAsia"/>
                      <w:color w:val="auto"/>
                      <w:highlight w:val="none"/>
                    </w:rPr>
                    <w:t>包括供水干管、灌溉干管和花池供水支管，总长</w:t>
                  </w:r>
                  <w:r>
                    <w:rPr>
                      <w:color w:val="auto"/>
                      <w:highlight w:val="none"/>
                    </w:rPr>
                    <w:t>15.73</w:t>
                  </w:r>
                  <w:r>
                    <w:rPr>
                      <w:rFonts w:hint="eastAsia"/>
                      <w:color w:val="auto"/>
                      <w:highlight w:val="none"/>
                    </w:rPr>
                    <w:t>km。供水干管引水</w:t>
                  </w:r>
                  <w:r>
                    <w:rPr>
                      <w:color w:val="auto"/>
                      <w:highlight w:val="none"/>
                    </w:rPr>
                    <w:t>流量</w:t>
                  </w:r>
                  <w:r>
                    <w:rPr>
                      <w:rFonts w:hint="eastAsia"/>
                      <w:color w:val="auto"/>
                      <w:highlight w:val="none"/>
                    </w:rPr>
                    <w:t>0.</w:t>
                  </w:r>
                  <w:r>
                    <w:rPr>
                      <w:color w:val="auto"/>
                      <w:highlight w:val="none"/>
                    </w:rPr>
                    <w:t>10m</w:t>
                  </w:r>
                  <w:r>
                    <w:rPr>
                      <w:color w:val="auto"/>
                      <w:highlight w:val="none"/>
                      <w:vertAlign w:val="superscript"/>
                    </w:rPr>
                    <w:t>3</w:t>
                  </w:r>
                  <w:r>
                    <w:rPr>
                      <w:color w:val="auto"/>
                      <w:highlight w:val="none"/>
                    </w:rPr>
                    <w:t>/s</w:t>
                  </w:r>
                  <w:r>
                    <w:rPr>
                      <w:rFonts w:hint="eastAsia"/>
                      <w:color w:val="auto"/>
                      <w:highlight w:val="none"/>
                    </w:rPr>
                    <w:t>，长8.</w:t>
                  </w:r>
                  <w:r>
                    <w:rPr>
                      <w:color w:val="auto"/>
                      <w:highlight w:val="none"/>
                    </w:rPr>
                    <w:t>222</w:t>
                  </w:r>
                  <w:r>
                    <w:rPr>
                      <w:rFonts w:hint="eastAsia"/>
                      <w:color w:val="auto"/>
                      <w:highlight w:val="none"/>
                    </w:rPr>
                    <w:t>km，自北西向南东</w:t>
                  </w:r>
                  <w:r>
                    <w:rPr>
                      <w:color w:val="auto"/>
                      <w:highlight w:val="none"/>
                    </w:rPr>
                    <w:t>引</w:t>
                  </w:r>
                  <w:r>
                    <w:rPr>
                      <w:rFonts w:hint="eastAsia"/>
                      <w:color w:val="auto"/>
                      <w:highlight w:val="none"/>
                    </w:rPr>
                    <w:t>水至胡家镇冯家咀水厂；灌溉干管引水流量0</w:t>
                  </w:r>
                  <w:r>
                    <w:rPr>
                      <w:color w:val="auto"/>
                      <w:highlight w:val="none"/>
                    </w:rPr>
                    <w:t>.14 m</w:t>
                  </w:r>
                  <w:r>
                    <w:rPr>
                      <w:color w:val="auto"/>
                      <w:highlight w:val="none"/>
                      <w:vertAlign w:val="superscript"/>
                    </w:rPr>
                    <w:t>3</w:t>
                  </w:r>
                  <w:r>
                    <w:rPr>
                      <w:color w:val="auto"/>
                      <w:highlight w:val="none"/>
                    </w:rPr>
                    <w:t>/s</w:t>
                  </w:r>
                  <w:r>
                    <w:rPr>
                      <w:rFonts w:hint="eastAsia"/>
                      <w:color w:val="auto"/>
                      <w:highlight w:val="none"/>
                    </w:rPr>
                    <w:t>，长</w:t>
                  </w:r>
                  <w:r>
                    <w:rPr>
                      <w:color w:val="auto"/>
                      <w:highlight w:val="none"/>
                    </w:rPr>
                    <w:t>7.168</w:t>
                  </w:r>
                  <w:r>
                    <w:rPr>
                      <w:rFonts w:hint="eastAsia"/>
                      <w:color w:val="auto"/>
                      <w:highlight w:val="none"/>
                    </w:rPr>
                    <w:t>km，灌溉沿程耕园地</w:t>
                  </w:r>
                  <w:r>
                    <w:rPr>
                      <w:color w:val="auto"/>
                      <w:highlight w:val="none"/>
                    </w:rPr>
                    <w:t>5600</w:t>
                  </w:r>
                  <w:r>
                    <w:rPr>
                      <w:rFonts w:hint="eastAsia"/>
                      <w:color w:val="auto"/>
                      <w:highlight w:val="none"/>
                    </w:rPr>
                    <w:t>亩；花池供水支管于供水干管桩号1+</w:t>
                  </w:r>
                  <w:r>
                    <w:rPr>
                      <w:color w:val="auto"/>
                      <w:highlight w:val="none"/>
                    </w:rPr>
                    <w:t>411</w:t>
                  </w:r>
                  <w:r>
                    <w:rPr>
                      <w:rFonts w:hint="eastAsia"/>
                      <w:color w:val="auto"/>
                      <w:highlight w:val="none"/>
                    </w:rPr>
                    <w:t>处分水，</w:t>
                  </w:r>
                  <w:r>
                    <w:rPr>
                      <w:color w:val="auto"/>
                      <w:highlight w:val="none"/>
                    </w:rPr>
                    <w:t>引</w:t>
                  </w:r>
                  <w:r>
                    <w:rPr>
                      <w:rFonts w:hint="eastAsia"/>
                      <w:color w:val="auto"/>
                      <w:highlight w:val="none"/>
                    </w:rPr>
                    <w:t>水</w:t>
                  </w:r>
                  <w:r>
                    <w:rPr>
                      <w:color w:val="auto"/>
                      <w:highlight w:val="none"/>
                    </w:rPr>
                    <w:t>流量</w:t>
                  </w:r>
                  <w:r>
                    <w:rPr>
                      <w:rFonts w:hint="eastAsia"/>
                      <w:color w:val="auto"/>
                      <w:highlight w:val="none"/>
                    </w:rPr>
                    <w:t>0.0</w:t>
                  </w:r>
                  <w:r>
                    <w:rPr>
                      <w:color w:val="auto"/>
                      <w:highlight w:val="none"/>
                    </w:rPr>
                    <w:t>1m</w:t>
                  </w:r>
                  <w:r>
                    <w:rPr>
                      <w:color w:val="auto"/>
                      <w:highlight w:val="none"/>
                      <w:vertAlign w:val="superscript"/>
                    </w:rPr>
                    <w:t>3</w:t>
                  </w:r>
                  <w:r>
                    <w:rPr>
                      <w:color w:val="auto"/>
                      <w:highlight w:val="none"/>
                    </w:rPr>
                    <w:t>/s</w:t>
                  </w:r>
                  <w:r>
                    <w:rPr>
                      <w:rFonts w:hint="eastAsia"/>
                      <w:color w:val="auto"/>
                      <w:highlight w:val="none"/>
                    </w:rPr>
                    <w:t>，长0.340km，自东向西输水至花池水厂</w:t>
                  </w:r>
                  <w:r>
                    <w:rPr>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4" w:type="dxa"/>
                  <w:bottom w:w="0" w:type="dxa"/>
                  <w:right w:w="74" w:type="dxa"/>
                </w:tblCellMar>
              </w:tblPrEx>
              <w:trPr>
                <w:trHeight w:val="539" w:hRule="atLeast"/>
                <w:jc w:val="center"/>
              </w:trPr>
              <w:tc>
                <w:tcPr>
                  <w:tcW w:w="386" w:type="pct"/>
                  <w:vMerge w:val="continue"/>
                  <w:shd w:val="clear" w:color="auto" w:fill="auto"/>
                  <w:tcMar>
                    <w:left w:w="57" w:type="dxa"/>
                    <w:right w:w="57" w:type="dxa"/>
                  </w:tcMar>
                  <w:vAlign w:val="center"/>
                </w:tcPr>
                <w:p>
                  <w:pPr>
                    <w:adjustRightInd w:val="0"/>
                    <w:snapToGrid w:val="0"/>
                    <w:spacing w:line="240" w:lineRule="auto"/>
                    <w:jc w:val="both"/>
                    <w:rPr>
                      <w:color w:val="auto"/>
                      <w:highlight w:val="none"/>
                    </w:rPr>
                  </w:pPr>
                </w:p>
              </w:tc>
              <w:tc>
                <w:tcPr>
                  <w:tcW w:w="497" w:type="pct"/>
                  <w:vMerge w:val="continue"/>
                  <w:shd w:val="clear" w:color="auto" w:fill="auto"/>
                  <w:tcMar>
                    <w:left w:w="57" w:type="dxa"/>
                    <w:right w:w="57" w:type="dxa"/>
                  </w:tcMar>
                  <w:vAlign w:val="center"/>
                </w:tcPr>
                <w:p>
                  <w:pPr>
                    <w:adjustRightInd w:val="0"/>
                    <w:snapToGrid w:val="0"/>
                    <w:spacing w:line="240" w:lineRule="auto"/>
                    <w:jc w:val="both"/>
                    <w:rPr>
                      <w:color w:val="auto"/>
                      <w:highlight w:val="none"/>
                    </w:rPr>
                  </w:pPr>
                </w:p>
              </w:tc>
              <w:tc>
                <w:tcPr>
                  <w:tcW w:w="594" w:type="pct"/>
                  <w:shd w:val="clear" w:color="auto" w:fill="auto"/>
                  <w:tcMar>
                    <w:left w:w="57" w:type="dxa"/>
                    <w:right w:w="57" w:type="dxa"/>
                  </w:tcMar>
                  <w:vAlign w:val="center"/>
                </w:tcPr>
                <w:p>
                  <w:pPr>
                    <w:adjustRightInd w:val="0"/>
                    <w:snapToGrid w:val="0"/>
                    <w:spacing w:line="240" w:lineRule="auto"/>
                    <w:jc w:val="center"/>
                    <w:rPr>
                      <w:rFonts w:hint="eastAsia"/>
                      <w:color w:val="auto"/>
                      <w:highlight w:val="none"/>
                      <w:lang w:val="en-US" w:eastAsia="zh-CN"/>
                    </w:rPr>
                  </w:pPr>
                  <w:r>
                    <w:rPr>
                      <w:rFonts w:hint="eastAsia"/>
                      <w:color w:val="auto"/>
                      <w:highlight w:val="none"/>
                    </w:rPr>
                    <w:t>瑶子石隧洞</w:t>
                  </w:r>
                </w:p>
              </w:tc>
              <w:tc>
                <w:tcPr>
                  <w:tcW w:w="3520" w:type="pct"/>
                  <w:shd w:val="clear" w:color="auto" w:fill="auto"/>
                  <w:tcMar>
                    <w:left w:w="57" w:type="dxa"/>
                    <w:right w:w="57" w:type="dxa"/>
                  </w:tcMar>
                  <w:vAlign w:val="center"/>
                </w:tcPr>
                <w:p>
                  <w:pPr>
                    <w:adjustRightInd w:val="0"/>
                    <w:snapToGrid w:val="0"/>
                    <w:spacing w:line="240" w:lineRule="auto"/>
                    <w:jc w:val="both"/>
                    <w:rPr>
                      <w:rFonts w:hint="eastAsia"/>
                      <w:color w:val="auto"/>
                      <w:highlight w:val="none"/>
                      <w:lang w:val="en-US" w:eastAsia="zh-CN"/>
                    </w:rPr>
                  </w:pPr>
                  <w:r>
                    <w:rPr>
                      <w:rFonts w:hint="eastAsia"/>
                      <w:color w:val="auto"/>
                      <w:highlight w:val="none"/>
                    </w:rPr>
                    <w:t>隧洞段进口桩号干</w:t>
                  </w:r>
                  <w:r>
                    <w:rPr>
                      <w:color w:val="auto"/>
                      <w:szCs w:val="28"/>
                      <w:highlight w:val="none"/>
                      <w:u w:color="000000"/>
                    </w:rPr>
                    <w:t>2+</w:t>
                  </w:r>
                  <w:r>
                    <w:rPr>
                      <w:rFonts w:hint="eastAsia"/>
                      <w:color w:val="auto"/>
                      <w:szCs w:val="28"/>
                      <w:highlight w:val="none"/>
                      <w:u w:color="000000"/>
                    </w:rPr>
                    <w:t>8</w:t>
                  </w:r>
                  <w:r>
                    <w:rPr>
                      <w:color w:val="auto"/>
                      <w:szCs w:val="28"/>
                      <w:highlight w:val="none"/>
                      <w:u w:color="000000"/>
                    </w:rPr>
                    <w:t>26</w:t>
                  </w:r>
                  <w:r>
                    <w:rPr>
                      <w:rFonts w:hint="eastAsia"/>
                      <w:color w:val="auto"/>
                      <w:szCs w:val="28"/>
                      <w:highlight w:val="none"/>
                      <w:u w:color="000000"/>
                    </w:rPr>
                    <w:t>.00</w:t>
                  </w:r>
                  <w:r>
                    <w:rPr>
                      <w:rFonts w:hint="eastAsia"/>
                      <w:color w:val="auto"/>
                      <w:highlight w:val="none"/>
                    </w:rPr>
                    <w:t>，于桩号3+1</w:t>
                  </w:r>
                  <w:r>
                    <w:rPr>
                      <w:color w:val="auto"/>
                      <w:highlight w:val="none"/>
                    </w:rPr>
                    <w:t>70</w:t>
                  </w:r>
                  <w:r>
                    <w:rPr>
                      <w:rFonts w:hint="eastAsia"/>
                      <w:color w:val="auto"/>
                      <w:highlight w:val="none"/>
                    </w:rPr>
                    <w:t>.00~3+1</w:t>
                  </w:r>
                  <w:r>
                    <w:rPr>
                      <w:color w:val="auto"/>
                      <w:highlight w:val="none"/>
                    </w:rPr>
                    <w:t>77</w:t>
                  </w:r>
                  <w:r>
                    <w:rPr>
                      <w:rFonts w:hint="eastAsia"/>
                      <w:color w:val="auto"/>
                      <w:highlight w:val="none"/>
                    </w:rPr>
                    <w:t>.00处转弯，出口桩号4+2</w:t>
                  </w:r>
                  <w:r>
                    <w:rPr>
                      <w:color w:val="auto"/>
                      <w:highlight w:val="none"/>
                    </w:rPr>
                    <w:t>66</w:t>
                  </w:r>
                  <w:r>
                    <w:rPr>
                      <w:rFonts w:hint="eastAsia"/>
                      <w:color w:val="auto"/>
                      <w:highlight w:val="none"/>
                    </w:rPr>
                    <w:t>.00，隧洞全长144</w:t>
                  </w:r>
                  <w:r>
                    <w:rPr>
                      <w:color w:val="auto"/>
                      <w:highlight w:val="none"/>
                    </w:rPr>
                    <w:t>0</w:t>
                  </w:r>
                  <w:r>
                    <w:rPr>
                      <w:rFonts w:hint="eastAsia"/>
                      <w:color w:val="auto"/>
                      <w:highlight w:val="none"/>
                    </w:rPr>
                    <w:t>m。隧洞采用无压城门洞型断面，设计断面尺寸</w:t>
                  </w:r>
                  <w:r>
                    <w:rPr>
                      <w:rFonts w:hint="eastAsia"/>
                      <w:color w:val="auto"/>
                      <w:highlight w:val="none"/>
                      <w:lang w:eastAsia="zh-CN"/>
                    </w:rPr>
                    <w:t>：</w:t>
                  </w:r>
                  <w:r>
                    <w:rPr>
                      <w:rFonts w:hint="eastAsia"/>
                      <w:color w:val="auto"/>
                      <w:highlight w:val="none"/>
                    </w:rPr>
                    <w:t>孔口尺寸宽1.5m，直墙高1.05m，顶拱半径0.75m。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4" w:type="dxa"/>
                  <w:bottom w:w="0" w:type="dxa"/>
                  <w:right w:w="74" w:type="dxa"/>
                </w:tblCellMar>
              </w:tblPrEx>
              <w:trPr>
                <w:trHeight w:val="397" w:hRule="atLeast"/>
                <w:jc w:val="center"/>
              </w:trPr>
              <w:tc>
                <w:tcPr>
                  <w:tcW w:w="386" w:type="pct"/>
                  <w:vMerge w:val="restart"/>
                  <w:shd w:val="clear" w:color="auto" w:fill="auto"/>
                  <w:tcMar>
                    <w:left w:w="57" w:type="dxa"/>
                    <w:right w:w="57" w:type="dxa"/>
                  </w:tcMar>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辅助工程</w:t>
                  </w:r>
                </w:p>
              </w:tc>
              <w:tc>
                <w:tcPr>
                  <w:tcW w:w="1092" w:type="pct"/>
                  <w:gridSpan w:val="2"/>
                  <w:shd w:val="clear" w:color="auto" w:fill="auto"/>
                  <w:tcMar>
                    <w:left w:w="57" w:type="dxa"/>
                    <w:right w:w="57" w:type="dxa"/>
                  </w:tcMar>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管理房</w:t>
                  </w:r>
                </w:p>
              </w:tc>
              <w:tc>
                <w:tcPr>
                  <w:tcW w:w="3520" w:type="pct"/>
                  <w:shd w:val="clear" w:color="auto" w:fill="auto"/>
                  <w:tcMar>
                    <w:left w:w="57" w:type="dxa"/>
                    <w:right w:w="57" w:type="dxa"/>
                  </w:tcMar>
                  <w:vAlign w:val="center"/>
                </w:tcPr>
                <w:p>
                  <w:pPr>
                    <w:adjustRightInd w:val="0"/>
                    <w:snapToGrid w:val="0"/>
                    <w:spacing w:line="240" w:lineRule="auto"/>
                    <w:rPr>
                      <w:rFonts w:hint="default" w:ascii="Times New Roman" w:hAnsi="Times New Roman" w:eastAsia="宋体" w:cs="Times New Roman"/>
                      <w:color w:val="auto"/>
                      <w:sz w:val="21"/>
                      <w:szCs w:val="21"/>
                      <w:highlight w:val="none"/>
                    </w:rPr>
                  </w:pPr>
                  <w:r>
                    <w:rPr>
                      <w:rFonts w:hint="eastAsia"/>
                      <w:color w:val="auto"/>
                      <w:highlight w:val="none"/>
                    </w:rPr>
                    <w:t>建筑面积200m</w:t>
                  </w:r>
                  <w:r>
                    <w:rPr>
                      <w:rFonts w:hint="eastAsia"/>
                      <w:color w:val="auto"/>
                      <w:highlight w:val="none"/>
                      <w:vertAlign w:val="superscript"/>
                    </w:rPr>
                    <w:t>2</w:t>
                  </w:r>
                  <w:r>
                    <w:rPr>
                      <w:rFonts w:hint="eastAsia"/>
                      <w:color w:val="auto"/>
                      <w:highlight w:val="none"/>
                    </w:rPr>
                    <w:t>，布置于大坝左岸靠近上坝公路，为双层钢筋混凝土框架结构</w:t>
                  </w:r>
                  <w:r>
                    <w:rPr>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4" w:type="dxa"/>
                  <w:bottom w:w="0" w:type="dxa"/>
                  <w:right w:w="74" w:type="dxa"/>
                </w:tblCellMar>
              </w:tblPrEx>
              <w:trPr>
                <w:trHeight w:val="397" w:hRule="atLeast"/>
                <w:jc w:val="center"/>
              </w:trPr>
              <w:tc>
                <w:tcPr>
                  <w:tcW w:w="386" w:type="pct"/>
                  <w:vMerge w:val="continue"/>
                  <w:shd w:val="clear" w:color="auto" w:fill="auto"/>
                  <w:tcMar>
                    <w:left w:w="57" w:type="dxa"/>
                    <w:right w:w="57" w:type="dxa"/>
                  </w:tcMar>
                  <w:vAlign w:val="center"/>
                </w:tcPr>
                <w:p>
                  <w:pPr>
                    <w:adjustRightInd w:val="0"/>
                    <w:snapToGrid w:val="0"/>
                    <w:spacing w:line="240" w:lineRule="auto"/>
                    <w:jc w:val="center"/>
                    <w:rPr>
                      <w:rFonts w:hint="default" w:ascii="Times New Roman" w:hAnsi="Times New Roman" w:cs="Times New Roman"/>
                      <w:color w:val="auto"/>
                      <w:sz w:val="21"/>
                      <w:szCs w:val="21"/>
                      <w:highlight w:val="none"/>
                      <w:lang w:val="en-US" w:eastAsia="zh-CN"/>
                    </w:rPr>
                  </w:pPr>
                </w:p>
              </w:tc>
              <w:tc>
                <w:tcPr>
                  <w:tcW w:w="1092" w:type="pct"/>
                  <w:gridSpan w:val="2"/>
                  <w:shd w:val="clear" w:color="auto" w:fill="auto"/>
                  <w:tcMar>
                    <w:left w:w="57" w:type="dxa"/>
                    <w:right w:w="57" w:type="dxa"/>
                  </w:tcMar>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上坝公路</w:t>
                  </w:r>
                </w:p>
              </w:tc>
              <w:tc>
                <w:tcPr>
                  <w:tcW w:w="3520" w:type="pct"/>
                  <w:shd w:val="clear" w:color="auto" w:fill="auto"/>
                  <w:tcMar>
                    <w:left w:w="57" w:type="dxa"/>
                    <w:right w:w="57" w:type="dxa"/>
                  </w:tcMar>
                  <w:vAlign w:val="center"/>
                </w:tcPr>
                <w:p>
                  <w:pPr>
                    <w:adjustRightInd w:val="0"/>
                    <w:snapToGrid w:val="0"/>
                    <w:spacing w:line="240" w:lineRule="auto"/>
                    <w:rPr>
                      <w:rFonts w:hint="default" w:ascii="Times New Roman" w:hAnsi="Times New Roman" w:eastAsia="宋体" w:cs="Times New Roman"/>
                      <w:color w:val="auto"/>
                      <w:kern w:val="2"/>
                      <w:sz w:val="21"/>
                      <w:szCs w:val="21"/>
                      <w:highlight w:val="none"/>
                      <w:lang w:val="en-US" w:eastAsia="zh-CN" w:bidi="ar-SA"/>
                    </w:rPr>
                  </w:pPr>
                  <w:r>
                    <w:rPr>
                      <w:color w:val="auto"/>
                      <w:highlight w:val="none"/>
                      <w:lang w:bidi="en-US"/>
                    </w:rPr>
                    <w:t>大坝</w:t>
                  </w:r>
                  <w:r>
                    <w:rPr>
                      <w:rFonts w:hint="eastAsia"/>
                      <w:color w:val="auto"/>
                      <w:highlight w:val="none"/>
                      <w:lang w:bidi="en-US"/>
                    </w:rPr>
                    <w:t>左</w:t>
                  </w:r>
                  <w:r>
                    <w:rPr>
                      <w:color w:val="auto"/>
                      <w:highlight w:val="none"/>
                      <w:lang w:bidi="en-US"/>
                    </w:rPr>
                    <w:t>岸新建上坝公路0.60km，</w:t>
                  </w:r>
                  <w:r>
                    <w:rPr>
                      <w:rFonts w:hint="eastAsia"/>
                      <w:color w:val="auto"/>
                      <w:highlight w:val="none"/>
                      <w:lang w:bidi="en-US"/>
                    </w:rPr>
                    <w:t>接至</w:t>
                  </w:r>
                  <w:r>
                    <w:rPr>
                      <w:rFonts w:hint="eastAsia"/>
                      <w:color w:val="auto"/>
                      <w:highlight w:val="none"/>
                    </w:rPr>
                    <w:t>村道</w:t>
                  </w:r>
                  <w:r>
                    <w:rPr>
                      <w:rFonts w:hint="eastAsia"/>
                      <w:color w:val="auto"/>
                      <w:highlight w:val="none"/>
                      <w:lang w:bidi="en-US"/>
                    </w:rPr>
                    <w:t>。</w:t>
                  </w:r>
                  <w:r>
                    <w:rPr>
                      <w:rFonts w:hint="eastAsia"/>
                      <w:color w:val="auto"/>
                      <w:highlight w:val="none"/>
                    </w:rPr>
                    <w:t>上坝公路前期为施工临时道路，后期利用临时道路作路基。路基宽</w:t>
                  </w:r>
                  <w:r>
                    <w:rPr>
                      <w:color w:val="auto"/>
                      <w:highlight w:val="none"/>
                    </w:rPr>
                    <w:t>5</w:t>
                  </w:r>
                  <w:r>
                    <w:rPr>
                      <w:rFonts w:hint="eastAsia"/>
                      <w:color w:val="auto"/>
                      <w:highlight w:val="none"/>
                    </w:rPr>
                    <w:t>m，路面宽</w:t>
                  </w:r>
                  <w:r>
                    <w:rPr>
                      <w:color w:val="auto"/>
                      <w:highlight w:val="none"/>
                    </w:rPr>
                    <w:t>4</w:t>
                  </w:r>
                  <w:r>
                    <w:rPr>
                      <w:rFonts w:hint="eastAsia"/>
                      <w:color w:val="auto"/>
                      <w:highlight w:val="none"/>
                    </w:rPr>
                    <w:t>m，为C25混凝土路面。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4" w:type="dxa"/>
                  <w:bottom w:w="0" w:type="dxa"/>
                  <w:right w:w="74" w:type="dxa"/>
                </w:tblCellMar>
              </w:tblPrEx>
              <w:trPr>
                <w:trHeight w:val="90" w:hRule="atLeast"/>
                <w:jc w:val="center"/>
              </w:trPr>
              <w:tc>
                <w:tcPr>
                  <w:tcW w:w="386" w:type="pct"/>
                  <w:vMerge w:val="restart"/>
                  <w:shd w:val="clear" w:color="auto" w:fill="auto"/>
                  <w:tcMar>
                    <w:left w:w="57" w:type="dxa"/>
                    <w:right w:w="57" w:type="dxa"/>
                  </w:tcMar>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临时工程</w:t>
                  </w:r>
                </w:p>
              </w:tc>
              <w:tc>
                <w:tcPr>
                  <w:tcW w:w="497" w:type="pct"/>
                  <w:vMerge w:val="restart"/>
                  <w:shd w:val="clear" w:color="auto" w:fill="auto"/>
                  <w:tcMar>
                    <w:left w:w="57" w:type="dxa"/>
                    <w:right w:w="57" w:type="dxa"/>
                  </w:tcMar>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snapToGrid w:val="0"/>
                      <w:color w:val="auto"/>
                      <w:sz w:val="21"/>
                      <w:szCs w:val="21"/>
                      <w:highlight w:val="none"/>
                      <w:lang w:val="en-US" w:eastAsia="zh-CN"/>
                    </w:rPr>
                    <w:t>施工工厂设施</w:t>
                  </w:r>
                </w:p>
              </w:tc>
              <w:tc>
                <w:tcPr>
                  <w:tcW w:w="594" w:type="pct"/>
                  <w:shd w:val="clear" w:color="auto" w:fill="auto"/>
                  <w:tcMar>
                    <w:left w:w="57" w:type="dxa"/>
                    <w:right w:w="57" w:type="dxa"/>
                  </w:tcMar>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砂石加工系统</w:t>
                  </w:r>
                </w:p>
              </w:tc>
              <w:tc>
                <w:tcPr>
                  <w:tcW w:w="3520" w:type="pct"/>
                  <w:shd w:val="clear" w:color="auto" w:fill="auto"/>
                  <w:tcMar>
                    <w:left w:w="57" w:type="dxa"/>
                    <w:right w:w="57" w:type="dxa"/>
                  </w:tcMar>
                  <w:vAlign w:val="center"/>
                </w:tcPr>
                <w:p>
                  <w:pPr>
                    <w:adjustRightInd w:val="0"/>
                    <w:snapToGrid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不设置砂石加工系统。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4" w:type="dxa"/>
                  <w:bottom w:w="0" w:type="dxa"/>
                  <w:right w:w="74" w:type="dxa"/>
                </w:tblCellMar>
              </w:tblPrEx>
              <w:trPr>
                <w:trHeight w:val="872" w:hRule="atLeast"/>
                <w:jc w:val="center"/>
              </w:trPr>
              <w:tc>
                <w:tcPr>
                  <w:tcW w:w="386" w:type="pct"/>
                  <w:vMerge w:val="continue"/>
                  <w:shd w:val="clear" w:color="auto" w:fill="auto"/>
                  <w:tcMar>
                    <w:left w:w="57" w:type="dxa"/>
                    <w:right w:w="57" w:type="dxa"/>
                  </w:tcMar>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497" w:type="pct"/>
                  <w:vMerge w:val="continue"/>
                  <w:shd w:val="clear" w:color="auto" w:fill="auto"/>
                  <w:tcMar>
                    <w:left w:w="57" w:type="dxa"/>
                    <w:right w:w="57" w:type="dxa"/>
                  </w:tcMar>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594" w:type="pct"/>
                  <w:shd w:val="clear" w:color="auto" w:fill="auto"/>
                  <w:tcMar>
                    <w:left w:w="57" w:type="dxa"/>
                    <w:right w:w="57" w:type="dxa"/>
                  </w:tcMar>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砼拌和系统</w:t>
                  </w:r>
                </w:p>
              </w:tc>
              <w:tc>
                <w:tcPr>
                  <w:tcW w:w="3520" w:type="pct"/>
                  <w:shd w:val="clear" w:color="auto" w:fill="auto"/>
                  <w:tcMar>
                    <w:left w:w="57" w:type="dxa"/>
                    <w:right w:w="57" w:type="dxa"/>
                  </w:tcMar>
                  <w:vAlign w:val="center"/>
                </w:tcPr>
                <w:p>
                  <w:pPr>
                    <w:pStyle w:val="99"/>
                    <w:spacing w:line="240" w:lineRule="auto"/>
                    <w:ind w:left="0" w:lef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水库枢纽工程布置混凝土拌合站1座，位于大坝下游左岸。设置4台0.75m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强制式</w:t>
                  </w:r>
                  <w:r>
                    <w:rPr>
                      <w:rFonts w:hint="eastAsia" w:cs="Times New Roman"/>
                      <w:color w:val="auto"/>
                      <w:sz w:val="21"/>
                      <w:szCs w:val="21"/>
                      <w:highlight w:val="none"/>
                      <w:lang w:eastAsia="zh-CN"/>
                    </w:rPr>
                    <w:t>拌和机</w:t>
                  </w:r>
                  <w:r>
                    <w:rPr>
                      <w:rFonts w:hint="default" w:ascii="Times New Roman" w:hAnsi="Times New Roman" w:eastAsia="宋体" w:cs="Times New Roman"/>
                      <w:color w:val="auto"/>
                      <w:sz w:val="21"/>
                      <w:szCs w:val="21"/>
                      <w:highlight w:val="none"/>
                    </w:rPr>
                    <w:t>。</w:t>
                  </w:r>
                </w:p>
                <w:p>
                  <w:pPr>
                    <w:pStyle w:val="99"/>
                    <w:spacing w:line="240" w:lineRule="auto"/>
                    <w:ind w:left="0" w:lef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补水拦河堰布置移动混凝土拌合站，站内设置2台0.4m</w:t>
                  </w:r>
                  <w:r>
                    <w:rPr>
                      <w:rFonts w:hint="default" w:ascii="Times New Roman" w:hAnsi="Times New Roman" w:eastAsia="宋体" w:cs="Times New Roman"/>
                      <w:color w:val="auto"/>
                      <w:sz w:val="21"/>
                      <w:szCs w:val="21"/>
                      <w:highlight w:val="none"/>
                      <w:vertAlign w:val="superscript"/>
                    </w:rPr>
                    <w:t>3</w:t>
                  </w:r>
                  <w:r>
                    <w:rPr>
                      <w:rFonts w:hint="eastAsia" w:cs="Times New Roman"/>
                      <w:color w:val="auto"/>
                      <w:sz w:val="21"/>
                      <w:szCs w:val="21"/>
                      <w:highlight w:val="none"/>
                      <w:vertAlign w:val="superscript"/>
                      <w:lang w:eastAsia="zh-CN"/>
                    </w:rPr>
                    <w:t>拌和机</w:t>
                  </w:r>
                  <w:r>
                    <w:rPr>
                      <w:rFonts w:hint="default" w:ascii="Times New Roman" w:hAnsi="Times New Roman" w:eastAsia="宋体" w:cs="Times New Roman"/>
                      <w:color w:val="auto"/>
                      <w:sz w:val="21"/>
                      <w:szCs w:val="21"/>
                      <w:highlight w:val="none"/>
                    </w:rPr>
                    <w:t>。</w:t>
                  </w:r>
                </w:p>
                <w:p>
                  <w:pPr>
                    <w:adjustRightInd w:val="0"/>
                    <w:snapToGrid w:val="0"/>
                    <w:spacing w:line="240" w:lineRule="auto"/>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sz w:val="21"/>
                      <w:szCs w:val="21"/>
                      <w:highlight w:val="none"/>
                    </w:rPr>
                    <w:t>灌区工程分区设置移动</w:t>
                  </w:r>
                  <w:r>
                    <w:rPr>
                      <w:rFonts w:hint="eastAsia" w:cs="Times New Roman"/>
                      <w:color w:val="auto"/>
                      <w:sz w:val="21"/>
                      <w:szCs w:val="21"/>
                      <w:highlight w:val="none"/>
                      <w:lang w:eastAsia="zh-CN"/>
                    </w:rPr>
                    <w:t>拌和站</w:t>
                  </w:r>
                  <w:r>
                    <w:rPr>
                      <w:rFonts w:hint="default" w:ascii="Times New Roman" w:hAnsi="Times New Roman" w:eastAsia="宋体" w:cs="Times New Roman"/>
                      <w:color w:val="auto"/>
                      <w:sz w:val="21"/>
                      <w:szCs w:val="21"/>
                      <w:highlight w:val="none"/>
                    </w:rPr>
                    <w:t>共2座，各站内设置2台0.4m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混凝土</w:t>
                  </w:r>
                  <w:r>
                    <w:rPr>
                      <w:rFonts w:hint="eastAsia" w:cs="Times New Roman"/>
                      <w:color w:val="auto"/>
                      <w:sz w:val="21"/>
                      <w:szCs w:val="21"/>
                      <w:highlight w:val="none"/>
                      <w:lang w:eastAsia="zh-CN"/>
                    </w:rPr>
                    <w:t>拌和机</w:t>
                  </w: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4" w:type="dxa"/>
                  <w:bottom w:w="0" w:type="dxa"/>
                  <w:right w:w="74" w:type="dxa"/>
                </w:tblCellMar>
              </w:tblPrEx>
              <w:trPr>
                <w:trHeight w:val="397" w:hRule="atLeast"/>
                <w:jc w:val="center"/>
              </w:trPr>
              <w:tc>
                <w:tcPr>
                  <w:tcW w:w="386" w:type="pct"/>
                  <w:vMerge w:val="continue"/>
                  <w:shd w:val="clear" w:color="auto" w:fill="auto"/>
                  <w:tcMar>
                    <w:left w:w="57" w:type="dxa"/>
                    <w:right w:w="57" w:type="dxa"/>
                  </w:tcMar>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497" w:type="pct"/>
                  <w:vMerge w:val="continue"/>
                  <w:shd w:val="clear" w:color="auto" w:fill="auto"/>
                  <w:tcMar>
                    <w:left w:w="57" w:type="dxa"/>
                    <w:right w:w="57" w:type="dxa"/>
                  </w:tcMar>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594" w:type="pct"/>
                  <w:shd w:val="clear" w:color="auto" w:fill="auto"/>
                  <w:tcMar>
                    <w:left w:w="57" w:type="dxa"/>
                    <w:right w:w="57" w:type="dxa"/>
                  </w:tcMar>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机械修配及综合加工系统</w:t>
                  </w:r>
                </w:p>
              </w:tc>
              <w:tc>
                <w:tcPr>
                  <w:tcW w:w="3520" w:type="pct"/>
                  <w:shd w:val="clear" w:color="auto" w:fill="auto"/>
                  <w:tcMar>
                    <w:left w:w="57" w:type="dxa"/>
                    <w:right w:w="57" w:type="dxa"/>
                  </w:tcMar>
                  <w:vAlign w:val="center"/>
                </w:tcPr>
                <w:p>
                  <w:pPr>
                    <w:pStyle w:val="99"/>
                    <w:spacing w:line="240" w:lineRule="auto"/>
                    <w:ind w:left="0" w:lef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坝址施工区附近设置钢筋、木模综合加工系统，和机修、修钎、汽保等修配、金工车间。</w:t>
                  </w:r>
                </w:p>
                <w:p>
                  <w:pPr>
                    <w:adjustRightInd w:val="0"/>
                    <w:snapToGrid w:val="0"/>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灌区工程在各生产、生活区内设置钢筋、木材综合加工厂。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4" w:type="dxa"/>
                  <w:bottom w:w="0" w:type="dxa"/>
                  <w:right w:w="74" w:type="dxa"/>
                </w:tblCellMar>
              </w:tblPrEx>
              <w:trPr>
                <w:trHeight w:val="397" w:hRule="atLeast"/>
                <w:jc w:val="center"/>
              </w:trPr>
              <w:tc>
                <w:tcPr>
                  <w:tcW w:w="386" w:type="pct"/>
                  <w:vMerge w:val="continue"/>
                  <w:shd w:val="clear" w:color="auto" w:fill="auto"/>
                  <w:tcMar>
                    <w:left w:w="57" w:type="dxa"/>
                    <w:right w:w="57" w:type="dxa"/>
                  </w:tcMar>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092" w:type="pct"/>
                  <w:gridSpan w:val="2"/>
                  <w:shd w:val="clear" w:color="auto" w:fill="auto"/>
                  <w:tcMar>
                    <w:left w:w="57" w:type="dxa"/>
                    <w:right w:w="57" w:type="dxa"/>
                  </w:tcMar>
                  <w:vAlign w:val="center"/>
                </w:tcPr>
                <w:p>
                  <w:pPr>
                    <w:pStyle w:val="2"/>
                    <w:adjustRightInd w:val="0"/>
                    <w:spacing w:before="0" w:after="0" w:line="240" w:lineRule="auto"/>
                    <w:ind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弃渣场</w:t>
                  </w:r>
                </w:p>
              </w:tc>
              <w:tc>
                <w:tcPr>
                  <w:tcW w:w="3520" w:type="pct"/>
                  <w:shd w:val="clear" w:color="auto" w:fill="auto"/>
                  <w:tcMar>
                    <w:left w:w="57"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枢纽工程</w:t>
                  </w:r>
                  <w:r>
                    <w:rPr>
                      <w:color w:val="auto"/>
                      <w:highlight w:val="none"/>
                    </w:rPr>
                    <w:t>弃渣</w:t>
                  </w:r>
                  <w:r>
                    <w:rPr>
                      <w:rFonts w:hint="eastAsia"/>
                      <w:color w:val="auto"/>
                      <w:highlight w:val="none"/>
                      <w:lang w:val="en-US" w:eastAsia="zh-CN"/>
                    </w:rPr>
                    <w:t>设置</w:t>
                  </w:r>
                  <w:r>
                    <w:rPr>
                      <w:color w:val="auto"/>
                      <w:highlight w:val="none"/>
                    </w:rPr>
                    <w:t>1#渣场</w:t>
                  </w:r>
                  <w:r>
                    <w:rPr>
                      <w:rFonts w:hint="eastAsia"/>
                      <w:color w:val="auto"/>
                      <w:highlight w:val="none"/>
                    </w:rPr>
                    <w:t>堆放，</w:t>
                  </w:r>
                  <w:r>
                    <w:rPr>
                      <w:color w:val="auto"/>
                      <w:highlight w:val="none"/>
                    </w:rPr>
                    <w:t>位于</w:t>
                  </w:r>
                  <w:r>
                    <w:rPr>
                      <w:rFonts w:hint="eastAsia"/>
                      <w:color w:val="auto"/>
                      <w:highlight w:val="none"/>
                    </w:rPr>
                    <w:t>大坝下游主沟左岸冲沟，</w:t>
                  </w:r>
                  <w:r>
                    <w:rPr>
                      <w:color w:val="auto"/>
                      <w:highlight w:val="none"/>
                    </w:rPr>
                    <w:t>占地24.75</w:t>
                  </w:r>
                  <w:r>
                    <w:rPr>
                      <w:rFonts w:hint="eastAsia"/>
                      <w:color w:val="auto"/>
                      <w:highlight w:val="none"/>
                    </w:rPr>
                    <w:t>亩。</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napToGrid w:val="0"/>
                      <w:color w:val="auto"/>
                      <w:sz w:val="21"/>
                      <w:szCs w:val="21"/>
                      <w:highlight w:val="none"/>
                      <w:lang w:val="en-US" w:eastAsia="zh-CN"/>
                    </w:rPr>
                  </w:pPr>
                  <w:r>
                    <w:rPr>
                      <w:rFonts w:hint="eastAsia"/>
                      <w:color w:val="auto"/>
                      <w:highlight w:val="none"/>
                    </w:rPr>
                    <w:t>补水工程</w:t>
                  </w:r>
                  <w:r>
                    <w:rPr>
                      <w:color w:val="auto"/>
                      <w:highlight w:val="none"/>
                    </w:rPr>
                    <w:t>弃渣</w:t>
                  </w:r>
                  <w:r>
                    <w:rPr>
                      <w:rFonts w:hint="eastAsia"/>
                      <w:color w:val="auto"/>
                      <w:highlight w:val="none"/>
                      <w:lang w:val="en-US" w:eastAsia="zh-CN"/>
                    </w:rPr>
                    <w:t>设置</w:t>
                  </w:r>
                  <w:r>
                    <w:rPr>
                      <w:color w:val="auto"/>
                      <w:highlight w:val="none"/>
                    </w:rPr>
                    <w:t>2#渣场</w:t>
                  </w:r>
                  <w:r>
                    <w:rPr>
                      <w:rFonts w:hint="eastAsia"/>
                      <w:color w:val="auto"/>
                      <w:highlight w:val="none"/>
                    </w:rPr>
                    <w:t>堆放，</w:t>
                  </w:r>
                  <w:r>
                    <w:rPr>
                      <w:color w:val="auto"/>
                      <w:highlight w:val="none"/>
                    </w:rPr>
                    <w:t>位于</w:t>
                  </w:r>
                  <w:r>
                    <w:rPr>
                      <w:rFonts w:hint="eastAsia"/>
                      <w:color w:val="auto"/>
                      <w:highlight w:val="none"/>
                    </w:rPr>
                    <w:t>拦河堰下游500m处，</w:t>
                  </w:r>
                  <w:r>
                    <w:rPr>
                      <w:color w:val="auto"/>
                      <w:highlight w:val="none"/>
                    </w:rPr>
                    <w:t>占地5.72</w:t>
                  </w:r>
                  <w:r>
                    <w:rPr>
                      <w:rFonts w:hint="eastAsia"/>
                      <w:color w:val="auto"/>
                      <w:highlight w:val="none"/>
                    </w:rPr>
                    <w:t>亩。</w:t>
                  </w:r>
                </w:p>
                <w:p>
                  <w:pPr>
                    <w:pStyle w:val="2"/>
                    <w:adjustRightInd w:val="0"/>
                    <w:spacing w:before="0" w:after="0" w:line="240" w:lineRule="auto"/>
                    <w:ind w:right="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隧洞段弃渣</w:t>
                  </w:r>
                  <w:r>
                    <w:rPr>
                      <w:rFonts w:hint="eastAsia" w:ascii="Times New Roman" w:hAnsi="Times New Roman" w:cs="Times New Roman"/>
                      <w:color w:val="auto"/>
                      <w:sz w:val="21"/>
                      <w:szCs w:val="21"/>
                      <w:highlight w:val="none"/>
                      <w:lang w:val="en-US" w:eastAsia="zh-CN"/>
                    </w:rPr>
                    <w:t>设置</w:t>
                  </w:r>
                  <w:r>
                    <w:rPr>
                      <w:rFonts w:hint="default" w:ascii="Times New Roman" w:hAnsi="Times New Roman" w:cs="Times New Roman"/>
                      <w:color w:val="auto"/>
                      <w:sz w:val="21"/>
                      <w:szCs w:val="21"/>
                      <w:highlight w:val="none"/>
                    </w:rPr>
                    <w:t>1处渣场堆放，位于瑶子石隧洞出口附近，占地2.21亩。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4" w:type="dxa"/>
                  <w:bottom w:w="0" w:type="dxa"/>
                  <w:right w:w="74" w:type="dxa"/>
                </w:tblCellMar>
              </w:tblPrEx>
              <w:trPr>
                <w:trHeight w:val="675" w:hRule="atLeast"/>
                <w:jc w:val="center"/>
              </w:trPr>
              <w:tc>
                <w:tcPr>
                  <w:tcW w:w="386" w:type="pct"/>
                  <w:vMerge w:val="continue"/>
                  <w:shd w:val="clear" w:color="auto" w:fill="auto"/>
                  <w:tcMar>
                    <w:left w:w="57" w:type="dxa"/>
                    <w:right w:w="57" w:type="dxa"/>
                  </w:tcMar>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092" w:type="pct"/>
                  <w:gridSpan w:val="2"/>
                  <w:shd w:val="clear" w:color="auto" w:fill="auto"/>
                  <w:tcMar>
                    <w:left w:w="57" w:type="dxa"/>
                    <w:right w:w="57" w:type="dxa"/>
                  </w:tcMar>
                  <w:vAlign w:val="center"/>
                </w:tcPr>
                <w:p>
                  <w:pPr>
                    <w:pStyle w:val="2"/>
                    <w:adjustRightInd w:val="0"/>
                    <w:spacing w:before="0" w:after="0" w:line="240" w:lineRule="auto"/>
                    <w:ind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施工道路</w:t>
                  </w:r>
                </w:p>
              </w:tc>
              <w:tc>
                <w:tcPr>
                  <w:tcW w:w="3520" w:type="pct"/>
                  <w:shd w:val="clear" w:color="auto" w:fill="auto"/>
                  <w:tcMar>
                    <w:left w:w="57" w:type="dxa"/>
                    <w:right w:w="57" w:type="dxa"/>
                  </w:tcMar>
                  <w:vAlign w:val="center"/>
                </w:tcPr>
                <w:p>
                  <w:pPr>
                    <w:pStyle w:val="2"/>
                    <w:adjustRightInd w:val="0"/>
                    <w:spacing w:before="0" w:after="0" w:line="240" w:lineRule="auto"/>
                    <w:ind w:right="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水库枢纽共新、扩建公路1.85km（新建1.33km，扩建0.52km）；补水工程共新、扩建公路1.52km（新建0.72km，扩建0.80km）。公路按四级标准设计，最大纵坡9%，路基宽4.5</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5m，路面宽3.5</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4m，采用泥结碎石路面。</w:t>
                  </w:r>
                </w:p>
                <w:p>
                  <w:pPr>
                    <w:pStyle w:val="2"/>
                    <w:adjustRightInd w:val="0"/>
                    <w:spacing w:before="0" w:after="0" w:line="240" w:lineRule="auto"/>
                    <w:ind w:right="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灌区工程共新、扩建公路3.44km（其中新建公路3.09km，扩建公路0.35km），公路按四级标准设计，最大纵坡9%，路基宽4.5m，路面宽3.5m，采用泥结碎石路面。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4" w:type="dxa"/>
                  <w:bottom w:w="0" w:type="dxa"/>
                  <w:right w:w="74" w:type="dxa"/>
                </w:tblCellMar>
              </w:tblPrEx>
              <w:trPr>
                <w:trHeight w:val="267" w:hRule="atLeast"/>
                <w:jc w:val="center"/>
              </w:trPr>
              <w:tc>
                <w:tcPr>
                  <w:tcW w:w="386" w:type="pct"/>
                  <w:vMerge w:val="restart"/>
                  <w:shd w:val="clear" w:color="auto" w:fill="auto"/>
                  <w:tcMar>
                    <w:left w:w="57" w:type="dxa"/>
                    <w:right w:w="57" w:type="dxa"/>
                  </w:tcMar>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公用工程</w:t>
                  </w:r>
                </w:p>
              </w:tc>
              <w:tc>
                <w:tcPr>
                  <w:tcW w:w="1092" w:type="pct"/>
                  <w:gridSpan w:val="2"/>
                  <w:vMerge w:val="restart"/>
                  <w:shd w:val="clear" w:color="auto" w:fill="auto"/>
                  <w:tcMar>
                    <w:left w:w="57" w:type="dxa"/>
                    <w:right w:w="57" w:type="dxa"/>
                  </w:tcMar>
                  <w:vAlign w:val="center"/>
                </w:tcPr>
                <w:p>
                  <w:pPr>
                    <w:pStyle w:val="2"/>
                    <w:adjustRightInd w:val="0"/>
                    <w:spacing w:before="0" w:after="0" w:line="240" w:lineRule="auto"/>
                    <w:ind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施工</w:t>
                  </w:r>
                  <w:r>
                    <w:rPr>
                      <w:rFonts w:hint="default" w:ascii="Times New Roman" w:hAnsi="Times New Roman" w:eastAsia="宋体" w:cs="Times New Roman"/>
                      <w:color w:val="auto"/>
                      <w:sz w:val="21"/>
                      <w:szCs w:val="21"/>
                      <w:highlight w:val="none"/>
                      <w:lang w:eastAsia="zh-CN"/>
                    </w:rPr>
                    <w:t>供风</w:t>
                  </w:r>
                </w:p>
              </w:tc>
              <w:tc>
                <w:tcPr>
                  <w:tcW w:w="3520" w:type="pct"/>
                  <w:shd w:val="clear" w:color="auto" w:fill="auto"/>
                  <w:tcMar>
                    <w:left w:w="57" w:type="dxa"/>
                    <w:right w:w="57" w:type="dxa"/>
                  </w:tcMar>
                  <w:vAlign w:val="center"/>
                </w:tcPr>
                <w:p>
                  <w:pPr>
                    <w:pStyle w:val="2"/>
                    <w:adjustRightInd w:val="0"/>
                    <w:spacing w:before="0" w:after="0" w:line="240" w:lineRule="auto"/>
                    <w:ind w:right="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枢纽工程供风部位为大坝左右岸坝肩</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分别</w:t>
                  </w:r>
                  <w:r>
                    <w:rPr>
                      <w:rFonts w:hint="default" w:ascii="Times New Roman" w:hAnsi="Times New Roman" w:eastAsia="宋体" w:cs="Times New Roman"/>
                      <w:color w:val="auto"/>
                      <w:sz w:val="21"/>
                      <w:szCs w:val="21"/>
                      <w:highlight w:val="none"/>
                      <w:lang w:eastAsia="zh-CN"/>
                    </w:rPr>
                    <w:t>采用1台</w:t>
                  </w:r>
                  <w:r>
                    <w:rPr>
                      <w:rFonts w:hint="default" w:ascii="Times New Roman" w:hAnsi="Times New Roman"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vertAlign w:val="superscript"/>
                      <w:lang w:eastAsia="zh-CN"/>
                    </w:rPr>
                    <w:t>3</w:t>
                  </w:r>
                  <w:r>
                    <w:rPr>
                      <w:rFonts w:hint="default" w:ascii="Times New Roman" w:hAnsi="Times New Roman" w:eastAsia="宋体" w:cs="Times New Roman"/>
                      <w:color w:val="auto"/>
                      <w:sz w:val="21"/>
                      <w:szCs w:val="21"/>
                      <w:highlight w:val="none"/>
                      <w:lang w:eastAsia="zh-CN"/>
                    </w:rPr>
                    <w:t>/min空气压缩机供风</w:t>
                  </w:r>
                  <w:r>
                    <w:rPr>
                      <w:rFonts w:hint="default" w:ascii="Times New Roman" w:hAnsi="Times New Roman"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4" w:type="dxa"/>
                  <w:bottom w:w="0" w:type="dxa"/>
                  <w:right w:w="74" w:type="dxa"/>
                </w:tblCellMar>
              </w:tblPrEx>
              <w:trPr>
                <w:trHeight w:val="267" w:hRule="atLeast"/>
                <w:jc w:val="center"/>
              </w:trPr>
              <w:tc>
                <w:tcPr>
                  <w:tcW w:w="386" w:type="pct"/>
                  <w:vMerge w:val="continue"/>
                  <w:shd w:val="clear" w:color="auto" w:fill="auto"/>
                  <w:tcMar>
                    <w:left w:w="57" w:type="dxa"/>
                    <w:right w:w="57" w:type="dxa"/>
                  </w:tcMar>
                  <w:vAlign w:val="center"/>
                </w:tcPr>
                <w:p>
                  <w:pPr>
                    <w:pStyle w:val="2"/>
                    <w:adjustRightInd w:val="0"/>
                    <w:spacing w:before="0" w:after="0" w:line="240" w:lineRule="auto"/>
                    <w:ind w:right="0"/>
                    <w:rPr>
                      <w:rFonts w:hint="default" w:ascii="Times New Roman" w:hAnsi="Times New Roman" w:cs="Times New Roman"/>
                      <w:color w:val="auto"/>
                      <w:highlight w:val="none"/>
                    </w:rPr>
                  </w:pPr>
                </w:p>
              </w:tc>
              <w:tc>
                <w:tcPr>
                  <w:tcW w:w="1092" w:type="pct"/>
                  <w:gridSpan w:val="2"/>
                  <w:vMerge w:val="continue"/>
                  <w:shd w:val="clear" w:color="auto" w:fill="auto"/>
                  <w:tcMar>
                    <w:left w:w="57" w:type="dxa"/>
                    <w:right w:w="57" w:type="dxa"/>
                  </w:tcMar>
                  <w:vAlign w:val="center"/>
                </w:tcPr>
                <w:p>
                  <w:pPr>
                    <w:pStyle w:val="2"/>
                    <w:adjustRightInd w:val="0"/>
                    <w:spacing w:before="0" w:after="0" w:line="240" w:lineRule="auto"/>
                    <w:ind w:right="0"/>
                    <w:rPr>
                      <w:rFonts w:hint="default" w:ascii="Times New Roman" w:hAnsi="Times New Roman" w:cs="Times New Roman"/>
                      <w:color w:val="auto"/>
                      <w:highlight w:val="none"/>
                    </w:rPr>
                  </w:pPr>
                </w:p>
              </w:tc>
              <w:tc>
                <w:tcPr>
                  <w:tcW w:w="3520" w:type="pct"/>
                  <w:shd w:val="clear" w:color="auto" w:fill="auto"/>
                  <w:tcMar>
                    <w:left w:w="57" w:type="dxa"/>
                    <w:right w:w="57" w:type="dxa"/>
                  </w:tcMar>
                  <w:vAlign w:val="center"/>
                </w:tcPr>
                <w:p>
                  <w:pPr>
                    <w:pStyle w:val="2"/>
                    <w:adjustRightInd w:val="0"/>
                    <w:spacing w:before="0" w:after="0" w:line="240" w:lineRule="auto"/>
                    <w:ind w:right="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供水及灌溉工程不设置供风系统</w:t>
                  </w:r>
                  <w:r>
                    <w:rPr>
                      <w:rFonts w:hint="default" w:ascii="Times New Roman" w:hAnsi="Times New Roman"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4" w:type="dxa"/>
                  <w:bottom w:w="0" w:type="dxa"/>
                  <w:right w:w="74" w:type="dxa"/>
                </w:tblCellMar>
              </w:tblPrEx>
              <w:trPr>
                <w:trHeight w:val="403" w:hRule="atLeast"/>
                <w:jc w:val="center"/>
              </w:trPr>
              <w:tc>
                <w:tcPr>
                  <w:tcW w:w="386" w:type="pct"/>
                  <w:vMerge w:val="continue"/>
                  <w:shd w:val="clear" w:color="auto" w:fill="auto"/>
                  <w:tcMar>
                    <w:left w:w="57" w:type="dxa"/>
                    <w:right w:w="57" w:type="dxa"/>
                  </w:tcMar>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092" w:type="pct"/>
                  <w:gridSpan w:val="2"/>
                  <w:vMerge w:val="restart"/>
                  <w:shd w:val="clear" w:color="auto" w:fill="auto"/>
                  <w:tcMar>
                    <w:left w:w="57" w:type="dxa"/>
                    <w:right w:w="57" w:type="dxa"/>
                  </w:tcMar>
                  <w:vAlign w:val="center"/>
                </w:tcPr>
                <w:p>
                  <w:pPr>
                    <w:pStyle w:val="2"/>
                    <w:adjustRightInd w:val="0"/>
                    <w:spacing w:before="0" w:after="0" w:line="240" w:lineRule="auto"/>
                    <w:ind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施工</w:t>
                  </w:r>
                  <w:r>
                    <w:rPr>
                      <w:rFonts w:hint="default" w:ascii="Times New Roman" w:hAnsi="Times New Roman" w:eastAsia="宋体" w:cs="Times New Roman"/>
                      <w:color w:val="auto"/>
                      <w:sz w:val="21"/>
                      <w:szCs w:val="21"/>
                      <w:highlight w:val="none"/>
                      <w:lang w:eastAsia="zh-CN"/>
                    </w:rPr>
                    <w:t>供电</w:t>
                  </w:r>
                </w:p>
              </w:tc>
              <w:tc>
                <w:tcPr>
                  <w:tcW w:w="3520" w:type="pct"/>
                  <w:shd w:val="clear" w:color="auto" w:fill="auto"/>
                  <w:tcMar>
                    <w:left w:w="57" w:type="dxa"/>
                    <w:right w:w="57" w:type="dxa"/>
                  </w:tcMar>
                  <w:vAlign w:val="center"/>
                </w:tcPr>
                <w:p>
                  <w:pPr>
                    <w:pStyle w:val="2"/>
                    <w:adjustRightInd w:val="0"/>
                    <w:spacing w:before="0" w:after="0" w:line="240" w:lineRule="auto"/>
                    <w:ind w:right="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枢纽工程施工用电在坝区“T”接，拟在枢纽工区设置1台400KVA变压器，通过低压配电线路送至各工点，另配置一台200KVA柴油发电机作为备用电源。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4" w:type="dxa"/>
                  <w:bottom w:w="0" w:type="dxa"/>
                  <w:right w:w="74" w:type="dxa"/>
                </w:tblCellMar>
              </w:tblPrEx>
              <w:trPr>
                <w:trHeight w:val="403" w:hRule="atLeast"/>
                <w:jc w:val="center"/>
              </w:trPr>
              <w:tc>
                <w:tcPr>
                  <w:tcW w:w="386" w:type="pct"/>
                  <w:vMerge w:val="continue"/>
                  <w:shd w:val="clear" w:color="auto" w:fill="auto"/>
                  <w:tcMar>
                    <w:left w:w="57" w:type="dxa"/>
                    <w:right w:w="57" w:type="dxa"/>
                  </w:tcMar>
                  <w:vAlign w:val="center"/>
                </w:tcPr>
                <w:p>
                  <w:pPr>
                    <w:pStyle w:val="2"/>
                    <w:adjustRightInd w:val="0"/>
                    <w:spacing w:before="0" w:after="0" w:line="240" w:lineRule="auto"/>
                    <w:ind w:right="0" w:rightChars="0"/>
                    <w:jc w:val="center"/>
                    <w:rPr>
                      <w:rFonts w:hint="default" w:ascii="Times New Roman" w:hAnsi="Times New Roman" w:cs="Times New Roman"/>
                      <w:color w:val="auto"/>
                      <w:highlight w:val="none"/>
                    </w:rPr>
                  </w:pPr>
                </w:p>
              </w:tc>
              <w:tc>
                <w:tcPr>
                  <w:tcW w:w="1092" w:type="pct"/>
                  <w:gridSpan w:val="2"/>
                  <w:vMerge w:val="continue"/>
                  <w:shd w:val="clear" w:color="auto" w:fill="auto"/>
                  <w:tcMar>
                    <w:left w:w="57" w:type="dxa"/>
                    <w:right w:w="57" w:type="dxa"/>
                  </w:tcMar>
                  <w:vAlign w:val="center"/>
                </w:tcPr>
                <w:p>
                  <w:pPr>
                    <w:pStyle w:val="2"/>
                    <w:adjustRightInd w:val="0"/>
                    <w:spacing w:before="0" w:after="0" w:line="240" w:lineRule="auto"/>
                    <w:ind w:right="0" w:rightChars="0"/>
                    <w:jc w:val="center"/>
                    <w:rPr>
                      <w:rFonts w:hint="default" w:ascii="Times New Roman" w:hAnsi="Times New Roman" w:cs="Times New Roman"/>
                      <w:color w:val="auto"/>
                      <w:highlight w:val="none"/>
                    </w:rPr>
                  </w:pPr>
                </w:p>
              </w:tc>
              <w:tc>
                <w:tcPr>
                  <w:tcW w:w="3520" w:type="pct"/>
                  <w:shd w:val="clear" w:color="auto" w:fill="auto"/>
                  <w:tcMar>
                    <w:left w:w="57" w:type="dxa"/>
                    <w:right w:w="57" w:type="dxa"/>
                  </w:tcMar>
                  <w:vAlign w:val="center"/>
                </w:tcPr>
                <w:p>
                  <w:pPr>
                    <w:pStyle w:val="2"/>
                    <w:adjustRightInd w:val="0"/>
                    <w:spacing w:before="0" w:after="0" w:line="240" w:lineRule="auto"/>
                    <w:ind w:right="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供水及灌溉工程设置4台50KW柴油发电机</w:t>
                  </w:r>
                  <w:r>
                    <w:rPr>
                      <w:rFonts w:hint="default" w:ascii="Times New Roman" w:hAnsi="Times New Roman" w:cs="Times New Roman"/>
                      <w:color w:val="auto"/>
                      <w:sz w:val="21"/>
                      <w:szCs w:val="21"/>
                      <w:highlight w:val="none"/>
                      <w:lang w:val="en-US" w:eastAsia="zh-CN"/>
                    </w:rPr>
                    <w:t>供电</w:t>
                  </w:r>
                  <w:r>
                    <w:rPr>
                      <w:rFonts w:hint="default" w:ascii="Times New Roman" w:hAnsi="Times New Roman" w:eastAsia="宋体"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4" w:type="dxa"/>
                  <w:bottom w:w="0" w:type="dxa"/>
                  <w:right w:w="74" w:type="dxa"/>
                </w:tblCellMar>
              </w:tblPrEx>
              <w:trPr>
                <w:trHeight w:val="403" w:hRule="atLeast"/>
                <w:jc w:val="center"/>
              </w:trPr>
              <w:tc>
                <w:tcPr>
                  <w:tcW w:w="386" w:type="pct"/>
                  <w:vMerge w:val="continue"/>
                  <w:shd w:val="clear" w:color="auto" w:fill="auto"/>
                  <w:tcMar>
                    <w:left w:w="57" w:type="dxa"/>
                    <w:right w:w="57" w:type="dxa"/>
                  </w:tcMar>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092" w:type="pct"/>
                  <w:gridSpan w:val="2"/>
                  <w:vMerge w:val="restart"/>
                  <w:shd w:val="clear" w:color="auto" w:fill="auto"/>
                  <w:tcMar>
                    <w:left w:w="57" w:type="dxa"/>
                    <w:right w:w="57" w:type="dxa"/>
                  </w:tcMar>
                  <w:vAlign w:val="center"/>
                </w:tcPr>
                <w:p>
                  <w:pPr>
                    <w:pStyle w:val="2"/>
                    <w:adjustRightInd w:val="0"/>
                    <w:spacing w:before="0" w:after="0" w:line="240" w:lineRule="auto"/>
                    <w:ind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施工</w:t>
                  </w:r>
                  <w:r>
                    <w:rPr>
                      <w:rFonts w:hint="default" w:ascii="Times New Roman" w:hAnsi="Times New Roman" w:eastAsia="宋体" w:cs="Times New Roman"/>
                      <w:color w:val="auto"/>
                      <w:sz w:val="21"/>
                      <w:szCs w:val="21"/>
                      <w:highlight w:val="none"/>
                      <w:lang w:eastAsia="zh-CN"/>
                    </w:rPr>
                    <w:t>给水</w:t>
                  </w:r>
                </w:p>
              </w:tc>
              <w:tc>
                <w:tcPr>
                  <w:tcW w:w="3520" w:type="pct"/>
                  <w:shd w:val="clear" w:color="auto" w:fill="auto"/>
                  <w:tcMar>
                    <w:left w:w="57" w:type="dxa"/>
                    <w:right w:w="57" w:type="dxa"/>
                  </w:tcMar>
                  <w:vAlign w:val="center"/>
                </w:tcPr>
                <w:p>
                  <w:pPr>
                    <w:pStyle w:val="2"/>
                    <w:adjustRightInd w:val="0"/>
                    <w:spacing w:before="0" w:after="0" w:line="240" w:lineRule="auto"/>
                    <w:ind w:right="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枢纽工程施工用水企业主要为混凝土拌和系统及养护，主要取用河水，经净化处理后输送至各工区供水池，主要在枢纽工区坝肩、混凝土拌和系统、砂石加工系统内设置供水站。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4" w:type="dxa"/>
                  <w:bottom w:w="0" w:type="dxa"/>
                  <w:right w:w="74" w:type="dxa"/>
                </w:tblCellMar>
              </w:tblPrEx>
              <w:trPr>
                <w:trHeight w:val="403" w:hRule="atLeast"/>
                <w:jc w:val="center"/>
              </w:trPr>
              <w:tc>
                <w:tcPr>
                  <w:tcW w:w="386" w:type="pct"/>
                  <w:vMerge w:val="continue"/>
                  <w:shd w:val="clear" w:color="auto" w:fill="auto"/>
                  <w:tcMar>
                    <w:left w:w="57" w:type="dxa"/>
                    <w:right w:w="57" w:type="dxa"/>
                  </w:tcMar>
                  <w:vAlign w:val="center"/>
                </w:tcPr>
                <w:p>
                  <w:pPr>
                    <w:pStyle w:val="2"/>
                    <w:adjustRightInd w:val="0"/>
                    <w:spacing w:before="0" w:after="0" w:line="240" w:lineRule="auto"/>
                    <w:ind w:right="0"/>
                    <w:rPr>
                      <w:rFonts w:hint="default" w:ascii="Times New Roman" w:hAnsi="Times New Roman" w:cs="Times New Roman"/>
                      <w:color w:val="auto"/>
                      <w:highlight w:val="none"/>
                    </w:rPr>
                  </w:pPr>
                </w:p>
              </w:tc>
              <w:tc>
                <w:tcPr>
                  <w:tcW w:w="1092" w:type="pct"/>
                  <w:gridSpan w:val="2"/>
                  <w:vMerge w:val="continue"/>
                  <w:shd w:val="clear" w:color="auto" w:fill="auto"/>
                  <w:tcMar>
                    <w:left w:w="57" w:type="dxa"/>
                    <w:right w:w="57" w:type="dxa"/>
                  </w:tcMar>
                  <w:vAlign w:val="center"/>
                </w:tcPr>
                <w:p>
                  <w:pPr>
                    <w:pStyle w:val="2"/>
                    <w:adjustRightInd w:val="0"/>
                    <w:spacing w:before="0" w:after="0" w:line="240" w:lineRule="auto"/>
                    <w:ind w:right="0"/>
                    <w:rPr>
                      <w:rFonts w:hint="default" w:ascii="Times New Roman" w:hAnsi="Times New Roman" w:cs="Times New Roman"/>
                      <w:color w:val="auto"/>
                      <w:highlight w:val="none"/>
                    </w:rPr>
                  </w:pPr>
                </w:p>
              </w:tc>
              <w:tc>
                <w:tcPr>
                  <w:tcW w:w="3520" w:type="pct"/>
                  <w:shd w:val="clear" w:color="auto" w:fill="auto"/>
                  <w:tcMar>
                    <w:left w:w="57" w:type="dxa"/>
                    <w:right w:w="57" w:type="dxa"/>
                  </w:tcMar>
                  <w:vAlign w:val="center"/>
                </w:tcPr>
                <w:p>
                  <w:pPr>
                    <w:pStyle w:val="2"/>
                    <w:adjustRightInd w:val="0"/>
                    <w:spacing w:before="0" w:after="0" w:line="240" w:lineRule="auto"/>
                    <w:ind w:right="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供水及灌溉工程为线性工程，施工用水拟接入居民自来水管网，现场采取挖蓄水池解决施工生产、生活用水。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4" w:type="dxa"/>
                  <w:bottom w:w="0" w:type="dxa"/>
                  <w:right w:w="74" w:type="dxa"/>
                </w:tblCellMar>
              </w:tblPrEx>
              <w:trPr>
                <w:trHeight w:val="90" w:hRule="atLeast"/>
                <w:jc w:val="center"/>
              </w:trPr>
              <w:tc>
                <w:tcPr>
                  <w:tcW w:w="386" w:type="pct"/>
                  <w:vMerge w:val="continue"/>
                  <w:shd w:val="clear" w:color="auto" w:fill="auto"/>
                  <w:tcMar>
                    <w:left w:w="57" w:type="dxa"/>
                    <w:right w:w="57" w:type="dxa"/>
                  </w:tcMar>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092" w:type="pct"/>
                  <w:gridSpan w:val="2"/>
                  <w:shd w:val="clear" w:color="auto" w:fill="auto"/>
                  <w:tcMar>
                    <w:left w:w="57" w:type="dxa"/>
                    <w:right w:w="57" w:type="dxa"/>
                  </w:tcMar>
                  <w:vAlign w:val="center"/>
                </w:tcPr>
                <w:p>
                  <w:pPr>
                    <w:pStyle w:val="2"/>
                    <w:adjustRightInd w:val="0"/>
                    <w:spacing w:before="0" w:after="0" w:line="240" w:lineRule="auto"/>
                    <w:ind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排水</w:t>
                  </w:r>
                </w:p>
              </w:tc>
              <w:tc>
                <w:tcPr>
                  <w:tcW w:w="3520" w:type="pct"/>
                  <w:shd w:val="clear" w:color="auto" w:fill="auto"/>
                  <w:tcMar>
                    <w:left w:w="57" w:type="dxa"/>
                    <w:right w:w="57" w:type="dxa"/>
                  </w:tcMar>
                  <w:vAlign w:val="center"/>
                </w:tcPr>
                <w:p>
                  <w:pPr>
                    <w:pStyle w:val="2"/>
                    <w:adjustRightInd w:val="0"/>
                    <w:spacing w:before="0" w:after="0" w:line="240" w:lineRule="auto"/>
                    <w:ind w:right="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混凝土拌和系统废水采用“pH调节+间歇自然沉淀法”进行处理（必要时加絮凝剂，处理能力5m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/h</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，处理后回用于混凝土</w:t>
                  </w:r>
                  <w:r>
                    <w:rPr>
                      <w:rFonts w:hint="eastAsia" w:cs="Times New Roman"/>
                      <w:color w:val="auto"/>
                      <w:sz w:val="21"/>
                      <w:szCs w:val="21"/>
                      <w:highlight w:val="none"/>
                      <w:lang w:eastAsia="zh-CN"/>
                    </w:rPr>
                    <w:t>拌和</w:t>
                  </w:r>
                  <w:r>
                    <w:rPr>
                      <w:rFonts w:hint="default" w:ascii="Times New Roman" w:hAnsi="Times New Roman" w:cs="Times New Roman"/>
                      <w:color w:val="auto"/>
                      <w:sz w:val="21"/>
                      <w:szCs w:val="21"/>
                      <w:highlight w:val="none"/>
                    </w:rPr>
                    <w:t>过程</w:t>
                  </w:r>
                  <w:r>
                    <w:rPr>
                      <w:rFonts w:hint="default" w:ascii="Times New Roman" w:hAnsi="Times New Roman" w:cs="Times New Roman"/>
                      <w:color w:val="auto"/>
                      <w:sz w:val="21"/>
                      <w:szCs w:val="21"/>
                      <w:highlight w:val="none"/>
                      <w:lang w:eastAsia="zh-CN"/>
                    </w:rPr>
                    <w:t>。初期基坑排水</w:t>
                  </w:r>
                  <w:r>
                    <w:rPr>
                      <w:rFonts w:hint="default" w:ascii="Times New Roman" w:hAnsi="Times New Roman" w:cs="Times New Roman"/>
                      <w:color w:val="auto"/>
                      <w:sz w:val="21"/>
                      <w:szCs w:val="21"/>
                      <w:highlight w:val="none"/>
                      <w:lang w:val="en-US" w:eastAsia="zh-CN"/>
                    </w:rPr>
                    <w:t>经</w:t>
                  </w:r>
                  <w:r>
                    <w:rPr>
                      <w:rFonts w:hint="default" w:ascii="Times New Roman" w:hAnsi="Times New Roman" w:cs="Times New Roman"/>
                      <w:color w:val="auto"/>
                      <w:sz w:val="21"/>
                      <w:szCs w:val="21"/>
                      <w:highlight w:val="none"/>
                      <w:lang w:eastAsia="zh-CN"/>
                    </w:rPr>
                    <w:t>沉淀1～2h后回用于场地洒水抑尘；基坑经常性废水主要包括砼养护废水及基坑渗水，采用沉淀池处理（处理能力20m</w:t>
                  </w:r>
                  <w:r>
                    <w:rPr>
                      <w:rFonts w:hint="default" w:ascii="Times New Roman" w:hAnsi="Times New Roman" w:cs="Times New Roman"/>
                      <w:color w:val="auto"/>
                      <w:sz w:val="21"/>
                      <w:szCs w:val="21"/>
                      <w:highlight w:val="none"/>
                      <w:vertAlign w:val="superscript"/>
                      <w:lang w:eastAsia="zh-CN"/>
                    </w:rPr>
                    <w:t>3</w:t>
                  </w:r>
                  <w:r>
                    <w:rPr>
                      <w:rFonts w:hint="default" w:ascii="Times New Roman" w:hAnsi="Times New Roman" w:cs="Times New Roman"/>
                      <w:color w:val="auto"/>
                      <w:sz w:val="21"/>
                      <w:szCs w:val="21"/>
                      <w:highlight w:val="none"/>
                      <w:lang w:eastAsia="zh-CN"/>
                    </w:rPr>
                    <w:t>/h）后回用于场地降尘。施工机械冲洗废水经隔油/沉淀池处理</w:t>
                  </w:r>
                  <w:r>
                    <w:rPr>
                      <w:rFonts w:hint="eastAsia" w:cs="Times New Roman"/>
                      <w:color w:val="auto"/>
                      <w:sz w:val="21"/>
                      <w:szCs w:val="21"/>
                      <w:highlight w:val="none"/>
                      <w:lang w:val="en-US" w:eastAsia="zh-CN"/>
                    </w:rPr>
                    <w:t>后</w:t>
                  </w:r>
                  <w:r>
                    <w:rPr>
                      <w:rFonts w:hint="default" w:ascii="Times New Roman" w:hAnsi="Times New Roman" w:cs="Times New Roman"/>
                      <w:color w:val="auto"/>
                      <w:sz w:val="21"/>
                      <w:szCs w:val="21"/>
                      <w:highlight w:val="none"/>
                      <w:lang w:eastAsia="zh-CN"/>
                    </w:rPr>
                    <w:t>回用于施工道路防尘洒水，不外排</w:t>
                  </w:r>
                  <w:r>
                    <w:rPr>
                      <w:rFonts w:hint="default" w:ascii="Times New Roman" w:hAnsi="Times New Roman" w:eastAsia="宋体" w:cs="Times New Roman"/>
                      <w:color w:val="auto"/>
                      <w:sz w:val="21"/>
                      <w:szCs w:val="21"/>
                      <w:highlight w:val="none"/>
                    </w:rPr>
                    <w:t>；</w:t>
                  </w:r>
                  <w:r>
                    <w:rPr>
                      <w:rFonts w:hint="default" w:ascii="Times New Roman" w:hAnsi="Times New Roman" w:cs="Times New Roman"/>
                      <w:b w:val="0"/>
                      <w:bCs w:val="0"/>
                      <w:color w:val="auto"/>
                      <w:sz w:val="21"/>
                      <w:szCs w:val="21"/>
                      <w:highlight w:val="none"/>
                      <w:lang w:val="en-US" w:eastAsia="zh-CN"/>
                    </w:rPr>
                    <w:t>生活污水经一体化污水处理设施收集处理后用于农田或林地施肥</w:t>
                  </w:r>
                  <w:r>
                    <w:rPr>
                      <w:rFonts w:hint="default" w:ascii="Times New Roman" w:hAnsi="Times New Roman" w:eastAsia="宋体"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4" w:type="dxa"/>
                  <w:bottom w:w="0" w:type="dxa"/>
                  <w:right w:w="74" w:type="dxa"/>
                </w:tblCellMar>
              </w:tblPrEx>
              <w:trPr>
                <w:trHeight w:val="397" w:hRule="atLeast"/>
                <w:jc w:val="center"/>
              </w:trPr>
              <w:tc>
                <w:tcPr>
                  <w:tcW w:w="386" w:type="pct"/>
                  <w:vMerge w:val="restart"/>
                  <w:shd w:val="clear" w:color="auto" w:fill="auto"/>
                  <w:tcMar>
                    <w:left w:w="57" w:type="dxa"/>
                    <w:right w:w="57" w:type="dxa"/>
                  </w:tcMar>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环保工程</w:t>
                  </w:r>
                </w:p>
              </w:tc>
              <w:tc>
                <w:tcPr>
                  <w:tcW w:w="1092" w:type="pct"/>
                  <w:gridSpan w:val="2"/>
                  <w:shd w:val="clear" w:color="auto" w:fill="auto"/>
                  <w:tcMar>
                    <w:left w:w="57" w:type="dxa"/>
                    <w:right w:w="57" w:type="dxa"/>
                  </w:tcMar>
                  <w:vAlign w:val="center"/>
                </w:tcPr>
                <w:p>
                  <w:pPr>
                    <w:pStyle w:val="2"/>
                    <w:adjustRightInd w:val="0"/>
                    <w:spacing w:before="0" w:after="0" w:line="240" w:lineRule="auto"/>
                    <w:ind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废气</w:t>
                  </w:r>
                </w:p>
              </w:tc>
              <w:tc>
                <w:tcPr>
                  <w:tcW w:w="3520" w:type="pct"/>
                  <w:shd w:val="clear" w:color="auto" w:fill="auto"/>
                  <w:tcMar>
                    <w:left w:w="57" w:type="dxa"/>
                    <w:right w:w="57" w:type="dxa"/>
                  </w:tcMar>
                  <w:vAlign w:val="center"/>
                </w:tcPr>
                <w:p>
                  <w:pPr>
                    <w:pStyle w:val="2"/>
                    <w:adjustRightInd w:val="0"/>
                    <w:spacing w:before="0" w:after="0" w:line="240" w:lineRule="auto"/>
                    <w:ind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w:t>
                  </w:r>
                  <w:r>
                    <w:rPr>
                      <w:rFonts w:hint="default" w:ascii="Times New Roman" w:hAnsi="Times New Roman" w:eastAsia="宋体" w:cs="Times New Roman"/>
                      <w:color w:val="auto"/>
                      <w:sz w:val="21"/>
                      <w:szCs w:val="21"/>
                      <w:highlight w:val="none"/>
                      <w:lang w:val="en-US" w:eastAsia="zh-CN"/>
                    </w:rPr>
                    <w:t>扬尘</w:t>
                  </w:r>
                  <w:r>
                    <w:rPr>
                      <w:rFonts w:hint="default" w:ascii="Times New Roman" w:hAnsi="Times New Roman" w:eastAsia="宋体" w:cs="Times New Roman"/>
                      <w:color w:val="auto"/>
                      <w:sz w:val="21"/>
                      <w:szCs w:val="21"/>
                      <w:highlight w:val="none"/>
                    </w:rPr>
                    <w:t>采取密闭运输、洒水降尘、合理布置炮雾机等降尘设施。采用先进施工机械；合理安排使用施工机械；注意车辆保养，严禁车况差的车辆进场；加快施工进度，尽量缩短施工时间。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4" w:type="dxa"/>
                  <w:bottom w:w="0" w:type="dxa"/>
                  <w:right w:w="74" w:type="dxa"/>
                </w:tblCellMar>
              </w:tblPrEx>
              <w:trPr>
                <w:trHeight w:val="397" w:hRule="atLeast"/>
                <w:jc w:val="center"/>
              </w:trPr>
              <w:tc>
                <w:tcPr>
                  <w:tcW w:w="386" w:type="pct"/>
                  <w:vMerge w:val="continue"/>
                  <w:shd w:val="clear" w:color="auto" w:fill="auto"/>
                  <w:tcMar>
                    <w:left w:w="57" w:type="dxa"/>
                    <w:right w:w="57" w:type="dxa"/>
                  </w:tcMar>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092" w:type="pct"/>
                  <w:gridSpan w:val="2"/>
                  <w:shd w:val="clear" w:color="auto" w:fill="auto"/>
                  <w:tcMar>
                    <w:left w:w="57" w:type="dxa"/>
                    <w:right w:w="57" w:type="dxa"/>
                  </w:tcMar>
                  <w:vAlign w:val="center"/>
                </w:tcPr>
                <w:p>
                  <w:pPr>
                    <w:pStyle w:val="2"/>
                    <w:adjustRightInd w:val="0"/>
                    <w:spacing w:before="0" w:after="0" w:line="240" w:lineRule="auto"/>
                    <w:ind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废水</w:t>
                  </w:r>
                </w:p>
              </w:tc>
              <w:tc>
                <w:tcPr>
                  <w:tcW w:w="3520" w:type="pct"/>
                  <w:shd w:val="clear" w:color="auto" w:fill="auto"/>
                  <w:tcMar>
                    <w:left w:w="57" w:type="dxa"/>
                    <w:right w:w="57" w:type="dxa"/>
                  </w:tcMar>
                  <w:vAlign w:val="center"/>
                </w:tcPr>
                <w:p>
                  <w:pPr>
                    <w:pStyle w:val="2"/>
                    <w:adjustRightInd w:val="0"/>
                    <w:spacing w:before="0" w:after="0" w:line="240" w:lineRule="auto"/>
                    <w:ind w:right="0" w:right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混凝土拌和系统废水</w:t>
                  </w:r>
                  <w:r>
                    <w:rPr>
                      <w:rFonts w:hint="eastAsia" w:cs="Times New Roman"/>
                      <w:color w:val="auto"/>
                      <w:sz w:val="21"/>
                      <w:szCs w:val="21"/>
                      <w:highlight w:val="none"/>
                      <w:lang w:val="en-US" w:eastAsia="zh-CN"/>
                    </w:rPr>
                    <w:t>经絮凝沉淀池</w:t>
                  </w:r>
                  <w:r>
                    <w:rPr>
                      <w:rFonts w:hint="default" w:ascii="Times New Roman" w:hAnsi="Times New Roman" w:cs="Times New Roman"/>
                      <w:color w:val="auto"/>
                      <w:sz w:val="21"/>
                      <w:szCs w:val="21"/>
                      <w:highlight w:val="none"/>
                    </w:rPr>
                    <w:t>处理（</w:t>
                  </w:r>
                  <w:r>
                    <w:rPr>
                      <w:rFonts w:hint="eastAsia" w:cs="Times New Roman"/>
                      <w:color w:val="auto"/>
                      <w:sz w:val="21"/>
                      <w:szCs w:val="21"/>
                      <w:highlight w:val="none"/>
                      <w:lang w:val="en-US" w:eastAsia="zh-CN"/>
                    </w:rPr>
                    <w:t>容积3</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个</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，处理后回用于混凝土</w:t>
                  </w:r>
                  <w:r>
                    <w:rPr>
                      <w:rFonts w:hint="eastAsia" w:cs="Times New Roman"/>
                      <w:color w:val="auto"/>
                      <w:sz w:val="21"/>
                      <w:szCs w:val="21"/>
                      <w:highlight w:val="none"/>
                      <w:lang w:eastAsia="zh-CN"/>
                    </w:rPr>
                    <w:t>拌和</w:t>
                  </w:r>
                  <w:r>
                    <w:rPr>
                      <w:rFonts w:hint="default" w:ascii="Times New Roman" w:hAnsi="Times New Roman" w:cs="Times New Roman"/>
                      <w:color w:val="auto"/>
                      <w:sz w:val="21"/>
                      <w:szCs w:val="21"/>
                      <w:highlight w:val="none"/>
                    </w:rPr>
                    <w:t>过程</w:t>
                  </w:r>
                  <w:r>
                    <w:rPr>
                      <w:rFonts w:hint="default" w:ascii="Times New Roman" w:hAnsi="Times New Roman" w:cs="Times New Roman"/>
                      <w:color w:val="auto"/>
                      <w:sz w:val="21"/>
                      <w:szCs w:val="21"/>
                      <w:highlight w:val="none"/>
                      <w:lang w:eastAsia="zh-CN"/>
                    </w:rPr>
                    <w:t>。施工机械冲洗废水经隔油沉淀池处理回用于施工道路防尘洒水，不外排。</w:t>
                  </w:r>
                  <w:r>
                    <w:rPr>
                      <w:color w:val="auto"/>
                      <w:sz w:val="21"/>
                      <w:szCs w:val="21"/>
                      <w:highlight w:val="none"/>
                    </w:rPr>
                    <w:t>枢纽工区</w:t>
                  </w:r>
                  <w:r>
                    <w:rPr>
                      <w:rFonts w:hint="default" w:ascii="Times New Roman" w:hAnsi="Times New Roman" w:eastAsia="宋体" w:cs="Times New Roman"/>
                      <w:color w:val="auto"/>
                      <w:sz w:val="21"/>
                      <w:szCs w:val="21"/>
                      <w:highlight w:val="none"/>
                    </w:rPr>
                    <w:t>生活污水经一体化污水处理设施</w:t>
                  </w:r>
                  <w:r>
                    <w:rPr>
                      <w:rFonts w:hint="eastAsia" w:cs="Times New Roman"/>
                      <w:color w:val="auto"/>
                      <w:sz w:val="21"/>
                      <w:szCs w:val="21"/>
                      <w:highlight w:val="none"/>
                      <w:lang w:eastAsia="zh-CN"/>
                    </w:rPr>
                    <w:t>（</w:t>
                  </w:r>
                  <w:r>
                    <w:rPr>
                      <w:color w:val="auto"/>
                      <w:sz w:val="21"/>
                      <w:szCs w:val="21"/>
                      <w:highlight w:val="none"/>
                    </w:rPr>
                    <w:t>处理能力</w:t>
                  </w:r>
                  <w:r>
                    <w:rPr>
                      <w:rFonts w:hint="eastAsia"/>
                      <w:color w:val="auto"/>
                      <w:kern w:val="0"/>
                      <w:sz w:val="21"/>
                      <w:szCs w:val="21"/>
                      <w:highlight w:val="none"/>
                    </w:rPr>
                    <w:t>15</w:t>
                  </w:r>
                  <w:r>
                    <w:rPr>
                      <w:color w:val="auto"/>
                      <w:kern w:val="0"/>
                      <w:sz w:val="21"/>
                      <w:szCs w:val="21"/>
                      <w:highlight w:val="none"/>
                    </w:rPr>
                    <w:t>m</w:t>
                  </w:r>
                  <w:r>
                    <w:rPr>
                      <w:color w:val="auto"/>
                      <w:kern w:val="0"/>
                      <w:sz w:val="21"/>
                      <w:szCs w:val="21"/>
                      <w:highlight w:val="none"/>
                      <w:vertAlign w:val="superscript"/>
                    </w:rPr>
                    <w:t>3</w:t>
                  </w:r>
                  <w:r>
                    <w:rPr>
                      <w:color w:val="auto"/>
                      <w:kern w:val="0"/>
                      <w:sz w:val="21"/>
                      <w:szCs w:val="21"/>
                      <w:highlight w:val="none"/>
                    </w:rPr>
                    <w:t>/</w:t>
                  </w:r>
                  <w:r>
                    <w:rPr>
                      <w:rFonts w:hint="eastAsia"/>
                      <w:color w:val="auto"/>
                      <w:kern w:val="0"/>
                      <w:sz w:val="21"/>
                      <w:szCs w:val="21"/>
                      <w:highlight w:val="none"/>
                    </w:rPr>
                    <w:t>d</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收集处理后用于农田或林地施肥，不外排。</w:t>
                  </w:r>
                  <w:r>
                    <w:rPr>
                      <w:rFonts w:hint="eastAsia"/>
                      <w:color w:val="auto"/>
                      <w:sz w:val="21"/>
                      <w:szCs w:val="21"/>
                      <w:highlight w:val="none"/>
                    </w:rPr>
                    <w:t>供水工程区施工区生活污水采取化粪池</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容积3</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个</w:t>
                  </w:r>
                  <w:r>
                    <w:rPr>
                      <w:rFonts w:hint="default" w:ascii="Times New Roman" w:hAnsi="Times New Roman" w:cs="Times New Roman"/>
                      <w:color w:val="auto"/>
                      <w:sz w:val="21"/>
                      <w:szCs w:val="21"/>
                      <w:highlight w:val="none"/>
                      <w:lang w:eastAsia="zh-CN"/>
                    </w:rPr>
                    <w:t>）</w:t>
                  </w:r>
                  <w:r>
                    <w:rPr>
                      <w:rFonts w:hint="eastAsia"/>
                      <w:color w:val="auto"/>
                      <w:sz w:val="21"/>
                      <w:szCs w:val="21"/>
                      <w:highlight w:val="none"/>
                    </w:rPr>
                    <w:t>处理</w:t>
                  </w:r>
                  <w:r>
                    <w:rPr>
                      <w:rFonts w:hint="default" w:ascii="Times New Roman" w:hAnsi="Times New Roman" w:eastAsia="宋体" w:cs="Times New Roman"/>
                      <w:color w:val="auto"/>
                      <w:sz w:val="21"/>
                      <w:szCs w:val="21"/>
                      <w:highlight w:val="none"/>
                    </w:rPr>
                    <w:t>后用于农田或林地施肥。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4" w:type="dxa"/>
                  <w:bottom w:w="0" w:type="dxa"/>
                  <w:right w:w="74" w:type="dxa"/>
                </w:tblCellMar>
              </w:tblPrEx>
              <w:trPr>
                <w:trHeight w:val="90" w:hRule="atLeast"/>
                <w:jc w:val="center"/>
              </w:trPr>
              <w:tc>
                <w:tcPr>
                  <w:tcW w:w="386" w:type="pct"/>
                  <w:vMerge w:val="continue"/>
                  <w:shd w:val="clear" w:color="auto" w:fill="auto"/>
                  <w:tcMar>
                    <w:left w:w="57" w:type="dxa"/>
                    <w:right w:w="57" w:type="dxa"/>
                  </w:tcMar>
                  <w:vAlign w:val="center"/>
                </w:tcPr>
                <w:p>
                  <w:pPr>
                    <w:adjustRightInd w:val="0"/>
                    <w:snapToGrid w:val="0"/>
                    <w:spacing w:line="240" w:lineRule="auto"/>
                    <w:rPr>
                      <w:rFonts w:hint="default" w:ascii="Times New Roman" w:hAnsi="Times New Roman" w:eastAsia="宋体" w:cs="Times New Roman"/>
                      <w:color w:val="auto"/>
                      <w:sz w:val="21"/>
                      <w:szCs w:val="21"/>
                      <w:highlight w:val="none"/>
                    </w:rPr>
                  </w:pPr>
                </w:p>
              </w:tc>
              <w:tc>
                <w:tcPr>
                  <w:tcW w:w="1092" w:type="pct"/>
                  <w:gridSpan w:val="2"/>
                  <w:shd w:val="clear" w:color="auto" w:fill="auto"/>
                  <w:tcMar>
                    <w:left w:w="57" w:type="dxa"/>
                    <w:right w:w="57" w:type="dxa"/>
                  </w:tcMar>
                  <w:vAlign w:val="center"/>
                </w:tcPr>
                <w:p>
                  <w:pPr>
                    <w:pStyle w:val="2"/>
                    <w:adjustRightInd w:val="0"/>
                    <w:spacing w:before="0" w:after="0" w:line="240" w:lineRule="auto"/>
                    <w:ind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3520" w:type="pct"/>
                  <w:shd w:val="clear" w:color="auto" w:fill="auto"/>
                  <w:tcMar>
                    <w:left w:w="57" w:type="dxa"/>
                    <w:right w:w="57" w:type="dxa"/>
                  </w:tcMar>
                  <w:vAlign w:val="center"/>
                </w:tcPr>
                <w:p>
                  <w:pPr>
                    <w:adjustRightInd w:val="0"/>
                    <w:snapToGrid w:val="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选用低噪声设备，合适爆破工艺，加强机械设备维护和保养，保持机械润滑，合理布置施工机械，限速禁鸣，合理施工时间；加强砂石料加工系统噪声防范措施</w:t>
                  </w:r>
                  <w:r>
                    <w:rPr>
                      <w:rFonts w:hint="default" w:ascii="Times New Roman" w:hAnsi="Times New Roman"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4" w:type="dxa"/>
                  <w:bottom w:w="0" w:type="dxa"/>
                  <w:right w:w="74" w:type="dxa"/>
                </w:tblCellMar>
              </w:tblPrEx>
              <w:trPr>
                <w:trHeight w:val="397" w:hRule="atLeast"/>
                <w:jc w:val="center"/>
              </w:trPr>
              <w:tc>
                <w:tcPr>
                  <w:tcW w:w="386" w:type="pct"/>
                  <w:vMerge w:val="continue"/>
                  <w:shd w:val="clear" w:color="auto" w:fill="auto"/>
                  <w:tcMar>
                    <w:left w:w="57" w:type="dxa"/>
                    <w:right w:w="57" w:type="dxa"/>
                  </w:tcMar>
                  <w:vAlign w:val="center"/>
                </w:tcPr>
                <w:p>
                  <w:pPr>
                    <w:adjustRightInd w:val="0"/>
                    <w:snapToGrid w:val="0"/>
                    <w:spacing w:line="240" w:lineRule="auto"/>
                    <w:rPr>
                      <w:rFonts w:hint="default" w:ascii="Times New Roman" w:hAnsi="Times New Roman" w:eastAsia="宋体" w:cs="Times New Roman"/>
                      <w:color w:val="auto"/>
                      <w:sz w:val="21"/>
                      <w:szCs w:val="21"/>
                      <w:highlight w:val="none"/>
                    </w:rPr>
                  </w:pPr>
                </w:p>
              </w:tc>
              <w:tc>
                <w:tcPr>
                  <w:tcW w:w="1092" w:type="pct"/>
                  <w:gridSpan w:val="2"/>
                  <w:shd w:val="clear" w:color="auto" w:fill="auto"/>
                  <w:tcMar>
                    <w:left w:w="57" w:type="dxa"/>
                    <w:right w:w="57" w:type="dxa"/>
                  </w:tcMar>
                  <w:vAlign w:val="center"/>
                </w:tcPr>
                <w:p>
                  <w:pPr>
                    <w:pStyle w:val="2"/>
                    <w:adjustRightInd w:val="0"/>
                    <w:spacing w:before="0" w:after="0" w:line="240" w:lineRule="auto"/>
                    <w:ind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固体废物</w:t>
                  </w:r>
                </w:p>
              </w:tc>
              <w:tc>
                <w:tcPr>
                  <w:tcW w:w="3520" w:type="pct"/>
                  <w:shd w:val="clear" w:color="auto" w:fill="auto"/>
                  <w:tcMar>
                    <w:left w:w="57" w:type="dxa"/>
                    <w:right w:w="57" w:type="dxa"/>
                  </w:tcMar>
                  <w:vAlign w:val="center"/>
                </w:tcPr>
                <w:p>
                  <w:pPr>
                    <w:adjustRightInd w:val="0"/>
                    <w:snapToGrid w:val="0"/>
                    <w:spacing w:line="240" w:lineRule="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建筑垃圾能回收利用的外售物资公司回收，不能回收的运往建筑垃圾处置场处理；施工人员生活垃圾交环卫部门处理。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4" w:type="dxa"/>
                  <w:bottom w:w="0" w:type="dxa"/>
                  <w:right w:w="74" w:type="dxa"/>
                </w:tblCellMar>
              </w:tblPrEx>
              <w:trPr>
                <w:trHeight w:val="397" w:hRule="atLeast"/>
                <w:jc w:val="center"/>
              </w:trPr>
              <w:tc>
                <w:tcPr>
                  <w:tcW w:w="386" w:type="pct"/>
                  <w:vMerge w:val="continue"/>
                  <w:shd w:val="clear" w:color="auto" w:fill="auto"/>
                  <w:tcMar>
                    <w:left w:w="57" w:type="dxa"/>
                    <w:right w:w="57" w:type="dxa"/>
                  </w:tcMar>
                  <w:vAlign w:val="center"/>
                </w:tcPr>
                <w:p>
                  <w:pPr>
                    <w:adjustRightInd w:val="0"/>
                    <w:snapToGrid w:val="0"/>
                    <w:spacing w:line="240" w:lineRule="auto"/>
                    <w:rPr>
                      <w:rFonts w:hint="default" w:ascii="Times New Roman" w:hAnsi="Times New Roman" w:eastAsia="宋体" w:cs="Times New Roman"/>
                      <w:color w:val="auto"/>
                      <w:sz w:val="21"/>
                      <w:szCs w:val="21"/>
                      <w:highlight w:val="none"/>
                    </w:rPr>
                  </w:pPr>
                </w:p>
              </w:tc>
              <w:tc>
                <w:tcPr>
                  <w:tcW w:w="1092" w:type="pct"/>
                  <w:gridSpan w:val="2"/>
                  <w:shd w:val="clear" w:color="auto" w:fill="auto"/>
                  <w:tcMar>
                    <w:left w:w="57" w:type="dxa"/>
                    <w:right w:w="57" w:type="dxa"/>
                  </w:tcMar>
                  <w:vAlign w:val="center"/>
                </w:tcPr>
                <w:p>
                  <w:pPr>
                    <w:pStyle w:val="2"/>
                    <w:adjustRightInd w:val="0"/>
                    <w:spacing w:before="0" w:after="0" w:line="240" w:lineRule="auto"/>
                    <w:ind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w:t>
                  </w:r>
                </w:p>
              </w:tc>
              <w:tc>
                <w:tcPr>
                  <w:tcW w:w="3520" w:type="pct"/>
                  <w:shd w:val="clear" w:color="auto" w:fill="auto"/>
                  <w:tcMar>
                    <w:left w:w="57" w:type="dxa"/>
                    <w:right w:w="57" w:type="dxa"/>
                  </w:tcMar>
                  <w:vAlign w:val="center"/>
                </w:tcPr>
                <w:p>
                  <w:pPr>
                    <w:pStyle w:val="2"/>
                    <w:adjustRightInd w:val="0"/>
                    <w:spacing w:before="0" w:after="0" w:line="240" w:lineRule="auto"/>
                    <w:ind w:right="0" w:rightChars="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rPr>
                    <w:t>施工结束后复耕或恢复植被</w:t>
                  </w:r>
                  <w:r>
                    <w:rPr>
                      <w:rFonts w:hint="default" w:ascii="Times New Roman" w:hAnsi="Times New Roman" w:eastAsia="宋体" w:cs="Times New Roman"/>
                      <w:color w:val="auto"/>
                      <w:kern w:val="0"/>
                      <w:sz w:val="21"/>
                      <w:szCs w:val="21"/>
                      <w:highlight w:val="none"/>
                      <w:lang w:eastAsia="zh-CN"/>
                    </w:rPr>
                    <w:t>。</w:t>
                  </w:r>
                </w:p>
              </w:tc>
            </w:tr>
          </w:tbl>
          <w:p>
            <w:pPr>
              <w:pStyle w:val="54"/>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baseline"/>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lang w:val="en-US" w:eastAsia="zh-CN"/>
              </w:rPr>
              <w:t>2.3.1</w:t>
            </w:r>
            <w:r>
              <w:rPr>
                <w:rFonts w:hint="default" w:ascii="Times New Roman" w:hAnsi="Times New Roman" w:eastAsia="宋体" w:cs="Times New Roman"/>
                <w:b/>
                <w:color w:val="auto"/>
                <w:kern w:val="2"/>
                <w:sz w:val="21"/>
                <w:szCs w:val="21"/>
                <w:highlight w:val="none"/>
              </w:rPr>
              <w:t>主体工程</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bCs/>
                <w:snapToGrid w:val="0"/>
                <w:color w:val="auto"/>
                <w:sz w:val="21"/>
                <w:szCs w:val="21"/>
                <w:highlight w:val="none"/>
                <w:lang w:val="en-US" w:eastAsia="zh-CN"/>
              </w:rPr>
            </w:pPr>
            <w:r>
              <w:rPr>
                <w:rFonts w:hint="default" w:ascii="Times New Roman" w:hAnsi="Times New Roman" w:cs="Times New Roman"/>
                <w:b w:val="0"/>
                <w:bCs w:val="0"/>
                <w:snapToGrid w:val="0"/>
                <w:color w:val="auto"/>
                <w:sz w:val="21"/>
                <w:szCs w:val="21"/>
                <w:highlight w:val="none"/>
                <w:lang w:val="en-US" w:eastAsia="zh-CN"/>
              </w:rPr>
              <w:t>2.3.1.1</w:t>
            </w:r>
            <w:r>
              <w:rPr>
                <w:rFonts w:hint="default" w:ascii="Times New Roman" w:hAnsi="Times New Roman" w:eastAsia="宋体" w:cs="Times New Roman"/>
                <w:snapToGrid w:val="0"/>
                <w:color w:val="auto"/>
                <w:sz w:val="21"/>
                <w:szCs w:val="21"/>
                <w:highlight w:val="none"/>
                <w:lang w:val="zh-CN"/>
              </w:rPr>
              <w:t>水库枢纽工程</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snapToGrid w:val="0"/>
                <w:color w:val="auto"/>
                <w:sz w:val="21"/>
                <w:szCs w:val="21"/>
                <w:highlight w:val="none"/>
                <w:lang w:val="en-US" w:eastAsia="zh-CN"/>
              </w:rPr>
            </w:pPr>
            <w:r>
              <w:rPr>
                <w:rFonts w:hint="default" w:ascii="Times New Roman" w:hAnsi="Times New Roman" w:cs="Times New Roman"/>
                <w:b w:val="0"/>
                <w:bCs w:val="0"/>
                <w:snapToGrid w:val="0"/>
                <w:color w:val="auto"/>
                <w:sz w:val="21"/>
                <w:szCs w:val="21"/>
                <w:highlight w:val="none"/>
                <w:lang w:val="en-US" w:eastAsia="zh-CN"/>
              </w:rPr>
              <w:t>1、</w:t>
            </w:r>
            <w:r>
              <w:rPr>
                <w:rFonts w:hint="eastAsia" w:cs="Times New Roman"/>
                <w:b w:val="0"/>
                <w:bCs w:val="0"/>
                <w:snapToGrid w:val="0"/>
                <w:color w:val="auto"/>
                <w:sz w:val="21"/>
                <w:szCs w:val="21"/>
                <w:highlight w:val="none"/>
                <w:lang w:val="en-US" w:eastAsia="zh-CN"/>
              </w:rPr>
              <w:t>大坝</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snapToGrid w:val="0"/>
                <w:color w:val="auto"/>
                <w:sz w:val="21"/>
                <w:szCs w:val="21"/>
                <w:highlight w:val="none"/>
                <w:lang w:val="en-US" w:eastAsia="zh-CN"/>
              </w:rPr>
            </w:pPr>
            <w:r>
              <w:rPr>
                <w:rFonts w:hint="default" w:ascii="Times New Roman" w:hAnsi="Times New Roman" w:cs="Times New Roman"/>
                <w:b w:val="0"/>
                <w:bCs w:val="0"/>
                <w:snapToGrid w:val="0"/>
                <w:color w:val="auto"/>
                <w:sz w:val="21"/>
                <w:szCs w:val="21"/>
                <w:highlight w:val="none"/>
                <w:lang w:val="en-US" w:eastAsia="zh-CN"/>
              </w:rPr>
              <w:t>（1）结构布置</w:t>
            </w:r>
          </w:p>
          <w:p>
            <w:pPr>
              <w:suppressAutoHyphens/>
              <w:spacing w:line="360" w:lineRule="auto"/>
              <w:ind w:firstLine="480"/>
              <w:rPr>
                <w:rFonts w:hint="default" w:ascii="Times New Roman" w:hAnsi="Times New Roman" w:cs="Times New Roman"/>
                <w:b w:val="0"/>
                <w:bCs w:val="0"/>
                <w:color w:val="auto"/>
                <w:highlight w:val="none"/>
                <w:lang w:bidi="en-US"/>
              </w:rPr>
            </w:pPr>
            <w:r>
              <w:rPr>
                <w:rFonts w:hint="default" w:ascii="Times New Roman" w:hAnsi="Times New Roman" w:cs="Times New Roman"/>
                <w:b w:val="0"/>
                <w:bCs w:val="0"/>
                <w:color w:val="auto"/>
                <w:highlight w:val="none"/>
              </w:rPr>
              <w:t>大坝布置于右支沟峡口段、汇口上游0.34km，坝顶轴线方向S23°W，采用埋石混凝土重力坝。坝顶轴线长150m，坝顶高程611.00m，最大坝高33m。大坝分为非溢流坝段和溢流坝段。</w:t>
            </w:r>
          </w:p>
          <w:p>
            <w:pPr>
              <w:suppressAutoHyphens/>
              <w:spacing w:line="360" w:lineRule="auto"/>
              <w:ind w:firstLine="482"/>
              <w:rPr>
                <w:rFonts w:hint="default" w:ascii="Times New Roman" w:hAnsi="Times New Roman" w:eastAsia="宋体" w:cs="Times New Roman"/>
                <w:b w:val="0"/>
                <w:bCs w:val="0"/>
                <w:color w:val="auto"/>
                <w:highlight w:val="none"/>
              </w:rPr>
            </w:pPr>
            <w:r>
              <w:rPr>
                <w:rFonts w:hint="eastAsia" w:ascii="宋体" w:hAnsi="宋体" w:eastAsia="宋体" w:cs="宋体"/>
                <w:b w:val="0"/>
                <w:bCs w:val="0"/>
                <w:color w:val="auto"/>
                <w:highlight w:val="none"/>
              </w:rPr>
              <w:t>①</w:t>
            </w:r>
            <w:r>
              <w:rPr>
                <w:rFonts w:hint="default" w:ascii="Times New Roman" w:hAnsi="Times New Roman" w:eastAsia="宋体" w:cs="Times New Roman"/>
                <w:b w:val="0"/>
                <w:bCs w:val="0"/>
                <w:color w:val="auto"/>
                <w:highlight w:val="none"/>
              </w:rPr>
              <w:t>溢流坝段</w:t>
            </w:r>
          </w:p>
          <w:p>
            <w:pPr>
              <w:suppressAutoHyphens/>
              <w:spacing w:line="360" w:lineRule="auto"/>
              <w:ind w:firstLine="480"/>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highlight w:val="none"/>
              </w:rPr>
              <w:t>溢流坝段布置于3#坝段桩号0+046~0+052处，最大泄洪流量16.59m</w:t>
            </w:r>
            <w:r>
              <w:rPr>
                <w:rFonts w:hint="default" w:ascii="Times New Roman" w:hAnsi="Times New Roman" w:cs="Times New Roman"/>
                <w:b w:val="0"/>
                <w:bCs w:val="0"/>
                <w:color w:val="auto"/>
                <w:highlight w:val="none"/>
                <w:vertAlign w:val="superscript"/>
              </w:rPr>
              <w:t>3</w:t>
            </w:r>
            <w:r>
              <w:rPr>
                <w:rFonts w:hint="default" w:ascii="Times New Roman" w:hAnsi="Times New Roman" w:cs="Times New Roman"/>
                <w:b w:val="0"/>
                <w:bCs w:val="0"/>
                <w:color w:val="auto"/>
                <w:highlight w:val="none"/>
              </w:rPr>
              <w:t>/s（P=0.5%）。堰顶高程609.00m，溢流孔宽6m，坝高31m，坝底宽34m。</w:t>
            </w:r>
          </w:p>
          <w:p>
            <w:pPr>
              <w:suppressAutoHyphens/>
              <w:spacing w:line="360" w:lineRule="auto"/>
              <w:ind w:firstLine="480"/>
              <w:rPr>
                <w:rFonts w:hint="default" w:ascii="Times New Roman" w:hAnsi="Times New Roman" w:cs="Times New Roman"/>
                <w:b w:val="0"/>
                <w:bCs w:val="0"/>
                <w:color w:val="auto"/>
                <w:kern w:val="0"/>
                <w:highlight w:val="none"/>
                <w:u w:color="000000"/>
              </w:rPr>
            </w:pPr>
            <w:r>
              <w:rPr>
                <w:rFonts w:hint="default" w:ascii="Times New Roman" w:hAnsi="Times New Roman" w:cs="Times New Roman"/>
                <w:b w:val="0"/>
                <w:bCs w:val="0"/>
                <w:color w:val="auto"/>
                <w:highlight w:val="none"/>
              </w:rPr>
              <w:t>溢流坝段上游坝坡上部铅直，下部坡比1:0.2，折坡点高程602.00m，上游设1m厚的C25W6混凝土防渗面板，设Φ16插筋锚固坝体，插筋长2.2m、间距1.5m。堰面采用WES曲线型实用堰，顶部采用0.4m厚桥板连接。下游坝坡1:0.85，采用梯级跌坎接入消力池，两侧设1.0m高、0.5m厚的导墙。堰面、跌坎、导墙均采用</w:t>
            </w:r>
            <w:r>
              <w:rPr>
                <w:rFonts w:hint="default" w:ascii="Times New Roman" w:hAnsi="Times New Roman" w:cs="Times New Roman"/>
                <w:b w:val="0"/>
                <w:bCs w:val="0"/>
                <w:color w:val="auto"/>
                <w:kern w:val="0"/>
                <w:highlight w:val="none"/>
                <w:u w:color="000000"/>
              </w:rPr>
              <w:t>C35抗冲耐磨钢筋混凝土</w:t>
            </w:r>
            <w:r>
              <w:rPr>
                <w:rFonts w:hint="default" w:ascii="Times New Roman" w:hAnsi="Times New Roman" w:cs="Times New Roman"/>
                <w:b w:val="0"/>
                <w:bCs w:val="0"/>
                <w:color w:val="auto"/>
                <w:highlight w:val="none"/>
              </w:rPr>
              <w:t>。大坝基础设1m厚的C20混凝土垫层。坝体内部采用</w:t>
            </w:r>
            <w:r>
              <w:rPr>
                <w:rFonts w:hint="default" w:ascii="Times New Roman" w:hAnsi="Times New Roman" w:cs="Times New Roman"/>
                <w:b w:val="0"/>
                <w:bCs w:val="0"/>
                <w:color w:val="auto"/>
                <w:kern w:val="0"/>
                <w:highlight w:val="none"/>
                <w:u w:color="000000"/>
              </w:rPr>
              <w:t>C20埋石混凝土，设计含石量35%。</w:t>
            </w:r>
          </w:p>
          <w:p>
            <w:pPr>
              <w:suppressAutoHyphens/>
              <w:spacing w:line="360" w:lineRule="auto"/>
              <w:ind w:firstLine="480"/>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highlight w:val="none"/>
              </w:rPr>
              <w:t>消力池池长20m，池深2m。底板顶高程583.50m，采用1m厚的C35抗冲耐磨钢筋混凝土，下设0.2m厚的砂砾石垫层，间距2m布置φ5cmPVC排水管。底板设Φ25锚杆锚固于基岩，锚杆长5m，间距2.5m，梅花形布置。消力池边墙采用C20混凝土重力式挡墙，顶宽0.5m，背坡1：0.4，高5.4m。</w:t>
            </w:r>
          </w:p>
          <w:p>
            <w:pPr>
              <w:suppressAutoHyphens/>
              <w:spacing w:line="360" w:lineRule="auto"/>
              <w:ind w:firstLine="480"/>
              <w:rPr>
                <w:rFonts w:hint="eastAsia" w:ascii="Times New Roman" w:hAnsi="Times New Roman" w:eastAsia="宋体" w:cs="Times New Roman"/>
                <w:b w:val="0"/>
                <w:bCs w:val="0"/>
                <w:color w:val="auto"/>
                <w:highlight w:val="none"/>
                <w:lang w:eastAsia="zh-CN"/>
              </w:rPr>
            </w:pPr>
            <w:r>
              <w:rPr>
                <w:rFonts w:hint="default" w:ascii="Times New Roman" w:hAnsi="Times New Roman" w:cs="Times New Roman"/>
                <w:b w:val="0"/>
                <w:bCs w:val="0"/>
                <w:color w:val="auto"/>
                <w:highlight w:val="none"/>
              </w:rPr>
              <w:t>表孔溢流堰采用WES幂曲线实用堰，WES幂曲线方程为y=0.4707x</w:t>
            </w:r>
            <w:r>
              <w:rPr>
                <w:rFonts w:hint="default" w:ascii="Times New Roman" w:hAnsi="Times New Roman" w:cs="Times New Roman"/>
                <w:b w:val="0"/>
                <w:bCs w:val="0"/>
                <w:color w:val="auto"/>
                <w:highlight w:val="none"/>
                <w:vertAlign w:val="superscript"/>
              </w:rPr>
              <w:t>1.85</w:t>
            </w:r>
            <w:r>
              <w:rPr>
                <w:rFonts w:hint="default" w:ascii="Times New Roman" w:hAnsi="Times New Roman" w:cs="Times New Roman"/>
                <w:b w:val="0"/>
                <w:bCs w:val="0"/>
                <w:color w:val="auto"/>
                <w:highlight w:val="none"/>
              </w:rPr>
              <w:t>。堰顶高程609.00m</w:t>
            </w:r>
            <w:r>
              <w:rPr>
                <w:rFonts w:hint="eastAsia" w:ascii="Times New Roman" w:hAnsi="Times New Roman" w:cs="Times New Roman"/>
                <w:b w:val="0"/>
                <w:bCs w:val="0"/>
                <w:color w:val="auto"/>
                <w:highlight w:val="none"/>
                <w:lang w:eastAsia="zh-CN"/>
              </w:rPr>
              <w:t>。</w:t>
            </w:r>
          </w:p>
          <w:p>
            <w:pPr>
              <w:suppressAutoHyphens/>
              <w:spacing w:line="360" w:lineRule="auto"/>
              <w:ind w:firstLine="482"/>
              <w:rPr>
                <w:rFonts w:hint="default" w:ascii="宋体" w:hAnsi="宋体" w:eastAsia="宋体" w:cs="宋体"/>
                <w:b w:val="0"/>
                <w:bCs w:val="0"/>
                <w:color w:val="auto"/>
                <w:highlight w:val="none"/>
              </w:rPr>
            </w:pPr>
            <w:r>
              <w:rPr>
                <w:rFonts w:hint="eastAsia" w:ascii="宋体" w:hAnsi="宋体" w:eastAsia="宋体" w:cs="宋体"/>
                <w:b w:val="0"/>
                <w:bCs w:val="0"/>
                <w:color w:val="auto"/>
                <w:highlight w:val="none"/>
              </w:rPr>
              <w:t>②</w:t>
            </w:r>
            <w:r>
              <w:rPr>
                <w:rFonts w:hint="default" w:ascii="宋体" w:hAnsi="宋体" w:eastAsia="宋体" w:cs="宋体"/>
                <w:b w:val="0"/>
                <w:bCs w:val="0"/>
                <w:color w:val="auto"/>
                <w:highlight w:val="none"/>
              </w:rPr>
              <w:t>非溢流坝段</w:t>
            </w:r>
          </w:p>
          <w:p>
            <w:pPr>
              <w:suppressAutoHyphens/>
              <w:spacing w:line="360" w:lineRule="auto"/>
              <w:ind w:firstLine="480"/>
              <w:rPr>
                <w:rFonts w:hint="default" w:ascii="Times New Roman" w:hAnsi="Times New Roman" w:cs="Times New Roman"/>
                <w:b w:val="0"/>
                <w:bCs w:val="0"/>
                <w:color w:val="auto"/>
                <w:kern w:val="0"/>
                <w:highlight w:val="none"/>
                <w:u w:color="000000"/>
              </w:rPr>
            </w:pPr>
            <w:r>
              <w:rPr>
                <w:rFonts w:hint="default" w:ascii="Times New Roman" w:hAnsi="Times New Roman" w:cs="Times New Roman"/>
                <w:b w:val="0"/>
                <w:bCs w:val="0"/>
                <w:color w:val="auto"/>
                <w:highlight w:val="none"/>
              </w:rPr>
              <w:t>非溢流坝段轴线长144m，其中左岸长46m、右岸长98m。坝顶高程611.00m，最大坝高33m，坝顶宽6.5m，最大坝底宽34m。非溢流坝段上游坝坡上部铅直，下部坡比1:0.2，折坡点高程602.00m，上游设1m厚的C25 W6混凝土防渗面板，设Φ16插筋锚固坝体，插筋长2.2m、间距1.5m。坝顶上游设0.8m高防浪墙+0.4m高栏杆，下游设1.2m高栏杆。下游坝坡上部铅直，下部坡比1:0.85，折坡点高程604.70m。大坝基础设1m厚的C20混凝土垫层。坝体内部采用C20埋石混凝土，</w:t>
            </w:r>
            <w:r>
              <w:rPr>
                <w:rFonts w:hint="default" w:ascii="Times New Roman" w:hAnsi="Times New Roman" w:cs="Times New Roman"/>
                <w:b w:val="0"/>
                <w:bCs w:val="0"/>
                <w:color w:val="auto"/>
                <w:kern w:val="0"/>
                <w:highlight w:val="none"/>
                <w:u w:color="000000"/>
              </w:rPr>
              <w:t>设计含石量为35%。</w:t>
            </w:r>
          </w:p>
          <w:p>
            <w:pPr>
              <w:suppressAutoHyphens/>
              <w:spacing w:line="360" w:lineRule="auto"/>
              <w:ind w:firstLine="482"/>
              <w:rPr>
                <w:rFonts w:hint="default" w:ascii="宋体" w:hAnsi="宋体" w:eastAsia="宋体" w:cs="宋体"/>
                <w:b w:val="0"/>
                <w:bCs w:val="0"/>
                <w:color w:val="auto"/>
                <w:highlight w:val="none"/>
              </w:rPr>
            </w:pPr>
            <w:r>
              <w:rPr>
                <w:rFonts w:hint="eastAsia" w:ascii="宋体" w:hAnsi="宋体" w:eastAsia="宋体" w:cs="宋体"/>
                <w:b w:val="0"/>
                <w:bCs w:val="0"/>
                <w:color w:val="auto"/>
                <w:highlight w:val="none"/>
              </w:rPr>
              <w:t>③</w:t>
            </w:r>
            <w:r>
              <w:rPr>
                <w:rFonts w:hint="default" w:ascii="宋体" w:hAnsi="宋体" w:eastAsia="宋体" w:cs="宋体"/>
                <w:b w:val="0"/>
                <w:bCs w:val="0"/>
                <w:color w:val="auto"/>
                <w:highlight w:val="none"/>
              </w:rPr>
              <w:t>灌浆排水廊道</w:t>
            </w:r>
          </w:p>
          <w:p>
            <w:pPr>
              <w:suppressAutoHyphens/>
              <w:autoSpaceDE w:val="0"/>
              <w:autoSpaceDN w:val="0"/>
              <w:spacing w:line="360" w:lineRule="auto"/>
              <w:ind w:firstLine="480"/>
              <w:rPr>
                <w:rFonts w:hint="default" w:ascii="Times New Roman" w:hAnsi="Times New Roman" w:cs="Times New Roman"/>
                <w:b w:val="0"/>
                <w:bCs w:val="0"/>
                <w:color w:val="auto"/>
                <w:kern w:val="0"/>
                <w:highlight w:val="none"/>
                <w:u w:color="000000"/>
              </w:rPr>
            </w:pPr>
            <w:r>
              <w:rPr>
                <w:rFonts w:hint="default" w:ascii="Times New Roman" w:hAnsi="Times New Roman" w:cs="Times New Roman"/>
                <w:b w:val="0"/>
                <w:bCs w:val="0"/>
                <w:color w:val="auto"/>
                <w:kern w:val="0"/>
                <w:highlight w:val="none"/>
                <w:u w:color="000000"/>
              </w:rPr>
              <w:t>于坝轴线上游布置灌浆排水廊道，廊道中心线距坝轴线1.75m，底板底部高程581.00m</w:t>
            </w:r>
            <w:r>
              <w:rPr>
                <w:rFonts w:hint="eastAsia" w:cs="Times New Roman"/>
                <w:b w:val="0"/>
                <w:bCs w:val="0"/>
                <w:color w:val="auto"/>
                <w:kern w:val="0"/>
                <w:highlight w:val="none"/>
                <w:u w:color="000000"/>
                <w:lang w:eastAsia="zh-CN"/>
              </w:rPr>
              <w:t>～</w:t>
            </w:r>
            <w:r>
              <w:rPr>
                <w:rFonts w:hint="default" w:ascii="Times New Roman" w:hAnsi="Times New Roman" w:cs="Times New Roman"/>
                <w:b w:val="0"/>
                <w:bCs w:val="0"/>
                <w:color w:val="auto"/>
                <w:kern w:val="0"/>
                <w:highlight w:val="none"/>
                <w:u w:color="000000"/>
              </w:rPr>
              <w:t>587.00m，高于基础高程3m。廊道为城门洞型，净空</w:t>
            </w:r>
            <w:r>
              <w:rPr>
                <w:rFonts w:hint="default" w:ascii="Times New Roman" w:hAnsi="Times New Roman" w:cs="Times New Roman"/>
                <w:b w:val="0"/>
                <w:bCs w:val="0"/>
                <w:color w:val="auto"/>
                <w:highlight w:val="none"/>
              </w:rPr>
              <w:t>2.5×3.5m，采用0.4m厚的C25钢筋混凝土结构。廊道两侧设排水沟，净空尺寸0.3×0.3m，下游侧设</w:t>
            </w:r>
            <w:r>
              <w:rPr>
                <w:rFonts w:hint="default" w:ascii="Times New Roman" w:hAnsi="Times New Roman" w:eastAsia="宋体" w:cs="Times New Roman"/>
                <w:b w:val="0"/>
                <w:bCs w:val="0"/>
                <w:color w:val="auto"/>
                <w:highlight w:val="none"/>
              </w:rPr>
              <w:t>∅</w:t>
            </w:r>
            <w:r>
              <w:rPr>
                <w:rFonts w:hint="default" w:ascii="Times New Roman" w:hAnsi="Times New Roman" w:cs="Times New Roman"/>
                <w:b w:val="0"/>
                <w:bCs w:val="0"/>
                <w:color w:val="auto"/>
                <w:highlight w:val="none"/>
              </w:rPr>
              <w:t>100排水钻孔，孔距2.5m，孔深8</w:t>
            </w:r>
            <w:r>
              <w:rPr>
                <w:rFonts w:hint="eastAsia" w:cs="Times New Roman"/>
                <w:b w:val="0"/>
                <w:bCs w:val="0"/>
                <w:color w:val="auto"/>
                <w:highlight w:val="none"/>
                <w:lang w:eastAsia="zh-CN"/>
              </w:rPr>
              <w:t>～</w:t>
            </w:r>
            <w:r>
              <w:rPr>
                <w:rFonts w:hint="default" w:ascii="Times New Roman" w:hAnsi="Times New Roman" w:cs="Times New Roman"/>
                <w:b w:val="0"/>
                <w:bCs w:val="0"/>
                <w:color w:val="auto"/>
                <w:highlight w:val="none"/>
              </w:rPr>
              <w:t>12m。</w:t>
            </w:r>
          </w:p>
          <w:p>
            <w:pPr>
              <w:suppressAutoHyphens/>
              <w:spacing w:line="360" w:lineRule="auto"/>
              <w:ind w:firstLine="482"/>
              <w:rPr>
                <w:rFonts w:hint="default" w:ascii="宋体" w:hAnsi="宋体" w:eastAsia="宋体" w:cs="宋体"/>
                <w:b w:val="0"/>
                <w:bCs w:val="0"/>
                <w:color w:val="auto"/>
                <w:highlight w:val="none"/>
              </w:rPr>
            </w:pPr>
            <w:r>
              <w:rPr>
                <w:rFonts w:hint="eastAsia" w:ascii="宋体" w:hAnsi="宋体" w:eastAsia="宋体" w:cs="宋体"/>
                <w:b w:val="0"/>
                <w:bCs w:val="0"/>
                <w:color w:val="auto"/>
                <w:highlight w:val="none"/>
              </w:rPr>
              <w:t>④</w:t>
            </w:r>
            <w:r>
              <w:rPr>
                <w:rFonts w:hint="default" w:ascii="宋体" w:hAnsi="宋体" w:eastAsia="宋体" w:cs="宋体"/>
                <w:b w:val="0"/>
                <w:bCs w:val="0"/>
                <w:color w:val="auto"/>
                <w:highlight w:val="none"/>
              </w:rPr>
              <w:t>取水管、放空管、生态放水管</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snapToGrid w:val="0"/>
                <w:color w:val="auto"/>
                <w:sz w:val="21"/>
                <w:szCs w:val="21"/>
                <w:highlight w:val="none"/>
                <w:lang w:val="en-US" w:eastAsia="zh-CN"/>
              </w:rPr>
            </w:pPr>
            <w:r>
              <w:rPr>
                <w:rFonts w:hint="default" w:ascii="Times New Roman" w:hAnsi="Times New Roman" w:cs="Times New Roman"/>
                <w:b w:val="0"/>
                <w:bCs w:val="0"/>
                <w:color w:val="auto"/>
                <w:highlight w:val="none"/>
              </w:rPr>
              <w:t>大坝取水、放空采用坝身开孔管道取水。于3#坝段桩号0+039.50处布置DN500取水钢管，进口管道中心线高程589.50m，设计取水流量0.24m</w:t>
            </w:r>
            <w:r>
              <w:rPr>
                <w:rFonts w:hint="default" w:ascii="Times New Roman" w:hAnsi="Times New Roman" w:cs="Times New Roman"/>
                <w:b w:val="0"/>
                <w:bCs w:val="0"/>
                <w:color w:val="auto"/>
                <w:highlight w:val="none"/>
                <w:vertAlign w:val="superscript"/>
              </w:rPr>
              <w:t>3</w:t>
            </w:r>
            <w:r>
              <w:rPr>
                <w:rFonts w:hint="default" w:ascii="Times New Roman" w:hAnsi="Times New Roman" w:cs="Times New Roman"/>
                <w:b w:val="0"/>
                <w:bCs w:val="0"/>
                <w:color w:val="auto"/>
                <w:highlight w:val="none"/>
              </w:rPr>
              <w:t>/s；桩号0+042.50处布置DN600放空钢管，进口管道中心线高程588.00m，接入消力池；放空钢管出口设DN100生态放水岔管，下泄0.004m</w:t>
            </w:r>
            <w:r>
              <w:rPr>
                <w:rFonts w:hint="default" w:ascii="Times New Roman" w:hAnsi="Times New Roman" w:cs="Times New Roman"/>
                <w:b w:val="0"/>
                <w:bCs w:val="0"/>
                <w:color w:val="auto"/>
                <w:highlight w:val="none"/>
                <w:vertAlign w:val="superscript"/>
              </w:rPr>
              <w:t>3</w:t>
            </w:r>
            <w:r>
              <w:rPr>
                <w:rFonts w:hint="default" w:ascii="Times New Roman" w:hAnsi="Times New Roman" w:cs="Times New Roman"/>
                <w:b w:val="0"/>
                <w:bCs w:val="0"/>
                <w:color w:val="auto"/>
                <w:highlight w:val="none"/>
              </w:rPr>
              <w:t>/s生态流量。管道出口均设阀门及控制系统。</w:t>
            </w:r>
          </w:p>
          <w:p>
            <w:pPr>
              <w:spacing w:line="360" w:lineRule="auto"/>
              <w:ind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（2）坝体分区设计</w:t>
            </w:r>
          </w:p>
          <w:p>
            <w:pPr>
              <w:spacing w:line="360" w:lineRule="auto"/>
              <w:ind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highlight w:val="none"/>
                <w:u w:val="none" w:color="000000"/>
              </w:rPr>
              <w:t>迎水面（Ⅰ区）：采用</w:t>
            </w:r>
            <w:r>
              <w:rPr>
                <w:rFonts w:hint="default" w:ascii="Times New Roman" w:hAnsi="Times New Roman" w:eastAsia="宋体" w:cs="Times New Roman"/>
                <w:color w:val="auto"/>
                <w:highlight w:val="none"/>
              </w:rPr>
              <w:t>1m厚的C25混凝土，抗渗等级W6，二级配；</w:t>
            </w:r>
          </w:p>
          <w:p>
            <w:pPr>
              <w:spacing w:line="360" w:lineRule="auto"/>
              <w:ind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highlight w:val="none"/>
                <w:u w:val="none" w:color="000000"/>
              </w:rPr>
              <w:t>基础垫层（Ⅱ区）：采用</w:t>
            </w:r>
            <w:r>
              <w:rPr>
                <w:rFonts w:hint="default" w:ascii="Times New Roman" w:hAnsi="Times New Roman" w:eastAsia="宋体" w:cs="Times New Roman"/>
                <w:color w:val="auto"/>
                <w:highlight w:val="none"/>
              </w:rPr>
              <w:t>1m厚的C20混凝土结构，二级配；</w:t>
            </w:r>
          </w:p>
          <w:p>
            <w:pPr>
              <w:spacing w:line="360" w:lineRule="auto"/>
              <w:ind w:firstLine="420" w:firstLineChars="200"/>
              <w:rPr>
                <w:rFonts w:hint="default" w:ascii="Times New Roman" w:hAnsi="Times New Roman" w:eastAsia="宋体" w:cs="Times New Roman"/>
                <w:color w:val="auto"/>
                <w:kern w:val="0"/>
                <w:highlight w:val="none"/>
                <w:u w:val="none" w:color="000000"/>
              </w:rPr>
            </w:pPr>
            <w:r>
              <w:rPr>
                <w:rFonts w:hint="default" w:ascii="Times New Roman" w:hAnsi="Times New Roman" w:eastAsia="宋体" w:cs="Times New Roman"/>
                <w:color w:val="auto"/>
                <w:kern w:val="0"/>
                <w:highlight w:val="none"/>
                <w:u w:val="none" w:color="000000"/>
              </w:rPr>
              <w:t>坝体内部（Ⅲ区）：采用C20埋石混凝土，三级配，掺粉煤灰等外加剂以降低混凝土水化热；埋石混凝土设计含石量为35%，块石粒径0.3</w:t>
            </w:r>
            <w:r>
              <w:rPr>
                <w:rFonts w:hint="eastAsia" w:cs="Times New Roman"/>
                <w:color w:val="auto"/>
                <w:kern w:val="0"/>
                <w:highlight w:val="none"/>
                <w:u w:val="none" w:color="000000"/>
                <w:lang w:eastAsia="zh-CN"/>
              </w:rPr>
              <w:t>～</w:t>
            </w:r>
            <w:r>
              <w:rPr>
                <w:rFonts w:hint="default" w:ascii="Times New Roman" w:hAnsi="Times New Roman" w:eastAsia="宋体" w:cs="Times New Roman"/>
                <w:color w:val="auto"/>
                <w:kern w:val="0"/>
                <w:highlight w:val="none"/>
                <w:u w:val="none" w:color="000000"/>
              </w:rPr>
              <w:t>1.0m，饱和抗压强度不低于30MPa；</w:t>
            </w:r>
          </w:p>
          <w:p>
            <w:pPr>
              <w:spacing w:line="360" w:lineRule="auto"/>
              <w:ind w:firstLine="420" w:firstLineChars="200"/>
              <w:rPr>
                <w:rFonts w:hint="default" w:ascii="Times New Roman" w:hAnsi="Times New Roman" w:eastAsia="宋体" w:cs="Times New Roman"/>
                <w:color w:val="auto"/>
                <w:kern w:val="0"/>
                <w:highlight w:val="none"/>
                <w:u w:val="none" w:color="000000"/>
              </w:rPr>
            </w:pPr>
            <w:r>
              <w:rPr>
                <w:rFonts w:hint="default" w:ascii="Times New Roman" w:hAnsi="Times New Roman" w:eastAsia="宋体" w:cs="Times New Roman"/>
                <w:color w:val="auto"/>
                <w:kern w:val="0"/>
                <w:highlight w:val="none"/>
                <w:u w:val="none" w:color="000000"/>
              </w:rPr>
              <w:t>溢流堰堰面、跌坎、导墙、消力池底板（Ⅳ区）：采用C35抗冲耐磨钢筋混凝土，</w:t>
            </w:r>
            <w:r>
              <w:rPr>
                <w:rFonts w:hint="default" w:ascii="Times New Roman" w:hAnsi="Times New Roman" w:eastAsia="宋体" w:cs="Times New Roman"/>
                <w:color w:val="auto"/>
                <w:highlight w:val="none"/>
              </w:rPr>
              <w:t>二级配</w:t>
            </w:r>
            <w:r>
              <w:rPr>
                <w:rFonts w:hint="default" w:ascii="Times New Roman" w:hAnsi="Times New Roman" w:eastAsia="宋体" w:cs="Times New Roman"/>
                <w:color w:val="auto"/>
                <w:kern w:val="0"/>
                <w:highlight w:val="none"/>
                <w:u w:val="none" w:color="000000"/>
              </w:rPr>
              <w:t>；</w:t>
            </w:r>
          </w:p>
          <w:p>
            <w:pPr>
              <w:spacing w:line="360" w:lineRule="auto"/>
              <w:ind w:firstLine="42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highlight w:val="none"/>
                <w:u w:val="none" w:color="000000"/>
              </w:rPr>
              <w:t>消力池边墙（Ⅴ区）：采用</w:t>
            </w:r>
            <w:r>
              <w:rPr>
                <w:rFonts w:hint="default" w:ascii="Times New Roman" w:hAnsi="Times New Roman" w:eastAsia="宋体" w:cs="Times New Roman"/>
                <w:color w:val="auto"/>
                <w:highlight w:val="none"/>
              </w:rPr>
              <w:t>C20混凝土，二级配；</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val="0"/>
                <w:snapToGrid w:val="0"/>
                <w:color w:val="auto"/>
                <w:sz w:val="21"/>
                <w:szCs w:val="21"/>
                <w:highlight w:val="none"/>
                <w:lang w:val="en-US" w:eastAsia="zh-CN"/>
              </w:rPr>
            </w:pPr>
            <w:r>
              <w:rPr>
                <w:rFonts w:hint="default" w:ascii="Times New Roman" w:hAnsi="Times New Roman" w:eastAsia="宋体" w:cs="Times New Roman"/>
                <w:color w:val="auto"/>
                <w:highlight w:val="none"/>
              </w:rPr>
              <w:t>灌浆廊道</w:t>
            </w:r>
            <w:r>
              <w:rPr>
                <w:rFonts w:hint="default" w:ascii="Times New Roman" w:hAnsi="Times New Roman" w:eastAsia="宋体" w:cs="Times New Roman"/>
                <w:color w:val="auto"/>
                <w:kern w:val="0"/>
                <w:highlight w:val="none"/>
                <w:u w:val="none" w:color="000000"/>
              </w:rPr>
              <w:t>（Ⅵ区）</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kern w:val="0"/>
                <w:highlight w:val="none"/>
                <w:u w:val="none" w:color="000000"/>
              </w:rPr>
              <w:t>采用</w:t>
            </w:r>
            <w:r>
              <w:rPr>
                <w:rFonts w:hint="default" w:ascii="Times New Roman" w:hAnsi="Times New Roman" w:eastAsia="宋体" w:cs="Times New Roman"/>
                <w:color w:val="auto"/>
                <w:highlight w:val="none"/>
              </w:rPr>
              <w:t>0.5m厚的C25</w:t>
            </w:r>
            <w:r>
              <w:rPr>
                <w:rFonts w:hint="default" w:ascii="Times New Roman" w:hAnsi="Times New Roman" w:eastAsia="宋体" w:cs="Times New Roman"/>
                <w:color w:val="auto"/>
                <w:kern w:val="0"/>
                <w:highlight w:val="none"/>
                <w:u w:val="none" w:color="000000"/>
              </w:rPr>
              <w:t>钢筋</w:t>
            </w:r>
            <w:r>
              <w:rPr>
                <w:rFonts w:hint="default" w:ascii="Times New Roman" w:hAnsi="Times New Roman" w:eastAsia="宋体" w:cs="Times New Roman"/>
                <w:color w:val="auto"/>
                <w:highlight w:val="none"/>
              </w:rPr>
              <w:t>混凝土，二级配。</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snapToGrid w:val="0"/>
                <w:color w:val="auto"/>
                <w:sz w:val="21"/>
                <w:szCs w:val="21"/>
                <w:highlight w:val="none"/>
                <w:lang w:val="en-US" w:eastAsia="zh-CN"/>
              </w:rPr>
            </w:pPr>
            <w:r>
              <w:rPr>
                <w:rFonts w:hint="default" w:ascii="Times New Roman" w:hAnsi="Times New Roman" w:cs="Times New Roman"/>
                <w:b w:val="0"/>
                <w:bCs w:val="0"/>
                <w:snapToGrid w:val="0"/>
                <w:color w:val="auto"/>
                <w:sz w:val="21"/>
                <w:szCs w:val="21"/>
                <w:highlight w:val="none"/>
                <w:lang w:val="en-US" w:eastAsia="zh-CN"/>
              </w:rPr>
              <w:t>（3）坝顶结构</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snapToGrid w:val="0"/>
                <w:color w:val="auto"/>
                <w:sz w:val="21"/>
                <w:szCs w:val="21"/>
                <w:highlight w:val="none"/>
                <w:lang w:val="en-US" w:eastAsia="zh-CN"/>
              </w:rPr>
            </w:pPr>
            <w:r>
              <w:rPr>
                <w:rFonts w:hint="default" w:ascii="Times New Roman" w:hAnsi="Times New Roman" w:cs="Times New Roman"/>
                <w:b w:val="0"/>
                <w:bCs w:val="0"/>
                <w:snapToGrid w:val="0"/>
                <w:color w:val="auto"/>
                <w:sz w:val="21"/>
                <w:szCs w:val="21"/>
                <w:highlight w:val="none"/>
                <w:lang w:val="en-US" w:eastAsia="zh-CN"/>
              </w:rPr>
              <w:t>坝顶宽度为5.0m。坝顶上游侧设置防浪墙+栏杆。防浪墙采用0.3m厚的C25钢筋混凝土结构，坝顶以上墙高0.8m，墙顶高程611.80m。防浪墙上部设0.4m高预制混凝土栏杆。坝顶下游侧设青石栏杆，高1.20m。</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snapToGrid w:val="0"/>
                <w:color w:val="auto"/>
                <w:sz w:val="21"/>
                <w:szCs w:val="21"/>
                <w:highlight w:val="none"/>
                <w:lang w:val="en-US" w:eastAsia="zh-CN"/>
              </w:rPr>
            </w:pPr>
            <w:r>
              <w:rPr>
                <w:rFonts w:hint="default" w:ascii="Times New Roman" w:hAnsi="Times New Roman" w:cs="Times New Roman"/>
                <w:b w:val="0"/>
                <w:bCs w:val="0"/>
                <w:snapToGrid w:val="0"/>
                <w:color w:val="auto"/>
                <w:sz w:val="21"/>
                <w:szCs w:val="21"/>
                <w:highlight w:val="none"/>
                <w:lang w:val="en-US" w:eastAsia="zh-CN"/>
              </w:rPr>
              <w:t>（4）坝体分缝及止水</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snapToGrid w:val="0"/>
                <w:color w:val="auto"/>
                <w:sz w:val="21"/>
                <w:szCs w:val="21"/>
                <w:highlight w:val="none"/>
                <w:lang w:val="en-US" w:eastAsia="zh-CN"/>
              </w:rPr>
            </w:pPr>
            <w:r>
              <w:rPr>
                <w:rFonts w:hint="default" w:ascii="Times New Roman" w:hAnsi="Times New Roman" w:cs="Times New Roman"/>
                <w:b w:val="0"/>
                <w:bCs w:val="0"/>
                <w:snapToGrid w:val="0"/>
                <w:color w:val="auto"/>
                <w:sz w:val="21"/>
                <w:szCs w:val="21"/>
                <w:highlight w:val="none"/>
                <w:lang w:val="en-US" w:eastAsia="zh-CN"/>
              </w:rPr>
              <w:t>根据大坝结构布置情况及已建工程经验，大坝不设纵缝。根据坝段布置，共设置8条横缝，将坝体分成9段，每段大坝长度为13</w:t>
            </w:r>
            <w:r>
              <w:rPr>
                <w:rFonts w:hint="eastAsia" w:cs="Times New Roman"/>
                <w:b w:val="0"/>
                <w:bCs w:val="0"/>
                <w:snapToGrid w:val="0"/>
                <w:color w:val="auto"/>
                <w:sz w:val="21"/>
                <w:szCs w:val="21"/>
                <w:highlight w:val="none"/>
                <w:lang w:val="en-US" w:eastAsia="zh-CN"/>
              </w:rPr>
              <w:t>～</w:t>
            </w:r>
            <w:r>
              <w:rPr>
                <w:rFonts w:hint="default" w:ascii="Times New Roman" w:hAnsi="Times New Roman" w:cs="Times New Roman"/>
                <w:b w:val="0"/>
                <w:bCs w:val="0"/>
                <w:snapToGrid w:val="0"/>
                <w:color w:val="auto"/>
                <w:sz w:val="21"/>
                <w:szCs w:val="21"/>
                <w:highlight w:val="none"/>
                <w:lang w:val="en-US" w:eastAsia="zh-CN"/>
              </w:rPr>
              <w:t>19m，横缝宽度2cm。</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snapToGrid w:val="0"/>
                <w:color w:val="auto"/>
                <w:sz w:val="21"/>
                <w:szCs w:val="21"/>
                <w:highlight w:val="none"/>
                <w:lang w:val="en-US" w:eastAsia="zh-CN"/>
              </w:rPr>
            </w:pPr>
            <w:r>
              <w:rPr>
                <w:rFonts w:hint="default" w:ascii="Times New Roman" w:hAnsi="Times New Roman" w:cs="Times New Roman"/>
                <w:b w:val="0"/>
                <w:bCs w:val="0"/>
                <w:snapToGrid w:val="0"/>
                <w:color w:val="auto"/>
                <w:sz w:val="21"/>
                <w:szCs w:val="21"/>
                <w:highlight w:val="none"/>
                <w:lang w:val="en-US" w:eastAsia="zh-CN"/>
              </w:rPr>
              <w:t>大坝上游面、防浪墙、溢流面、廊道、下游面最高尾水位（586.00m）以下均设置止水。大坝上游面横缝设2道止水，止水采用1.2mm厚紫铜片，防浪墙、溢流面、下游坝面最高尾水位以下设1道止水。横缝止水片需与坝基妥善衔接。止水铜片每侧埋入混凝土内的长度不小于0.2m；坝基开挖时沿基岩设置止水槽，止水片在坝基接头处埋入基岩面以下0.5m。止水埋设完毕采用沥青杉木板填缝。</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snapToGrid w:val="0"/>
                <w:color w:val="auto"/>
                <w:sz w:val="21"/>
                <w:szCs w:val="21"/>
                <w:highlight w:val="none"/>
                <w:lang w:val="en-US" w:eastAsia="zh-CN"/>
              </w:rPr>
            </w:pPr>
            <w:r>
              <w:rPr>
                <w:rFonts w:hint="default" w:ascii="Times New Roman" w:hAnsi="Times New Roman" w:cs="Times New Roman"/>
                <w:b w:val="0"/>
                <w:bCs w:val="0"/>
                <w:snapToGrid w:val="0"/>
                <w:color w:val="auto"/>
                <w:sz w:val="21"/>
                <w:szCs w:val="21"/>
                <w:highlight w:val="none"/>
                <w:lang w:val="en-US" w:eastAsia="zh-CN"/>
              </w:rPr>
              <w:t>（5）坝基处理及防渗控制</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snapToGrid w:val="0"/>
                <w:color w:val="auto"/>
                <w:sz w:val="21"/>
                <w:szCs w:val="21"/>
                <w:highlight w:val="none"/>
                <w:lang w:val="en-US" w:eastAsia="zh-CN"/>
              </w:rPr>
            </w:pPr>
            <w:r>
              <w:rPr>
                <w:rFonts w:hint="default" w:ascii="Times New Roman" w:hAnsi="Times New Roman" w:cs="Times New Roman"/>
                <w:b w:val="0"/>
                <w:bCs w:val="0"/>
                <w:snapToGrid w:val="0"/>
                <w:color w:val="auto"/>
                <w:sz w:val="21"/>
                <w:szCs w:val="21"/>
                <w:highlight w:val="none"/>
                <w:lang w:val="en-US" w:eastAsia="zh-CN"/>
              </w:rPr>
              <w:t>根据坝基地质条件结合应力计算，确定大坝河床段建基面高程为578.00m，建基面进入弱风化泥岩下部；左、右坝肩建基面高程为580.00m</w:t>
            </w:r>
            <w:r>
              <w:rPr>
                <w:rFonts w:hint="eastAsia" w:cs="Times New Roman"/>
                <w:b w:val="0"/>
                <w:bCs w:val="0"/>
                <w:snapToGrid w:val="0"/>
                <w:color w:val="auto"/>
                <w:sz w:val="21"/>
                <w:szCs w:val="21"/>
                <w:highlight w:val="none"/>
                <w:lang w:val="en-US" w:eastAsia="zh-CN"/>
              </w:rPr>
              <w:t>～</w:t>
            </w:r>
            <w:r>
              <w:rPr>
                <w:rFonts w:hint="default" w:ascii="Times New Roman" w:hAnsi="Times New Roman" w:cs="Times New Roman"/>
                <w:b w:val="0"/>
                <w:bCs w:val="0"/>
                <w:snapToGrid w:val="0"/>
                <w:color w:val="auto"/>
                <w:sz w:val="21"/>
                <w:szCs w:val="21"/>
                <w:highlight w:val="none"/>
                <w:lang w:val="en-US" w:eastAsia="zh-CN"/>
              </w:rPr>
              <w:t>603.00m，中间采用斜坡过渡，建基面进入弱风化泥岩中下部。河岸结合基岩情况，开挖坡比1:0.75~1:3.5，开挖成台阶形，每隔6</w:t>
            </w:r>
            <w:r>
              <w:rPr>
                <w:rFonts w:hint="eastAsia" w:cs="Times New Roman"/>
                <w:b w:val="0"/>
                <w:bCs w:val="0"/>
                <w:snapToGrid w:val="0"/>
                <w:color w:val="auto"/>
                <w:sz w:val="21"/>
                <w:szCs w:val="21"/>
                <w:highlight w:val="none"/>
                <w:lang w:val="en-US" w:eastAsia="zh-CN"/>
              </w:rPr>
              <w:t>～</w:t>
            </w:r>
            <w:r>
              <w:rPr>
                <w:rFonts w:hint="default" w:ascii="Times New Roman" w:hAnsi="Times New Roman" w:cs="Times New Roman"/>
                <w:b w:val="0"/>
                <w:bCs w:val="0"/>
                <w:snapToGrid w:val="0"/>
                <w:color w:val="auto"/>
                <w:sz w:val="21"/>
                <w:szCs w:val="21"/>
                <w:highlight w:val="none"/>
                <w:lang w:val="en-US" w:eastAsia="zh-CN"/>
              </w:rPr>
              <w:t>10m高差设平台，平台宽3</w:t>
            </w:r>
            <w:r>
              <w:rPr>
                <w:rFonts w:hint="eastAsia" w:cs="Times New Roman"/>
                <w:b w:val="0"/>
                <w:bCs w:val="0"/>
                <w:snapToGrid w:val="0"/>
                <w:color w:val="auto"/>
                <w:sz w:val="21"/>
                <w:szCs w:val="21"/>
                <w:highlight w:val="none"/>
                <w:lang w:val="en-US" w:eastAsia="zh-CN"/>
              </w:rPr>
              <w:t>～</w:t>
            </w:r>
            <w:r>
              <w:rPr>
                <w:rFonts w:hint="default" w:ascii="Times New Roman" w:hAnsi="Times New Roman" w:cs="Times New Roman"/>
                <w:b w:val="0"/>
                <w:bCs w:val="0"/>
                <w:snapToGrid w:val="0"/>
                <w:color w:val="auto"/>
                <w:sz w:val="21"/>
                <w:szCs w:val="21"/>
                <w:highlight w:val="none"/>
                <w:lang w:val="en-US" w:eastAsia="zh-CN"/>
              </w:rPr>
              <w:t>5m。</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snapToGrid w:val="0"/>
                <w:color w:val="auto"/>
                <w:sz w:val="21"/>
                <w:szCs w:val="21"/>
                <w:highlight w:val="none"/>
                <w:lang w:val="en-US" w:eastAsia="zh-CN"/>
              </w:rPr>
            </w:pPr>
            <w:r>
              <w:rPr>
                <w:rFonts w:hint="default" w:ascii="Times New Roman" w:hAnsi="Times New Roman" w:cs="Times New Roman"/>
                <w:b w:val="0"/>
                <w:bCs w:val="0"/>
                <w:snapToGrid w:val="0"/>
                <w:color w:val="auto"/>
                <w:sz w:val="21"/>
                <w:szCs w:val="21"/>
                <w:highlight w:val="none"/>
                <w:lang w:val="en-US" w:eastAsia="zh-CN"/>
              </w:rPr>
              <w:t>为提高基础承载力、加强基础整体性，减少变形，拟对坝基采用全面积固结灌浆。固结灌浆孔深入基岩6m，孔距3m，梅花形布置。</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snapToGrid w:val="0"/>
                <w:color w:val="auto"/>
                <w:sz w:val="21"/>
                <w:szCs w:val="21"/>
                <w:highlight w:val="none"/>
                <w:lang w:val="en-US" w:eastAsia="zh-CN"/>
              </w:rPr>
            </w:pPr>
            <w:r>
              <w:rPr>
                <w:rFonts w:hint="default" w:ascii="Times New Roman" w:hAnsi="Times New Roman" w:cs="Times New Roman"/>
                <w:b w:val="0"/>
                <w:bCs w:val="0"/>
                <w:snapToGrid w:val="0"/>
                <w:color w:val="auto"/>
                <w:sz w:val="21"/>
                <w:szCs w:val="21"/>
                <w:highlight w:val="none"/>
                <w:lang w:val="en-US" w:eastAsia="zh-CN"/>
              </w:rPr>
              <w:t>河床坝基岩体和</w:t>
            </w:r>
            <w:r>
              <w:rPr>
                <w:rFonts w:hint="eastAsia" w:cs="Times New Roman"/>
                <w:b w:val="0"/>
                <w:bCs w:val="0"/>
                <w:snapToGrid w:val="0"/>
                <w:color w:val="auto"/>
                <w:sz w:val="21"/>
                <w:szCs w:val="21"/>
                <w:highlight w:val="none"/>
                <w:lang w:val="en-US" w:eastAsia="zh-CN"/>
              </w:rPr>
              <w:t>两岸</w:t>
            </w:r>
            <w:r>
              <w:rPr>
                <w:rFonts w:hint="default" w:ascii="Times New Roman" w:hAnsi="Times New Roman" w:cs="Times New Roman"/>
                <w:b w:val="0"/>
                <w:bCs w:val="0"/>
                <w:snapToGrid w:val="0"/>
                <w:color w:val="auto"/>
                <w:sz w:val="21"/>
                <w:szCs w:val="21"/>
                <w:highlight w:val="none"/>
                <w:lang w:val="en-US" w:eastAsia="zh-CN"/>
              </w:rPr>
              <w:t>采用帷幕灌浆进行防渗处理。根据大坝结构及剖面设计，于坝轴线上游靠近坝踵布置1排帷幕灌浆，灌浆深度按伸入透水率5Lu岩层以下5m， 帷幕灌浆两岸延伸的长度至水库正常蓄水位与地下水位相交处。防渗线平面总长271m，其中，大坝段长150m、左岸长15m，右岸长106m。最大灌浆深度23m。防渗帷幕沿坝轴线共布置1排，孔距2m，采用三序孔施工。</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snapToGrid w:val="0"/>
                <w:color w:val="auto"/>
                <w:sz w:val="21"/>
                <w:szCs w:val="21"/>
                <w:highlight w:val="none"/>
                <w:lang w:val="en-US" w:eastAsia="zh-CN"/>
              </w:rPr>
            </w:pPr>
            <w:r>
              <w:rPr>
                <w:rFonts w:hint="default" w:ascii="Times New Roman" w:hAnsi="Times New Roman" w:cs="Times New Roman"/>
                <w:b w:val="0"/>
                <w:bCs w:val="0"/>
                <w:snapToGrid w:val="0"/>
                <w:color w:val="auto"/>
                <w:sz w:val="21"/>
                <w:szCs w:val="21"/>
                <w:highlight w:val="none"/>
                <w:lang w:val="en-US" w:eastAsia="zh-CN"/>
              </w:rPr>
              <w:t>2、补水</w:t>
            </w:r>
            <w:r>
              <w:rPr>
                <w:rFonts w:hint="eastAsia" w:cs="Times New Roman"/>
                <w:b w:val="0"/>
                <w:bCs w:val="0"/>
                <w:snapToGrid w:val="0"/>
                <w:color w:val="auto"/>
                <w:sz w:val="21"/>
                <w:szCs w:val="21"/>
                <w:highlight w:val="none"/>
                <w:lang w:val="en-US" w:eastAsia="zh-CN"/>
              </w:rPr>
              <w:t>建筑物</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snapToGrid w:val="0"/>
                <w:color w:val="auto"/>
                <w:sz w:val="21"/>
                <w:szCs w:val="21"/>
                <w:highlight w:val="none"/>
                <w:lang w:val="en-US" w:eastAsia="zh-CN"/>
              </w:rPr>
            </w:pPr>
            <w:r>
              <w:rPr>
                <w:rFonts w:hint="default" w:ascii="Times New Roman" w:hAnsi="Times New Roman" w:cs="Times New Roman"/>
                <w:b w:val="0"/>
                <w:bCs w:val="0"/>
                <w:snapToGrid w:val="0"/>
                <w:color w:val="auto"/>
                <w:sz w:val="21"/>
                <w:szCs w:val="21"/>
                <w:highlight w:val="none"/>
                <w:lang w:val="en-US" w:eastAsia="zh-CN"/>
              </w:rPr>
              <w:t>（1）拦河堰</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snapToGrid w:val="0"/>
                <w:color w:val="auto"/>
                <w:sz w:val="21"/>
                <w:szCs w:val="21"/>
                <w:highlight w:val="none"/>
                <w:lang w:val="en-US" w:eastAsia="zh-CN"/>
              </w:rPr>
            </w:pPr>
            <w:r>
              <w:rPr>
                <w:rFonts w:hint="default" w:ascii="Times New Roman" w:hAnsi="Times New Roman" w:cs="Times New Roman"/>
                <w:b w:val="0"/>
                <w:bCs w:val="0"/>
                <w:snapToGrid w:val="0"/>
                <w:color w:val="auto"/>
                <w:sz w:val="21"/>
                <w:szCs w:val="21"/>
                <w:highlight w:val="none"/>
                <w:lang w:val="en-US" w:eastAsia="zh-CN"/>
              </w:rPr>
              <w:t>补水拦河堰推荐坝轴线位于主沟花池水厂取水石河堰上游0.4km、左岸冲沟下游15m处。为避让基本农田，拦河堰于河道中部靠左岸布置，轴线总长22.4m。从右岸至左岸依次布置：溢流坝、冲沙闸、取水闸。大坝上游布置防渗铺盖及导墙，下游布置消力池。</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snapToGrid w:val="0"/>
                <w:color w:val="auto"/>
                <w:sz w:val="21"/>
                <w:szCs w:val="21"/>
                <w:highlight w:val="none"/>
                <w:lang w:val="en-US" w:eastAsia="zh-CN"/>
              </w:rPr>
            </w:pPr>
            <w:r>
              <w:rPr>
                <w:rFonts w:hint="default" w:ascii="Times New Roman" w:hAnsi="Times New Roman" w:cs="Times New Roman"/>
                <w:b w:val="0"/>
                <w:bCs w:val="0"/>
                <w:snapToGrid w:val="0"/>
                <w:color w:val="auto"/>
                <w:sz w:val="21"/>
                <w:szCs w:val="21"/>
                <w:highlight w:val="none"/>
                <w:lang w:val="en-US" w:eastAsia="zh-CN"/>
              </w:rPr>
              <w:t>溢流坝：在主河床布置开敞式溢流坝，溢流段轴线长16m。坝高7.5m，坝顶高程629.00m，高出河床（625.00m）4.0m；坝底基础高程621.50m，坝基宽11.25m，基础置于经碾压处理后的碎石、卵砾石土层。堰型采用折线型实用堰，堰顶顺水流方向长3.0m；下游堰面顺水流方向水平长8.25m，坡比1：1.5。坝体表面采用0.8m厚C35抗冲耐磨钢筋混凝土，坝体内部采用C20混凝土。大坝上游设钢筋混凝土截渗墙，截渗墙与坝体结合，进入基岩以下0.5m。溢流坝右岸设0.8m厚的C25钢筋混凝土岸墙，墙顶高程632.30m。</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snapToGrid w:val="0"/>
                <w:color w:val="auto"/>
                <w:sz w:val="21"/>
                <w:szCs w:val="21"/>
                <w:highlight w:val="none"/>
                <w:lang w:val="en-US" w:eastAsia="zh-CN"/>
              </w:rPr>
            </w:pPr>
            <w:r>
              <w:rPr>
                <w:rFonts w:hint="default" w:ascii="Times New Roman" w:hAnsi="Times New Roman" w:cs="Times New Roman"/>
                <w:b w:val="0"/>
                <w:bCs w:val="0"/>
                <w:snapToGrid w:val="0"/>
                <w:color w:val="auto"/>
                <w:sz w:val="21"/>
                <w:szCs w:val="21"/>
                <w:highlight w:val="none"/>
                <w:lang w:val="en-US" w:eastAsia="zh-CN"/>
              </w:rPr>
              <w:t>冲沙闸：溢流坝左侧布置冲沙闸，孔口尺寸1.4×1.4m（宽×高）。闸室顺水流方向长3m，进口底板高程625.00m，闸底板厚3.5m，置于基岩上；右闸墩厚0.8m，左闸墩厚1.2m（与取水闸共用）；闸室底板、闸墩、胸墙均采用C25钢筋混凝土结构。闸门采用潜孔平板钢闸门，手电两用螺杆启闭机启闭。闸室后以1：5.5斜坡接入消力池，斜坡段长8.25m。</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snapToGrid w:val="0"/>
                <w:color w:val="auto"/>
                <w:sz w:val="21"/>
                <w:szCs w:val="21"/>
                <w:highlight w:val="none"/>
                <w:lang w:val="en-US" w:eastAsia="zh-CN"/>
              </w:rPr>
            </w:pPr>
            <w:r>
              <w:rPr>
                <w:rFonts w:hint="default" w:ascii="Times New Roman" w:hAnsi="Times New Roman" w:cs="Times New Roman"/>
                <w:b w:val="0"/>
                <w:bCs w:val="0"/>
                <w:snapToGrid w:val="0"/>
                <w:color w:val="auto"/>
                <w:sz w:val="21"/>
                <w:szCs w:val="21"/>
                <w:highlight w:val="none"/>
                <w:lang w:val="en-US" w:eastAsia="zh-CN"/>
              </w:rPr>
              <w:t>取水闸：冲沙闸左侧布置取水闸，孔口尺寸1.4×1.4m（宽×高）。闸室顺水流方向长5m，进口底板高程627.00m，高出河床（625.00m）2.0m，闸底板厚4m，置于基岩上。右闸墩厚1.2m（与取水闸共用），左闸墩厚0.8m；闸室底板、闸墩、胸墙均采用C25钢筋混凝土结构。闸室上游设拦污栅，闸门采用潜孔平板钢闸门，手电两用螺杆启闭机启闭。闸室后以1：1斜坡接入进水池，进水池斜坡段长2.5m，水平段长5m。池底高程624.50m。进水池全断面采用C25钢筋混凝土整体式结构，底板厚1.5m，边墙厚0.8m。进水池末端接DN1400补水渠钢管，管道进口底高程625.00m，进口设不锈钢滤水网。进水池边墙埋设DN100生态放水钢管，管中心高程625.00m，设偏心半球阀控制，下泄0.016m3/s的生态流量，接入消力池。</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snapToGrid w:val="0"/>
                <w:color w:val="auto"/>
                <w:sz w:val="21"/>
                <w:szCs w:val="21"/>
                <w:highlight w:val="none"/>
                <w:lang w:val="en-US" w:eastAsia="zh-CN"/>
              </w:rPr>
            </w:pPr>
            <w:r>
              <w:rPr>
                <w:rFonts w:hint="default" w:ascii="Times New Roman" w:hAnsi="Times New Roman" w:cs="Times New Roman"/>
                <w:b w:val="0"/>
                <w:bCs w:val="0"/>
                <w:snapToGrid w:val="0"/>
                <w:color w:val="auto"/>
                <w:sz w:val="21"/>
                <w:szCs w:val="21"/>
                <w:highlight w:val="none"/>
                <w:lang w:val="en-US" w:eastAsia="zh-CN"/>
              </w:rPr>
              <w:t>上游铺盖及导墙：大坝上游设15m长防渗铺盖，铺盖顶高程为625.00m，采0.3m厚的C20混凝土衬砌，置于碾压后的碎石、卵砾石土层。两岸设C20混凝土衡重式导墙，右岸导墙长40m，左岸导墙长15m；导墙顶高程632.30m，墙高8.1m，顶宽0.5m，于墙顶以下4.0m处设1.6m宽衡重平台，平台上、下背坡分别为1:0.35、1:-0.3。</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snapToGrid w:val="0"/>
                <w:color w:val="auto"/>
                <w:sz w:val="21"/>
                <w:szCs w:val="21"/>
                <w:highlight w:val="none"/>
                <w:lang w:val="en-US" w:eastAsia="zh-CN"/>
              </w:rPr>
            </w:pPr>
            <w:r>
              <w:rPr>
                <w:rFonts w:hint="default" w:ascii="Times New Roman" w:hAnsi="Times New Roman" w:cs="Times New Roman"/>
                <w:b w:val="0"/>
                <w:bCs w:val="0"/>
                <w:snapToGrid w:val="0"/>
                <w:color w:val="auto"/>
                <w:sz w:val="21"/>
                <w:szCs w:val="21"/>
                <w:highlight w:val="none"/>
                <w:lang w:val="en-US" w:eastAsia="zh-CN"/>
              </w:rPr>
              <w:t>消力池：大坝下游设消力池，池深1.5m，池长20m，池底板顶高程622.50m，消力坎顶高程624.00m，边墙顶高程626.70m。消力池采用C35抗冲耐磨钢筋混凝土整体式结构；底板厚1m，下设0.3m厚的砂砾石垫层，间距2m布置φ5cmPVC排水孔，底板设锚杆锚固于基岩，锚杆直径Φ25，长7m，间距2.5m，梅花形布置；边墙顶宽0.5m，背坡1：0.2。消力坎下游铺设钢筋石笼防冲。</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snapToGrid w:val="0"/>
                <w:color w:val="auto"/>
                <w:sz w:val="21"/>
                <w:szCs w:val="21"/>
                <w:highlight w:val="none"/>
                <w:lang w:val="en-US" w:eastAsia="zh-CN"/>
              </w:rPr>
            </w:pPr>
            <w:r>
              <w:rPr>
                <w:rFonts w:hint="default" w:ascii="Times New Roman" w:hAnsi="Times New Roman" w:cs="Times New Roman"/>
                <w:b w:val="0"/>
                <w:bCs w:val="0"/>
                <w:snapToGrid w:val="0"/>
                <w:color w:val="auto"/>
                <w:sz w:val="21"/>
                <w:szCs w:val="21"/>
                <w:highlight w:val="none"/>
                <w:lang w:val="en-US" w:eastAsia="zh-CN"/>
              </w:rPr>
              <w:t>（2）补水渠</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snapToGrid w:val="0"/>
                <w:color w:val="auto"/>
                <w:sz w:val="21"/>
                <w:szCs w:val="21"/>
                <w:highlight w:val="none"/>
                <w:lang w:val="en-US" w:eastAsia="zh-CN"/>
              </w:rPr>
            </w:pPr>
            <w:r>
              <w:rPr>
                <w:rFonts w:hint="default" w:ascii="Times New Roman" w:hAnsi="Times New Roman" w:cs="Times New Roman"/>
                <w:b w:val="0"/>
                <w:bCs w:val="0"/>
                <w:snapToGrid w:val="0"/>
                <w:color w:val="auto"/>
                <w:sz w:val="21"/>
                <w:szCs w:val="21"/>
                <w:highlight w:val="none"/>
                <w:lang w:val="en-US" w:eastAsia="zh-CN"/>
              </w:rPr>
              <w:t>补水渠设计最大输水流量4m</w:t>
            </w:r>
            <w:r>
              <w:rPr>
                <w:rFonts w:hint="default" w:ascii="Times New Roman" w:hAnsi="Times New Roman" w:cs="Times New Roman"/>
                <w:b w:val="0"/>
                <w:bCs w:val="0"/>
                <w:snapToGrid w:val="0"/>
                <w:color w:val="auto"/>
                <w:sz w:val="21"/>
                <w:szCs w:val="21"/>
                <w:highlight w:val="none"/>
                <w:vertAlign w:val="superscript"/>
                <w:lang w:val="en-US" w:eastAsia="zh-CN"/>
              </w:rPr>
              <w:t>3</w:t>
            </w:r>
            <w:r>
              <w:rPr>
                <w:rFonts w:hint="default" w:ascii="Times New Roman" w:hAnsi="Times New Roman" w:cs="Times New Roman"/>
                <w:b w:val="0"/>
                <w:bCs w:val="0"/>
                <w:snapToGrid w:val="0"/>
                <w:color w:val="auto"/>
                <w:sz w:val="21"/>
                <w:szCs w:val="21"/>
                <w:highlight w:val="none"/>
                <w:lang w:val="en-US" w:eastAsia="zh-CN"/>
              </w:rPr>
              <w:t>/s，采用有压管道输水，自拦河堰左岸取水闸出口取水（进口管底高程625.00m），沿坡脚布置，于桩号0+345~0+369跨主沟至右岸，之后沿主沟右岸公路下方农田布置，地面高程610.00m</w:t>
            </w:r>
            <w:r>
              <w:rPr>
                <w:rFonts w:hint="eastAsia" w:cs="Times New Roman"/>
                <w:b w:val="0"/>
                <w:bCs w:val="0"/>
                <w:snapToGrid w:val="0"/>
                <w:color w:val="auto"/>
                <w:sz w:val="21"/>
                <w:szCs w:val="21"/>
                <w:highlight w:val="none"/>
                <w:lang w:val="en-US" w:eastAsia="zh-CN"/>
              </w:rPr>
              <w:t>～</w:t>
            </w:r>
            <w:r>
              <w:rPr>
                <w:rFonts w:hint="default" w:ascii="Times New Roman" w:hAnsi="Times New Roman" w:cs="Times New Roman"/>
                <w:b w:val="0"/>
                <w:bCs w:val="0"/>
                <w:snapToGrid w:val="0"/>
                <w:color w:val="auto"/>
                <w:sz w:val="21"/>
                <w:szCs w:val="21"/>
                <w:highlight w:val="none"/>
                <w:lang w:val="en-US" w:eastAsia="zh-CN"/>
              </w:rPr>
              <w:t>592.00m，桩号1+050之后爬坡上行过</w:t>
            </w:r>
            <w:r>
              <w:rPr>
                <w:rFonts w:hint="eastAsia" w:cs="Times New Roman"/>
                <w:b w:val="0"/>
                <w:bCs w:val="0"/>
                <w:snapToGrid w:val="0"/>
                <w:color w:val="auto"/>
                <w:sz w:val="21"/>
                <w:szCs w:val="21"/>
                <w:highlight w:val="none"/>
                <w:lang w:val="en-US" w:eastAsia="zh-CN"/>
              </w:rPr>
              <w:t>山坳</w:t>
            </w:r>
            <w:r>
              <w:rPr>
                <w:rFonts w:hint="default" w:ascii="Times New Roman" w:hAnsi="Times New Roman" w:cs="Times New Roman"/>
                <w:b w:val="0"/>
                <w:bCs w:val="0"/>
                <w:snapToGrid w:val="0"/>
                <w:color w:val="auto"/>
                <w:sz w:val="21"/>
                <w:szCs w:val="21"/>
                <w:highlight w:val="none"/>
                <w:lang w:val="en-US" w:eastAsia="zh-CN"/>
              </w:rPr>
              <w:t>（最高处地面高程620.00m），桩号1+380之后再下行泄入水库库尾（出口管底高程607.00m），补水渠全长1435m。</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snapToGrid w:val="0"/>
                <w:color w:val="auto"/>
                <w:sz w:val="21"/>
                <w:szCs w:val="21"/>
                <w:highlight w:val="none"/>
                <w:lang w:val="en-US" w:eastAsia="zh-CN"/>
              </w:rPr>
            </w:pPr>
            <w:r>
              <w:rPr>
                <w:rFonts w:hint="default" w:ascii="Times New Roman" w:hAnsi="Times New Roman" w:cs="Times New Roman"/>
                <w:b w:val="0"/>
                <w:bCs w:val="0"/>
                <w:snapToGrid w:val="0"/>
                <w:color w:val="auto"/>
                <w:sz w:val="21"/>
                <w:szCs w:val="21"/>
                <w:highlight w:val="none"/>
                <w:lang w:val="en-US" w:eastAsia="zh-CN"/>
              </w:rPr>
              <w:t>补水渠采用埋地式有压管道，管顶埋深不小于1m。管材选用管径DN1400mm焊接不锈钢管，公称压力0.6MPa、壁厚10mm，管道下设0.3m厚的粗砂垫层。管道每隔80m及转弯处设置C20混凝土镇墩。管道沿程设3处排泥井、1处排气井。管道埋设完毕后采用原土回填至地面高程，复耕和恢复原有设施功能。</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snapToGrid w:val="0"/>
                <w:color w:val="auto"/>
                <w:sz w:val="21"/>
                <w:szCs w:val="21"/>
                <w:highlight w:val="none"/>
                <w:lang w:val="en-US" w:eastAsia="zh-CN"/>
              </w:rPr>
            </w:pPr>
            <w:r>
              <w:rPr>
                <w:rFonts w:hint="default" w:ascii="Times New Roman" w:hAnsi="Times New Roman" w:cs="Times New Roman"/>
                <w:b w:val="0"/>
                <w:bCs w:val="0"/>
                <w:snapToGrid w:val="0"/>
                <w:color w:val="auto"/>
                <w:sz w:val="21"/>
                <w:szCs w:val="21"/>
                <w:highlight w:val="none"/>
                <w:lang w:val="en-US" w:eastAsia="zh-CN"/>
              </w:rPr>
              <w:t>2.3.1.2</w:t>
            </w:r>
            <w:r>
              <w:rPr>
                <w:rFonts w:hint="default" w:ascii="Times New Roman" w:hAnsi="Times New Roman" w:cs="Times New Roman"/>
                <w:color w:val="auto"/>
                <w:highlight w:val="none"/>
              </w:rPr>
              <w:t>灌区</w:t>
            </w:r>
            <w:r>
              <w:rPr>
                <w:rFonts w:hint="eastAsia" w:cs="Times New Roman"/>
                <w:b w:val="0"/>
                <w:bCs w:val="0"/>
                <w:snapToGrid w:val="0"/>
                <w:color w:val="auto"/>
                <w:sz w:val="21"/>
                <w:szCs w:val="21"/>
                <w:highlight w:val="none"/>
                <w:lang w:val="en-US" w:eastAsia="zh-CN"/>
              </w:rPr>
              <w:t>工程</w:t>
            </w:r>
          </w:p>
          <w:p>
            <w:pPr>
              <w:pStyle w:val="8"/>
              <w:spacing w:line="360" w:lineRule="auto"/>
              <w:ind w:firstLine="480"/>
              <w:rPr>
                <w:rFonts w:hint="default" w:ascii="Times New Roman" w:hAnsi="Times New Roman" w:cs="Times New Roman"/>
                <w:color w:val="auto"/>
                <w:highlight w:val="none"/>
              </w:rPr>
            </w:pPr>
            <w:r>
              <w:rPr>
                <w:rFonts w:hint="eastAsia"/>
                <w:color w:val="auto"/>
                <w:highlight w:val="none"/>
              </w:rPr>
              <w:t>堰沟水库灌区工程向胡家场镇、花池社区供水，并灌溉沿程5600亩耕园地。</w:t>
            </w:r>
            <w:r>
              <w:rPr>
                <w:rFonts w:hint="default" w:ascii="Times New Roman" w:hAnsi="Times New Roman" w:cs="Times New Roman"/>
                <w:color w:val="auto"/>
                <w:highlight w:val="none"/>
              </w:rPr>
              <w:t>灌区供水及灌溉渠道均采用有压管道输水</w:t>
            </w:r>
            <w:r>
              <w:rPr>
                <w:rFonts w:hint="eastAsia" w:ascii="Times New Roman" w:hAnsi="Times New Roman" w:cs="Times New Roman"/>
                <w:color w:val="auto"/>
                <w:highlight w:val="none"/>
                <w:lang w:eastAsia="zh-CN"/>
              </w:rPr>
              <w:t>，</w:t>
            </w:r>
            <w:r>
              <w:rPr>
                <w:rFonts w:hint="eastAsia"/>
                <w:color w:val="auto"/>
                <w:highlight w:val="none"/>
              </w:rPr>
              <w:t>包括供水干管、灌溉干管和花池供水支管，总长</w:t>
            </w:r>
            <w:r>
              <w:rPr>
                <w:color w:val="auto"/>
                <w:highlight w:val="none"/>
              </w:rPr>
              <w:t>15.73</w:t>
            </w:r>
            <w:r>
              <w:rPr>
                <w:rFonts w:hint="eastAsia"/>
                <w:color w:val="auto"/>
                <w:highlight w:val="none"/>
              </w:rPr>
              <w:t>km</w:t>
            </w:r>
            <w:r>
              <w:rPr>
                <w:rFonts w:hint="default" w:ascii="Times New Roman" w:hAnsi="Times New Roman" w:cs="Times New Roman"/>
                <w:color w:val="auto"/>
                <w:highlight w:val="none"/>
              </w:rPr>
              <w:t>。</w:t>
            </w:r>
          </w:p>
          <w:p>
            <w:pPr>
              <w:pStyle w:val="8"/>
              <w:spacing w:line="360" w:lineRule="auto"/>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供水干管自取水钢管出口取水，设计取水流量0.10m</w:t>
            </w:r>
            <w:r>
              <w:rPr>
                <w:rFonts w:hint="default" w:ascii="Times New Roman" w:hAnsi="Times New Roman" w:cs="Times New Roman"/>
                <w:color w:val="auto"/>
                <w:szCs w:val="28"/>
                <w:highlight w:val="none"/>
                <w:u w:val="none" w:color="000000"/>
                <w:vertAlign w:val="superscript"/>
              </w:rPr>
              <w:t>3</w:t>
            </w:r>
            <w:r>
              <w:rPr>
                <w:rFonts w:hint="default" w:ascii="Times New Roman" w:hAnsi="Times New Roman" w:cs="Times New Roman"/>
                <w:color w:val="auto"/>
                <w:szCs w:val="28"/>
                <w:highlight w:val="none"/>
                <w:u w:val="none" w:color="000000"/>
              </w:rPr>
              <w:t>/s，</w:t>
            </w:r>
            <w:r>
              <w:rPr>
                <w:rFonts w:hint="default" w:ascii="Times New Roman" w:hAnsi="Times New Roman" w:cs="Times New Roman"/>
                <w:color w:val="auto"/>
                <w:highlight w:val="none"/>
              </w:rPr>
              <w:t>水库死水位591.00m时，干管进口水压标高590.30m。进口管道中心高程587.00m，沿</w:t>
            </w:r>
            <w:r>
              <w:rPr>
                <w:rFonts w:hint="default" w:ascii="Times New Roman" w:hAnsi="Times New Roman" w:cs="Times New Roman"/>
                <w:color w:val="auto"/>
                <w:szCs w:val="28"/>
                <w:highlight w:val="none"/>
                <w:u w:val="none" w:color="000000"/>
              </w:rPr>
              <w:t>XS19</w:t>
            </w:r>
            <w:r>
              <w:rPr>
                <w:rFonts w:hint="default" w:ascii="Times New Roman" w:hAnsi="Times New Roman" w:cs="Times New Roman"/>
                <w:color w:val="auto"/>
                <w:highlight w:val="none"/>
              </w:rPr>
              <w:t>公路</w:t>
            </w:r>
            <w:r>
              <w:rPr>
                <w:rFonts w:hint="default" w:ascii="Times New Roman" w:hAnsi="Times New Roman" w:cs="Times New Roman"/>
                <w:color w:val="auto"/>
                <w:szCs w:val="28"/>
                <w:highlight w:val="none"/>
                <w:u w:val="none" w:color="000000"/>
              </w:rPr>
              <w:t>西侧向南</w:t>
            </w:r>
            <w:r>
              <w:rPr>
                <w:rFonts w:hint="default" w:ascii="Times New Roman" w:hAnsi="Times New Roman" w:cs="Times New Roman"/>
                <w:color w:val="auto"/>
                <w:highlight w:val="none"/>
              </w:rPr>
              <w:t>而行，于堰沟村湾湾桥（桩号干1+411.00）分花池供水支管，之后沿</w:t>
            </w:r>
            <w:r>
              <w:rPr>
                <w:rFonts w:hint="default" w:ascii="Times New Roman" w:hAnsi="Times New Roman" w:cs="Times New Roman"/>
                <w:color w:val="auto"/>
                <w:szCs w:val="28"/>
                <w:highlight w:val="none"/>
                <w:u w:val="none" w:color="000000"/>
              </w:rPr>
              <w:t>XS19</w:t>
            </w:r>
            <w:r>
              <w:rPr>
                <w:rFonts w:hint="default" w:ascii="Times New Roman" w:hAnsi="Times New Roman" w:cs="Times New Roman"/>
                <w:color w:val="auto"/>
                <w:highlight w:val="none"/>
              </w:rPr>
              <w:t>公路</w:t>
            </w:r>
            <w:r>
              <w:rPr>
                <w:rFonts w:hint="default" w:ascii="Times New Roman" w:hAnsi="Times New Roman" w:cs="Times New Roman"/>
                <w:color w:val="auto"/>
                <w:szCs w:val="28"/>
                <w:highlight w:val="none"/>
                <w:u w:val="none" w:color="000000"/>
              </w:rPr>
              <w:t>转向东</w:t>
            </w:r>
            <w:r>
              <w:rPr>
                <w:rFonts w:hint="default" w:ascii="Times New Roman" w:hAnsi="Times New Roman" w:cs="Times New Roman"/>
                <w:color w:val="auto"/>
                <w:highlight w:val="none"/>
              </w:rPr>
              <w:t>行</w:t>
            </w:r>
            <w:r>
              <w:rPr>
                <w:rFonts w:hint="default" w:ascii="Times New Roman" w:hAnsi="Times New Roman" w:cs="Times New Roman"/>
                <w:color w:val="auto"/>
                <w:szCs w:val="28"/>
                <w:highlight w:val="none"/>
                <w:u w:val="none" w:color="000000"/>
              </w:rPr>
              <w:t>，行至桩号干2+826.00~4+266.00处建1.44km长隧洞穿越</w:t>
            </w:r>
            <w:r>
              <w:rPr>
                <w:rFonts w:hint="default" w:ascii="Times New Roman" w:hAnsi="Times New Roman" w:cs="Times New Roman"/>
                <w:color w:val="auto"/>
                <w:highlight w:val="none"/>
              </w:rPr>
              <w:t>瑶子石分水岭</w:t>
            </w:r>
            <w:r>
              <w:rPr>
                <w:rFonts w:hint="default" w:ascii="Times New Roman" w:hAnsi="Times New Roman" w:cs="Times New Roman"/>
                <w:color w:val="auto"/>
                <w:szCs w:val="28"/>
                <w:highlight w:val="none"/>
                <w:u w:val="none" w:color="000000"/>
              </w:rPr>
              <w:t>，</w:t>
            </w:r>
            <w:r>
              <w:rPr>
                <w:rFonts w:hint="default" w:ascii="Times New Roman" w:hAnsi="Times New Roman" w:cs="Times New Roman"/>
                <w:color w:val="auto"/>
                <w:highlight w:val="none"/>
              </w:rPr>
              <w:t>之后</w:t>
            </w:r>
            <w:r>
              <w:rPr>
                <w:rFonts w:hint="default" w:ascii="Times New Roman" w:hAnsi="Times New Roman" w:cs="Times New Roman"/>
                <w:color w:val="auto"/>
                <w:szCs w:val="28"/>
                <w:highlight w:val="none"/>
                <w:u w:val="none" w:color="000000"/>
              </w:rPr>
              <w:t>继续</w:t>
            </w:r>
            <w:r>
              <w:rPr>
                <w:rFonts w:hint="default" w:ascii="Times New Roman" w:hAnsi="Times New Roman" w:cs="Times New Roman"/>
                <w:color w:val="auto"/>
                <w:highlight w:val="none"/>
              </w:rPr>
              <w:t>沿</w:t>
            </w:r>
            <w:r>
              <w:rPr>
                <w:rFonts w:hint="default" w:ascii="Times New Roman" w:hAnsi="Times New Roman" w:cs="Times New Roman"/>
                <w:color w:val="auto"/>
                <w:szCs w:val="28"/>
                <w:highlight w:val="none"/>
                <w:u w:val="none" w:color="000000"/>
              </w:rPr>
              <w:t>XS19</w:t>
            </w:r>
            <w:r>
              <w:rPr>
                <w:rFonts w:hint="default" w:ascii="Times New Roman" w:hAnsi="Times New Roman" w:cs="Times New Roman"/>
                <w:color w:val="auto"/>
                <w:highlight w:val="none"/>
              </w:rPr>
              <w:t>公路东行，</w:t>
            </w:r>
            <w:r>
              <w:rPr>
                <w:rFonts w:hint="default" w:ascii="Times New Roman" w:hAnsi="Times New Roman" w:cs="Times New Roman"/>
                <w:color w:val="auto"/>
                <w:szCs w:val="28"/>
                <w:highlight w:val="none"/>
                <w:u w:val="none" w:color="000000"/>
              </w:rPr>
              <w:t>接入胡家场镇冯家咀水厂，</w:t>
            </w:r>
            <w:r>
              <w:rPr>
                <w:rFonts w:hint="default" w:ascii="Times New Roman" w:hAnsi="Times New Roman" w:cs="Times New Roman"/>
                <w:color w:val="auto"/>
                <w:highlight w:val="none"/>
              </w:rPr>
              <w:t>出口管道中心高程390.30m。干管全长8222m，</w:t>
            </w:r>
            <w:r>
              <w:rPr>
                <w:rFonts w:hint="default" w:ascii="Times New Roman" w:hAnsi="Times New Roman" w:cs="Times New Roman"/>
                <w:color w:val="auto"/>
                <w:kern w:val="2"/>
                <w:highlight w:val="none"/>
              </w:rPr>
              <w:t>全程均</w:t>
            </w:r>
            <w:r>
              <w:rPr>
                <w:rFonts w:hint="default" w:ascii="Times New Roman" w:hAnsi="Times New Roman" w:cs="Times New Roman"/>
                <w:color w:val="auto"/>
                <w:highlight w:val="none"/>
              </w:rPr>
              <w:t>能满足重力流输水。</w:t>
            </w:r>
          </w:p>
          <w:p>
            <w:pPr>
              <w:autoSpaceDE w:val="0"/>
              <w:autoSpaceDN w:val="0"/>
              <w:spacing w:line="360" w:lineRule="auto"/>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灌溉干管自取水钢管出口取水，设计取水流量0.14m</w:t>
            </w:r>
            <w:r>
              <w:rPr>
                <w:rFonts w:hint="default" w:ascii="Times New Roman" w:hAnsi="Times New Roman" w:cs="Times New Roman"/>
                <w:color w:val="auto"/>
                <w:szCs w:val="28"/>
                <w:highlight w:val="none"/>
                <w:u w:val="none" w:color="000000"/>
                <w:vertAlign w:val="superscript"/>
              </w:rPr>
              <w:t>3</w:t>
            </w:r>
            <w:r>
              <w:rPr>
                <w:rFonts w:hint="default" w:ascii="Times New Roman" w:hAnsi="Times New Roman" w:cs="Times New Roman"/>
                <w:color w:val="auto"/>
                <w:szCs w:val="28"/>
                <w:highlight w:val="none"/>
                <w:u w:val="none" w:color="000000"/>
              </w:rPr>
              <w:t>/s。桩号5+125之前与供水干管并排、平面及纵向布置均一致；桩号5+125之后转南沿等高线而行，止于黄花村新田塝，</w:t>
            </w:r>
            <w:r>
              <w:rPr>
                <w:rFonts w:hint="default" w:ascii="Times New Roman" w:hAnsi="Times New Roman" w:cs="Times New Roman"/>
                <w:color w:val="auto"/>
                <w:highlight w:val="none"/>
              </w:rPr>
              <w:t>出口管道中心高程469.44m</w:t>
            </w:r>
            <w:r>
              <w:rPr>
                <w:rFonts w:hint="default" w:ascii="Times New Roman" w:hAnsi="Times New Roman" w:cs="Times New Roman"/>
                <w:color w:val="auto"/>
                <w:szCs w:val="28"/>
                <w:highlight w:val="none"/>
                <w:u w:val="none" w:color="000000"/>
              </w:rPr>
              <w:t>。</w:t>
            </w:r>
            <w:r>
              <w:rPr>
                <w:rFonts w:hint="default" w:ascii="Times New Roman" w:hAnsi="Times New Roman" w:cs="Times New Roman"/>
                <w:color w:val="auto"/>
                <w:highlight w:val="none"/>
              </w:rPr>
              <w:t>灌溉干管</w:t>
            </w:r>
            <w:r>
              <w:rPr>
                <w:rFonts w:hint="default" w:ascii="Times New Roman" w:hAnsi="Times New Roman" w:cs="Times New Roman"/>
                <w:color w:val="auto"/>
                <w:szCs w:val="28"/>
                <w:highlight w:val="none"/>
                <w:u w:val="none" w:color="000000"/>
              </w:rPr>
              <w:t>全长7168m</w:t>
            </w:r>
            <w:r>
              <w:rPr>
                <w:rFonts w:hint="default" w:ascii="Times New Roman" w:hAnsi="Times New Roman" w:cs="Times New Roman"/>
                <w:color w:val="auto"/>
                <w:highlight w:val="none"/>
              </w:rPr>
              <w:t>，全程均能满足重力流输水</w:t>
            </w:r>
            <w:r>
              <w:rPr>
                <w:rFonts w:hint="default" w:ascii="Times New Roman" w:hAnsi="Times New Roman" w:cs="Times New Roman"/>
                <w:color w:val="auto"/>
                <w:szCs w:val="28"/>
                <w:highlight w:val="none"/>
                <w:u w:val="none" w:color="000000"/>
              </w:rPr>
              <w:t>。灌溉</w:t>
            </w:r>
            <w:r>
              <w:rPr>
                <w:rFonts w:hint="default" w:ascii="Times New Roman" w:hAnsi="Times New Roman" w:cs="Times New Roman"/>
                <w:color w:val="auto"/>
                <w:highlight w:val="none"/>
              </w:rPr>
              <w:t>干管沿程分6处灌溉支管，支管流量0.004~0.023m</w:t>
            </w:r>
            <w:r>
              <w:rPr>
                <w:rFonts w:hint="default" w:ascii="Times New Roman" w:hAnsi="Times New Roman" w:cs="Times New Roman"/>
                <w:color w:val="auto"/>
                <w:szCs w:val="28"/>
                <w:highlight w:val="none"/>
                <w:u w:val="none" w:color="000000"/>
                <w:vertAlign w:val="superscript"/>
              </w:rPr>
              <w:t>3</w:t>
            </w:r>
            <w:r>
              <w:rPr>
                <w:rFonts w:hint="default" w:ascii="Times New Roman" w:hAnsi="Times New Roman" w:cs="Times New Roman"/>
                <w:color w:val="auto"/>
                <w:szCs w:val="28"/>
                <w:highlight w:val="none"/>
                <w:u w:val="none" w:color="000000"/>
              </w:rPr>
              <w:t>/s。</w:t>
            </w:r>
          </w:p>
          <w:p>
            <w:pPr>
              <w:autoSpaceDE w:val="0"/>
              <w:autoSpaceDN w:val="0"/>
              <w:spacing w:line="360" w:lineRule="auto"/>
              <w:ind w:firstLine="480"/>
              <w:rPr>
                <w:rFonts w:hint="default" w:ascii="Times New Roman" w:hAnsi="Times New Roman" w:cs="Times New Roman"/>
                <w:color w:val="auto"/>
                <w:szCs w:val="28"/>
                <w:highlight w:val="none"/>
                <w:u w:val="none" w:color="000000"/>
              </w:rPr>
            </w:pPr>
            <w:r>
              <w:rPr>
                <w:rFonts w:hint="default" w:ascii="Times New Roman" w:hAnsi="Times New Roman" w:cs="Times New Roman"/>
                <w:color w:val="auto"/>
                <w:highlight w:val="none"/>
              </w:rPr>
              <w:t>花池供水支管自供水干管桩号1+411.00处取水，设计取水流量0.01m</w:t>
            </w:r>
            <w:r>
              <w:rPr>
                <w:rFonts w:hint="default" w:ascii="Times New Roman" w:hAnsi="Times New Roman" w:cs="Times New Roman"/>
                <w:color w:val="auto"/>
                <w:szCs w:val="28"/>
                <w:highlight w:val="none"/>
                <w:u w:val="none" w:color="000000"/>
                <w:vertAlign w:val="superscript"/>
              </w:rPr>
              <w:t>3</w:t>
            </w:r>
            <w:r>
              <w:rPr>
                <w:rFonts w:hint="default" w:ascii="Times New Roman" w:hAnsi="Times New Roman" w:cs="Times New Roman"/>
                <w:color w:val="auto"/>
                <w:szCs w:val="28"/>
                <w:highlight w:val="none"/>
                <w:u w:val="none" w:color="000000"/>
              </w:rPr>
              <w:t>/s。</w:t>
            </w:r>
            <w:r>
              <w:rPr>
                <w:rFonts w:hint="default" w:ascii="Times New Roman" w:hAnsi="Times New Roman" w:cs="Times New Roman"/>
                <w:color w:val="auto"/>
                <w:highlight w:val="none"/>
              </w:rPr>
              <w:t>水库死水位591.00m时，进口水压标高587.00m，进口管道中心高程577.51m，</w:t>
            </w:r>
            <w:r>
              <w:rPr>
                <w:rFonts w:hint="default" w:ascii="Times New Roman" w:hAnsi="Times New Roman" w:cs="Times New Roman"/>
                <w:color w:val="auto"/>
                <w:szCs w:val="28"/>
                <w:highlight w:val="none"/>
                <w:u w:val="none" w:color="000000"/>
              </w:rPr>
              <w:t>自东向西行接入花池水厂，</w:t>
            </w:r>
            <w:r>
              <w:rPr>
                <w:rFonts w:hint="default" w:ascii="Times New Roman" w:hAnsi="Times New Roman" w:cs="Times New Roman"/>
                <w:color w:val="auto"/>
                <w:highlight w:val="none"/>
              </w:rPr>
              <w:t>出口管道中心高程614.00m。由于压力水头不足，于桩号花0+036.00处设加压泵提水。花池支管全长340m</w:t>
            </w:r>
            <w:r>
              <w:rPr>
                <w:rFonts w:hint="default" w:ascii="Times New Roman" w:hAnsi="Times New Roman" w:cs="Times New Roman"/>
                <w:color w:val="auto"/>
                <w:szCs w:val="28"/>
                <w:highlight w:val="none"/>
                <w:u w:val="none" w:color="000000"/>
              </w:rPr>
              <w:t>。</w:t>
            </w:r>
          </w:p>
          <w:p>
            <w:pPr>
              <w:spacing w:line="360" w:lineRule="auto"/>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本工程主要负责供水干管、灌溉干管及花池供水支管建设，并于灌溉干管布置给水口，灌区支管属后期配套工程。</w:t>
            </w:r>
          </w:p>
          <w:p>
            <w:pPr>
              <w:suppressAutoHyphens/>
              <w:spacing w:line="360" w:lineRule="auto"/>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经管材及管径比选，主要选用100级PE管，公称压力0.8~1.6MPa，公称直径DN450、DN400、DN315、DN110；隧洞明管段采用焊接不锈钢管，公称直径DN400，壁厚5mm。输水管道采用地埋式，管顶埋深1.0m。管底敷设0.1m厚粗砂垫层，管槽临时开挖边坡 1:0.75，管底两侧预留0.3m施工宽度。管道埋设完毕后采用原土回填至地面高程，复耕和恢复原有设施功能。管道每隔100m及转弯处、局部不良地形地质条件处设置镇墩。当管道穿越溪沟，改用焊接不锈钢管，其埋深应置于冲刷线下不小于0.5m，并采用C20混凝土包封；当管道穿路、沿现有桥梁架设时，设不锈钢套管；穿越河谷、陡坡等易受洪水或雨水冲刷地段，宜设置支墩和镇墩并采取保护措施；管线沿途每隔100m立管道标记，以便建后运行、管理和维修。</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snapToGrid w:val="0"/>
                <w:color w:val="auto"/>
                <w:sz w:val="21"/>
                <w:szCs w:val="21"/>
                <w:highlight w:val="none"/>
                <w:lang w:val="en-US" w:eastAsia="zh-CN"/>
              </w:rPr>
            </w:pPr>
            <w:r>
              <w:rPr>
                <w:rFonts w:hint="default" w:ascii="Times New Roman" w:hAnsi="Times New Roman" w:cs="Times New Roman"/>
                <w:color w:val="auto"/>
                <w:highlight w:val="none"/>
              </w:rPr>
              <w:t>于管道沿线布置阀门井、排泥阀井、排气阀井、给水口等附属建筑物。</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eastAsia="宋体" w:cs="Times New Roman"/>
                <w:b w:val="0"/>
                <w:bCs w:val="0"/>
                <w:snapToGrid w:val="0"/>
                <w:color w:val="auto"/>
                <w:sz w:val="21"/>
                <w:szCs w:val="21"/>
                <w:highlight w:val="none"/>
                <w:lang w:val="en-US" w:eastAsia="zh-CN"/>
              </w:rPr>
            </w:pPr>
            <w:r>
              <w:rPr>
                <w:rFonts w:hint="default" w:ascii="Times New Roman" w:hAnsi="Times New Roman" w:eastAsia="宋体" w:cs="Times New Roman"/>
                <w:b/>
                <w:bCs/>
                <w:snapToGrid w:val="0"/>
                <w:color w:val="auto"/>
                <w:sz w:val="21"/>
                <w:szCs w:val="21"/>
                <w:highlight w:val="none"/>
                <w:lang w:val="en-US" w:eastAsia="zh-CN"/>
              </w:rPr>
              <w:t>2.</w:t>
            </w:r>
            <w:r>
              <w:rPr>
                <w:rFonts w:hint="default" w:ascii="Times New Roman" w:hAnsi="Times New Roman" w:cs="Times New Roman"/>
                <w:b/>
                <w:bCs/>
                <w:snapToGrid w:val="0"/>
                <w:color w:val="auto"/>
                <w:sz w:val="21"/>
                <w:szCs w:val="21"/>
                <w:highlight w:val="none"/>
                <w:lang w:val="en-US" w:eastAsia="zh-CN"/>
              </w:rPr>
              <w:t>3</w:t>
            </w:r>
            <w:r>
              <w:rPr>
                <w:rFonts w:hint="default" w:ascii="Times New Roman" w:hAnsi="Times New Roman" w:eastAsia="宋体" w:cs="Times New Roman"/>
                <w:b/>
                <w:bCs/>
                <w:snapToGrid w:val="0"/>
                <w:color w:val="auto"/>
                <w:sz w:val="21"/>
                <w:szCs w:val="21"/>
                <w:highlight w:val="none"/>
                <w:lang w:val="en-US" w:eastAsia="zh-CN"/>
              </w:rPr>
              <w:t>.2</w:t>
            </w:r>
            <w:r>
              <w:rPr>
                <w:rFonts w:hint="default" w:ascii="Times New Roman" w:hAnsi="Times New Roman" w:cs="Times New Roman"/>
                <w:b/>
                <w:bCs/>
                <w:snapToGrid w:val="0"/>
                <w:color w:val="auto"/>
                <w:sz w:val="21"/>
                <w:szCs w:val="21"/>
                <w:highlight w:val="none"/>
                <w:lang w:val="en-US" w:eastAsia="zh-CN"/>
              </w:rPr>
              <w:t>辅助</w:t>
            </w:r>
            <w:r>
              <w:rPr>
                <w:rFonts w:hint="default" w:ascii="Times New Roman" w:hAnsi="Times New Roman" w:eastAsia="宋体" w:cs="Times New Roman"/>
                <w:b/>
                <w:bCs/>
                <w:snapToGrid w:val="0"/>
                <w:color w:val="auto"/>
                <w:sz w:val="21"/>
                <w:szCs w:val="21"/>
                <w:highlight w:val="none"/>
                <w:lang w:val="en-US" w:eastAsia="zh-CN"/>
              </w:rPr>
              <w:t>工程</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val="0"/>
                <w:snapToGrid w:val="0"/>
                <w:color w:val="auto"/>
                <w:sz w:val="21"/>
                <w:szCs w:val="21"/>
                <w:highlight w:val="none"/>
                <w:lang w:val="en-US" w:eastAsia="zh-CN"/>
              </w:rPr>
            </w:pPr>
            <w:r>
              <w:rPr>
                <w:rFonts w:hint="default" w:ascii="Times New Roman" w:hAnsi="Times New Roman" w:cs="Times New Roman"/>
                <w:b w:val="0"/>
                <w:bCs w:val="0"/>
                <w:snapToGrid w:val="0"/>
                <w:color w:val="auto"/>
                <w:sz w:val="21"/>
                <w:szCs w:val="21"/>
                <w:highlight w:val="none"/>
                <w:lang w:val="en-US" w:eastAsia="zh-CN"/>
              </w:rPr>
              <w:t>2.3.2.1管理房</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val="0"/>
                <w:snapToGrid w:val="0"/>
                <w:color w:val="auto"/>
                <w:sz w:val="21"/>
                <w:szCs w:val="21"/>
                <w:highlight w:val="none"/>
                <w:lang w:val="en-US" w:eastAsia="zh-CN"/>
              </w:rPr>
            </w:pPr>
            <w:r>
              <w:rPr>
                <w:rFonts w:hint="default" w:ascii="Times New Roman" w:hAnsi="Times New Roman" w:cs="Times New Roman"/>
                <w:b w:val="0"/>
                <w:bCs w:val="0"/>
                <w:snapToGrid w:val="0"/>
                <w:color w:val="auto"/>
                <w:sz w:val="21"/>
                <w:szCs w:val="21"/>
                <w:highlight w:val="none"/>
                <w:lang w:val="en-US" w:eastAsia="zh-CN"/>
              </w:rPr>
              <w:t>水库管理房布置于大坝左岸靠近上坝公路</w:t>
            </w:r>
            <w:r>
              <w:rPr>
                <w:rFonts w:hint="eastAsia" w:cs="Times New Roman"/>
                <w:b w:val="0"/>
                <w:bCs w:val="0"/>
                <w:snapToGrid w:val="0"/>
                <w:color w:val="auto"/>
                <w:sz w:val="21"/>
                <w:szCs w:val="21"/>
                <w:highlight w:val="none"/>
                <w:lang w:val="en-US" w:eastAsia="zh-CN"/>
              </w:rPr>
              <w:t>，</w:t>
            </w:r>
            <w:r>
              <w:rPr>
                <w:rFonts w:hint="eastAsia"/>
                <w:color w:val="auto"/>
                <w:highlight w:val="none"/>
              </w:rPr>
              <w:t>采用双层钢筋混凝土框架结构</w:t>
            </w:r>
            <w:r>
              <w:rPr>
                <w:rFonts w:hint="eastAsia"/>
                <w:color w:val="auto"/>
                <w:highlight w:val="none"/>
                <w:lang w:eastAsia="zh-CN"/>
              </w:rPr>
              <w:t>，</w:t>
            </w:r>
            <w:r>
              <w:rPr>
                <w:rFonts w:hint="default" w:ascii="Times New Roman" w:hAnsi="Times New Roman" w:cs="Times New Roman"/>
                <w:b w:val="0"/>
                <w:bCs w:val="0"/>
                <w:snapToGrid w:val="0"/>
                <w:color w:val="auto"/>
                <w:sz w:val="21"/>
                <w:szCs w:val="21"/>
                <w:highlight w:val="none"/>
                <w:lang w:val="en-US" w:eastAsia="zh-CN"/>
              </w:rPr>
              <w:t>建筑面积约</w:t>
            </w:r>
            <w:r>
              <w:rPr>
                <w:rFonts w:hint="eastAsia" w:cs="Times New Roman"/>
                <w:b w:val="0"/>
                <w:bCs w:val="0"/>
                <w:snapToGrid w:val="0"/>
                <w:color w:val="auto"/>
                <w:sz w:val="21"/>
                <w:szCs w:val="21"/>
                <w:highlight w:val="none"/>
                <w:lang w:val="en-US" w:eastAsia="zh-CN"/>
              </w:rPr>
              <w:t>200</w:t>
            </w:r>
            <w:r>
              <w:rPr>
                <w:rFonts w:hint="default" w:ascii="Times New Roman" w:hAnsi="Times New Roman" w:cs="Times New Roman"/>
                <w:b w:val="0"/>
                <w:bCs w:val="0"/>
                <w:snapToGrid w:val="0"/>
                <w:color w:val="auto"/>
                <w:sz w:val="21"/>
                <w:szCs w:val="21"/>
                <w:highlight w:val="none"/>
                <w:lang w:val="en-US" w:eastAsia="zh-CN"/>
              </w:rPr>
              <w:t>m</w:t>
            </w:r>
            <w:r>
              <w:rPr>
                <w:rFonts w:hint="default" w:ascii="Times New Roman" w:hAnsi="Times New Roman" w:cs="Times New Roman"/>
                <w:b w:val="0"/>
                <w:bCs w:val="0"/>
                <w:snapToGrid w:val="0"/>
                <w:color w:val="auto"/>
                <w:sz w:val="21"/>
                <w:szCs w:val="21"/>
                <w:highlight w:val="none"/>
                <w:vertAlign w:val="superscript"/>
                <w:lang w:val="en-US" w:eastAsia="zh-CN"/>
              </w:rPr>
              <w:t>2</w:t>
            </w:r>
            <w:r>
              <w:rPr>
                <w:rFonts w:hint="default" w:ascii="Times New Roman" w:hAnsi="Times New Roman" w:cs="Times New Roman"/>
                <w:b w:val="0"/>
                <w:bCs w:val="0"/>
                <w:snapToGrid w:val="0"/>
                <w:color w:val="auto"/>
                <w:sz w:val="21"/>
                <w:szCs w:val="21"/>
                <w:highlight w:val="none"/>
                <w:lang w:val="en-US" w:eastAsia="zh-CN"/>
              </w:rPr>
              <w:t>，建筑高度</w:t>
            </w:r>
            <w:r>
              <w:rPr>
                <w:rFonts w:hint="eastAsia" w:cs="Times New Roman"/>
                <w:b w:val="0"/>
                <w:bCs w:val="0"/>
                <w:snapToGrid w:val="0"/>
                <w:color w:val="auto"/>
                <w:sz w:val="21"/>
                <w:szCs w:val="21"/>
                <w:highlight w:val="none"/>
                <w:lang w:val="en-US" w:eastAsia="zh-CN"/>
              </w:rPr>
              <w:t>约9</w:t>
            </w:r>
            <w:r>
              <w:rPr>
                <w:rFonts w:hint="default" w:ascii="Times New Roman" w:hAnsi="Times New Roman" w:cs="Times New Roman"/>
                <w:b w:val="0"/>
                <w:bCs w:val="0"/>
                <w:snapToGrid w:val="0"/>
                <w:color w:val="auto"/>
                <w:sz w:val="21"/>
                <w:szCs w:val="21"/>
                <w:highlight w:val="none"/>
                <w:lang w:val="en-US" w:eastAsia="zh-CN"/>
              </w:rPr>
              <w:t>m，</w:t>
            </w:r>
            <w:r>
              <w:rPr>
                <w:rFonts w:hint="eastAsia" w:cs="Times New Roman"/>
                <w:b w:val="0"/>
                <w:bCs w:val="0"/>
                <w:snapToGrid w:val="0"/>
                <w:color w:val="auto"/>
                <w:sz w:val="21"/>
                <w:szCs w:val="21"/>
                <w:highlight w:val="none"/>
                <w:lang w:val="en-US" w:eastAsia="zh-CN"/>
              </w:rPr>
              <w:t>地上二层。</w:t>
            </w:r>
            <w:r>
              <w:rPr>
                <w:rFonts w:hint="default" w:ascii="Times New Roman" w:hAnsi="Times New Roman" w:cs="Times New Roman"/>
                <w:b w:val="0"/>
                <w:bCs w:val="0"/>
                <w:snapToGrid w:val="0"/>
                <w:color w:val="auto"/>
                <w:sz w:val="21"/>
                <w:szCs w:val="21"/>
                <w:highlight w:val="none"/>
                <w:lang w:val="en-US" w:eastAsia="zh-CN"/>
              </w:rPr>
              <w:t>建筑耐久年限为50年，耐火等级为二级，屋面防水等级为</w:t>
            </w:r>
            <w:r>
              <w:rPr>
                <w:rFonts w:hint="eastAsia" w:cs="Times New Roman"/>
                <w:b w:val="0"/>
                <w:bCs w:val="0"/>
                <w:snapToGrid w:val="0"/>
                <w:color w:val="auto"/>
                <w:sz w:val="21"/>
                <w:szCs w:val="21"/>
                <w:highlight w:val="none"/>
                <w:lang w:val="en-US" w:eastAsia="zh-CN"/>
              </w:rPr>
              <w:t>三</w:t>
            </w:r>
            <w:r>
              <w:rPr>
                <w:rFonts w:hint="default" w:ascii="Times New Roman" w:hAnsi="Times New Roman" w:cs="Times New Roman"/>
                <w:b w:val="0"/>
                <w:bCs w:val="0"/>
                <w:snapToGrid w:val="0"/>
                <w:color w:val="auto"/>
                <w:sz w:val="21"/>
                <w:szCs w:val="21"/>
                <w:highlight w:val="none"/>
                <w:lang w:val="en-US" w:eastAsia="zh-CN"/>
              </w:rPr>
              <w:t>级。</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val="0"/>
                <w:snapToGrid w:val="0"/>
                <w:color w:val="auto"/>
                <w:sz w:val="21"/>
                <w:szCs w:val="21"/>
                <w:highlight w:val="none"/>
                <w:lang w:val="en-US" w:eastAsia="zh-CN"/>
              </w:rPr>
            </w:pPr>
            <w:r>
              <w:rPr>
                <w:rFonts w:hint="default" w:ascii="Times New Roman" w:hAnsi="Times New Roman" w:cs="Times New Roman"/>
                <w:b w:val="0"/>
                <w:bCs w:val="0"/>
                <w:snapToGrid w:val="0"/>
                <w:color w:val="auto"/>
                <w:sz w:val="21"/>
                <w:szCs w:val="21"/>
                <w:highlight w:val="none"/>
                <w:lang w:val="en-US" w:eastAsia="zh-CN"/>
              </w:rPr>
              <w:t>2.3.2.2上坝公路</w:t>
            </w:r>
          </w:p>
          <w:p>
            <w:pPr>
              <w:suppressAutoHyphens/>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bidi="en-US"/>
              </w:rPr>
              <w:t>在大坝左岸新建上坝公路0.60km，连接至乡道。</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val="0"/>
                <w:snapToGrid w:val="0"/>
                <w:color w:val="auto"/>
                <w:sz w:val="21"/>
                <w:szCs w:val="21"/>
                <w:highlight w:val="none"/>
                <w:lang w:val="en-US" w:eastAsia="zh-CN"/>
              </w:rPr>
            </w:pPr>
            <w:r>
              <w:rPr>
                <w:rFonts w:hint="default" w:ascii="Times New Roman" w:hAnsi="Times New Roman" w:cs="Times New Roman"/>
                <w:color w:val="auto"/>
                <w:highlight w:val="none"/>
              </w:rPr>
              <w:t>上坝公路路基永临结合，前期为施工临时道路，后期利用施工临时道路作路基。上坝公路路基宽5m，路面宽4m，两侧设置0.5m宽C20混凝土路肩，路面沿道路中心线向两侧放坡，坡度为2%。路面结构为：20cm厚 C25混凝土面层+20cm厚碎石垫层。路堤段两侧设置安全栏杆，路堑段两侧设置 C20 混凝土排水沟，半路堤半路堑段路堑侧设置 C20 混凝土排水沟，路堤侧设置安全栏杆。路堤段为开挖料回填。公路边坡采用挂网锚喷支护，锚杆直径Φ25，长5m，间距2.5m，梅花形布置，钢筋网Φ6.5@20×20cm，喷10cm厚的C20混凝土；</w:t>
            </w:r>
            <w:r>
              <w:rPr>
                <w:rFonts w:hint="eastAsia" w:cs="Times New Roman"/>
                <w:color w:val="auto"/>
                <w:highlight w:val="none"/>
                <w:lang w:eastAsia="zh-CN"/>
              </w:rPr>
              <w:t>梅花形布置</w:t>
            </w:r>
            <w:r>
              <w:rPr>
                <w:rFonts w:hint="default" w:ascii="Times New Roman" w:hAnsi="Times New Roman" w:cs="Times New Roman"/>
                <w:color w:val="auto"/>
                <w:highlight w:val="none"/>
              </w:rPr>
              <w:t>φ5cmPVC排水管</w:t>
            </w:r>
            <w:r>
              <w:rPr>
                <w:rFonts w:hint="eastAsia" w:cs="Times New Roman"/>
                <w:color w:val="auto"/>
                <w:highlight w:val="none"/>
                <w:lang w:eastAsia="zh-CN"/>
              </w:rPr>
              <w:t>，</w:t>
            </w:r>
            <w:r>
              <w:rPr>
                <w:rFonts w:hint="default" w:ascii="Times New Roman" w:hAnsi="Times New Roman" w:cs="Times New Roman"/>
                <w:color w:val="auto"/>
                <w:highlight w:val="none"/>
              </w:rPr>
              <w:t xml:space="preserve"> 间距3m。</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eastAsia="宋体" w:cs="Times New Roman"/>
                <w:b/>
                <w:bCs/>
                <w:snapToGrid w:val="0"/>
                <w:color w:val="auto"/>
                <w:sz w:val="21"/>
                <w:szCs w:val="21"/>
                <w:highlight w:val="none"/>
                <w:lang w:val="en-US" w:eastAsia="zh-CN"/>
              </w:rPr>
            </w:pPr>
            <w:r>
              <w:rPr>
                <w:rFonts w:hint="default" w:ascii="Times New Roman" w:hAnsi="Times New Roman" w:eastAsia="宋体" w:cs="Times New Roman"/>
                <w:b/>
                <w:bCs/>
                <w:snapToGrid w:val="0"/>
                <w:color w:val="auto"/>
                <w:sz w:val="21"/>
                <w:szCs w:val="21"/>
                <w:highlight w:val="none"/>
                <w:lang w:val="en-US" w:eastAsia="zh-CN"/>
              </w:rPr>
              <w:t>2.</w:t>
            </w:r>
            <w:r>
              <w:rPr>
                <w:rFonts w:hint="default" w:ascii="Times New Roman" w:hAnsi="Times New Roman" w:cs="Times New Roman"/>
                <w:b/>
                <w:bCs/>
                <w:snapToGrid w:val="0"/>
                <w:color w:val="auto"/>
                <w:sz w:val="21"/>
                <w:szCs w:val="21"/>
                <w:highlight w:val="none"/>
                <w:lang w:val="en-US" w:eastAsia="zh-CN"/>
              </w:rPr>
              <w:t>3</w:t>
            </w:r>
            <w:r>
              <w:rPr>
                <w:rFonts w:hint="default" w:ascii="Times New Roman" w:hAnsi="Times New Roman" w:eastAsia="宋体" w:cs="Times New Roman"/>
                <w:b/>
                <w:bCs/>
                <w:snapToGrid w:val="0"/>
                <w:color w:val="auto"/>
                <w:sz w:val="21"/>
                <w:szCs w:val="21"/>
                <w:highlight w:val="none"/>
                <w:lang w:val="en-US" w:eastAsia="zh-CN"/>
              </w:rPr>
              <w:t>.</w:t>
            </w:r>
            <w:r>
              <w:rPr>
                <w:rFonts w:hint="default" w:ascii="Times New Roman" w:hAnsi="Times New Roman" w:cs="Times New Roman"/>
                <w:b/>
                <w:bCs/>
                <w:snapToGrid w:val="0"/>
                <w:color w:val="auto"/>
                <w:sz w:val="21"/>
                <w:szCs w:val="21"/>
                <w:highlight w:val="none"/>
                <w:lang w:val="en-US" w:eastAsia="zh-CN"/>
              </w:rPr>
              <w:t>3</w:t>
            </w:r>
            <w:r>
              <w:rPr>
                <w:rFonts w:hint="default" w:ascii="Times New Roman" w:hAnsi="Times New Roman" w:eastAsia="宋体" w:cs="Times New Roman"/>
                <w:b/>
                <w:bCs/>
                <w:snapToGrid w:val="0"/>
                <w:color w:val="auto"/>
                <w:sz w:val="21"/>
                <w:szCs w:val="21"/>
                <w:highlight w:val="none"/>
                <w:lang w:val="en-US" w:eastAsia="zh-CN"/>
              </w:rPr>
              <w:t>临时工程</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2.3.3.1</w:t>
            </w:r>
            <w:r>
              <w:rPr>
                <w:rFonts w:hint="default" w:ascii="Times New Roman" w:hAnsi="Times New Roman" w:eastAsia="宋体" w:cs="Times New Roman"/>
                <w:snapToGrid w:val="0"/>
                <w:color w:val="auto"/>
                <w:sz w:val="21"/>
                <w:szCs w:val="21"/>
                <w:highlight w:val="none"/>
                <w:lang w:val="en-US" w:eastAsia="zh-CN"/>
              </w:rPr>
              <w:t>施工</w:t>
            </w:r>
            <w:r>
              <w:rPr>
                <w:rFonts w:hint="default" w:ascii="Times New Roman" w:hAnsi="Times New Roman" w:cs="Times New Roman"/>
                <w:snapToGrid w:val="0"/>
                <w:color w:val="auto"/>
                <w:sz w:val="21"/>
                <w:szCs w:val="21"/>
                <w:highlight w:val="none"/>
                <w:lang w:val="en-US" w:eastAsia="zh-CN"/>
              </w:rPr>
              <w:t>道路</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1、</w:t>
            </w:r>
            <w:r>
              <w:rPr>
                <w:color w:val="auto"/>
                <w:highlight w:val="none"/>
              </w:rPr>
              <w:t>对外交通</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snapToGrid w:val="0"/>
                <w:color w:val="auto"/>
                <w:sz w:val="21"/>
                <w:szCs w:val="21"/>
                <w:highlight w:val="none"/>
                <w:lang w:val="en-US" w:eastAsia="zh-CN"/>
              </w:rPr>
            </w:pPr>
            <w:r>
              <w:rPr>
                <w:rFonts w:hint="eastAsia"/>
                <w:color w:val="auto"/>
                <w:highlight w:val="none"/>
              </w:rPr>
              <w:t>堰沟</w:t>
            </w:r>
            <w:r>
              <w:rPr>
                <w:color w:val="auto"/>
                <w:highlight w:val="none"/>
              </w:rPr>
              <w:t>水库</w:t>
            </w:r>
            <w:r>
              <w:rPr>
                <w:rFonts w:hint="eastAsia"/>
                <w:color w:val="auto"/>
                <w:highlight w:val="none"/>
              </w:rPr>
              <w:t>枢纽</w:t>
            </w:r>
            <w:r>
              <w:rPr>
                <w:color w:val="auto"/>
                <w:highlight w:val="none"/>
              </w:rPr>
              <w:t>距离</w:t>
            </w:r>
            <w:r>
              <w:rPr>
                <w:rFonts w:hint="eastAsia"/>
                <w:color w:val="auto"/>
                <w:highlight w:val="none"/>
              </w:rPr>
              <w:t>达州市80</w:t>
            </w:r>
            <w:r>
              <w:rPr>
                <w:color w:val="auto"/>
                <w:highlight w:val="none"/>
              </w:rPr>
              <w:t>km</w:t>
            </w:r>
            <w:r>
              <w:rPr>
                <w:rFonts w:hint="eastAsia"/>
                <w:color w:val="auto"/>
                <w:highlight w:val="none"/>
              </w:rPr>
              <w:t>，距离宣汉县城50km</w:t>
            </w:r>
            <w:r>
              <w:rPr>
                <w:color w:val="auto"/>
                <w:highlight w:val="none"/>
              </w:rPr>
              <w:t>。</w:t>
            </w:r>
            <w:r>
              <w:rPr>
                <w:rFonts w:hint="eastAsia"/>
                <w:color w:val="auto"/>
                <w:highlight w:val="none"/>
              </w:rPr>
              <w:t>其中左坝肩至S</w:t>
            </w:r>
            <w:r>
              <w:rPr>
                <w:color w:val="auto"/>
                <w:highlight w:val="none"/>
              </w:rPr>
              <w:t>40</w:t>
            </w:r>
            <w:r>
              <w:rPr>
                <w:rFonts w:hint="eastAsia"/>
                <w:color w:val="auto"/>
                <w:highlight w:val="none"/>
              </w:rPr>
              <w:t>3省道0.5km，为混凝土路面，宽2.0</w:t>
            </w:r>
            <w:r>
              <w:rPr>
                <w:rFonts w:hint="eastAsia" w:ascii="宋体"/>
                <w:color w:val="auto"/>
                <w:highlight w:val="none"/>
              </w:rPr>
              <w:t>～</w:t>
            </w:r>
            <w:r>
              <w:rPr>
                <w:rFonts w:hint="eastAsia"/>
                <w:color w:val="auto"/>
                <w:highlight w:val="none"/>
              </w:rPr>
              <w:t>3.0m，需扩建；S</w:t>
            </w:r>
            <w:r>
              <w:rPr>
                <w:color w:val="auto"/>
                <w:highlight w:val="none"/>
              </w:rPr>
              <w:t>40</w:t>
            </w:r>
            <w:r>
              <w:rPr>
                <w:rFonts w:hint="eastAsia"/>
                <w:color w:val="auto"/>
                <w:highlight w:val="none"/>
              </w:rPr>
              <w:t>3省道至花池乡4km，为混凝土路面，宽4.5m</w:t>
            </w:r>
            <w:r>
              <w:rPr>
                <w:color w:val="auto"/>
                <w:highlight w:val="none"/>
              </w:rPr>
              <w:t>。工程区附近有</w:t>
            </w:r>
            <w:r>
              <w:rPr>
                <w:rFonts w:hint="eastAsia"/>
                <w:color w:val="auto"/>
                <w:highlight w:val="none"/>
              </w:rPr>
              <w:t>恩广高速（G5012）、包茂高速（G65）、国道（G210）、省道S201，县道X1692通过</w:t>
            </w:r>
            <w:r>
              <w:rPr>
                <w:color w:val="auto"/>
                <w:highlight w:val="none"/>
              </w:rPr>
              <w:t>，</w:t>
            </w:r>
            <w:r>
              <w:rPr>
                <w:rFonts w:hint="eastAsia"/>
                <w:color w:val="auto"/>
                <w:highlight w:val="none"/>
              </w:rPr>
              <w:t>工区附近有襄渝铁路通过，最近的铁路站为宣汉站，距工区约10km，</w:t>
            </w:r>
            <w:r>
              <w:rPr>
                <w:color w:val="auto"/>
                <w:highlight w:val="none"/>
              </w:rPr>
              <w:t>交通较为方便。</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2、</w:t>
            </w:r>
            <w:r>
              <w:rPr>
                <w:color w:val="auto"/>
                <w:highlight w:val="none"/>
              </w:rPr>
              <w:t>场内交通</w:t>
            </w:r>
          </w:p>
          <w:p>
            <w:pPr>
              <w:pStyle w:val="99"/>
              <w:spacing w:line="360" w:lineRule="auto"/>
              <w:ind w:firstLine="48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水库枢纽共新、扩建公路1.85km（新建1.33km，扩建0.52km）；补水工程共新、扩建公路1.52km（新建0.72km，扩建0.80km）。公路按四级标准设计，最大纵坡9%，路基宽4.5</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5m，路面宽3.5</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4m，采用泥结碎石路面。</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color w:val="auto"/>
                <w:sz w:val="21"/>
                <w:szCs w:val="21"/>
                <w:highlight w:val="none"/>
              </w:rPr>
              <w:t>灌区工程共新、扩建公路3.44km（其中新建公路3.09km，扩建公路0.35km），公路按四级标准设计，最大纵坡9%，路基宽4.5m，路面宽3.5m，采用泥结碎石路面。</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2.3.3.</w:t>
            </w:r>
            <w:r>
              <w:rPr>
                <w:rFonts w:hint="eastAsia" w:cs="Times New Roman"/>
                <w:snapToGrid w:val="0"/>
                <w:color w:val="auto"/>
                <w:sz w:val="21"/>
                <w:szCs w:val="21"/>
                <w:highlight w:val="none"/>
                <w:lang w:val="en-US" w:eastAsia="zh-CN"/>
              </w:rPr>
              <w:t>2</w:t>
            </w:r>
            <w:r>
              <w:rPr>
                <w:rFonts w:hint="default" w:ascii="Times New Roman" w:hAnsi="Times New Roman" w:cs="Times New Roman"/>
                <w:snapToGrid w:val="0"/>
                <w:color w:val="auto"/>
                <w:sz w:val="21"/>
                <w:szCs w:val="21"/>
                <w:highlight w:val="none"/>
                <w:lang w:val="en-US" w:eastAsia="zh-CN"/>
              </w:rPr>
              <w:t>施工</w:t>
            </w:r>
            <w:r>
              <w:rPr>
                <w:rFonts w:hint="eastAsia" w:cs="Times New Roman"/>
                <w:snapToGrid w:val="0"/>
                <w:color w:val="auto"/>
                <w:sz w:val="21"/>
                <w:szCs w:val="21"/>
                <w:highlight w:val="none"/>
                <w:lang w:val="en-US" w:eastAsia="zh-CN"/>
              </w:rPr>
              <w:t>工程</w:t>
            </w:r>
            <w:r>
              <w:rPr>
                <w:rFonts w:hint="default" w:ascii="Times New Roman" w:hAnsi="Times New Roman" w:cs="Times New Roman"/>
                <w:snapToGrid w:val="0"/>
                <w:color w:val="auto"/>
                <w:sz w:val="21"/>
                <w:szCs w:val="21"/>
                <w:highlight w:val="none"/>
                <w:lang w:val="en-US" w:eastAsia="zh-CN"/>
              </w:rPr>
              <w:t>设施</w:t>
            </w:r>
          </w:p>
          <w:p>
            <w:pPr>
              <w:pStyle w:val="99"/>
              <w:spacing w:line="360" w:lineRule="auto"/>
              <w:ind w:firstLine="48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（1）砂石加工系统</w:t>
            </w:r>
          </w:p>
          <w:p>
            <w:pPr>
              <w:pStyle w:val="99"/>
              <w:spacing w:line="360" w:lineRule="auto"/>
              <w:ind w:firstLine="48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本工程砂石料在40km外的万源</w:t>
            </w:r>
            <w:r>
              <w:rPr>
                <w:rFonts w:hint="eastAsia" w:cs="Times New Roman"/>
                <w:color w:val="auto"/>
                <w:sz w:val="21"/>
                <w:szCs w:val="21"/>
                <w:highlight w:val="none"/>
                <w:lang w:eastAsia="zh-CN"/>
              </w:rPr>
              <w:t>市</w:t>
            </w:r>
            <w:r>
              <w:rPr>
                <w:rFonts w:hint="default" w:ascii="Times New Roman" w:hAnsi="Times New Roman" w:eastAsia="宋体" w:cs="Times New Roman"/>
                <w:color w:val="auto"/>
                <w:sz w:val="21"/>
                <w:szCs w:val="21"/>
                <w:highlight w:val="none"/>
              </w:rPr>
              <w:t>罗文镇购买砂卵石料场购买，故工区不再设置砂石加工系统。</w:t>
            </w:r>
          </w:p>
          <w:p>
            <w:pPr>
              <w:pStyle w:val="99"/>
              <w:spacing w:line="360" w:lineRule="auto"/>
              <w:ind w:firstLine="48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（2）砼</w:t>
            </w:r>
            <w:r>
              <w:rPr>
                <w:rFonts w:hint="eastAsia" w:cs="Times New Roman"/>
                <w:color w:val="auto"/>
                <w:sz w:val="21"/>
                <w:szCs w:val="21"/>
                <w:highlight w:val="none"/>
                <w:lang w:eastAsia="zh-CN"/>
              </w:rPr>
              <w:t>拌合</w:t>
            </w:r>
            <w:r>
              <w:rPr>
                <w:rFonts w:hint="default" w:ascii="Times New Roman" w:hAnsi="Times New Roman" w:eastAsia="宋体" w:cs="Times New Roman"/>
                <w:color w:val="auto"/>
                <w:sz w:val="21"/>
                <w:szCs w:val="21"/>
                <w:highlight w:val="none"/>
              </w:rPr>
              <w:t>系统</w:t>
            </w:r>
          </w:p>
          <w:p>
            <w:pPr>
              <w:pStyle w:val="99"/>
              <w:spacing w:line="360" w:lineRule="auto"/>
              <w:ind w:firstLine="48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水库枢纽区：水库枢纽工程布置相对集中，混凝土用料相对集中，布置混凝土</w:t>
            </w:r>
            <w:r>
              <w:rPr>
                <w:rFonts w:hint="eastAsia" w:cs="Times New Roman"/>
                <w:color w:val="auto"/>
                <w:sz w:val="21"/>
                <w:szCs w:val="21"/>
                <w:highlight w:val="none"/>
                <w:lang w:eastAsia="zh-CN"/>
              </w:rPr>
              <w:t>拌和站</w:t>
            </w:r>
            <w:r>
              <w:rPr>
                <w:rFonts w:hint="default" w:ascii="Times New Roman" w:hAnsi="Times New Roman" w:eastAsia="宋体" w:cs="Times New Roman"/>
                <w:color w:val="auto"/>
                <w:sz w:val="21"/>
                <w:szCs w:val="21"/>
                <w:highlight w:val="none"/>
              </w:rPr>
              <w:t>1座，位于大坝下游左岸。设置4台0.75m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强制式</w:t>
            </w:r>
            <w:r>
              <w:rPr>
                <w:rFonts w:hint="eastAsia" w:cs="Times New Roman"/>
                <w:color w:val="auto"/>
                <w:sz w:val="21"/>
                <w:szCs w:val="21"/>
                <w:highlight w:val="none"/>
                <w:lang w:eastAsia="zh-CN"/>
              </w:rPr>
              <w:t>拌和机</w:t>
            </w:r>
            <w:r>
              <w:rPr>
                <w:rFonts w:hint="default" w:ascii="Times New Roman" w:hAnsi="Times New Roman" w:eastAsia="宋体" w:cs="Times New Roman"/>
                <w:color w:val="auto"/>
                <w:sz w:val="21"/>
                <w:szCs w:val="21"/>
                <w:highlight w:val="none"/>
              </w:rPr>
              <w:t>，供应大坝、上坝公路、管理房等混凝土浇筑。</w:t>
            </w:r>
          </w:p>
          <w:p>
            <w:pPr>
              <w:pStyle w:val="99"/>
              <w:spacing w:line="360" w:lineRule="auto"/>
              <w:ind w:firstLine="48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补水工程区：补水拦河堰混凝土浇筑工程量较小，补水渠混凝土浇筑沿线分布，布置移动混凝</w:t>
            </w:r>
            <w:r>
              <w:rPr>
                <w:rFonts w:hint="eastAsia" w:cs="Times New Roman"/>
                <w:color w:val="auto"/>
                <w:sz w:val="21"/>
                <w:szCs w:val="21"/>
                <w:highlight w:val="none"/>
                <w:lang w:eastAsia="zh-CN"/>
              </w:rPr>
              <w:t>土拌和站</w:t>
            </w:r>
            <w:r>
              <w:rPr>
                <w:rFonts w:hint="default" w:ascii="Times New Roman" w:hAnsi="Times New Roman" w:eastAsia="宋体" w:cs="Times New Roman"/>
                <w:color w:val="auto"/>
                <w:sz w:val="21"/>
                <w:szCs w:val="21"/>
                <w:highlight w:val="none"/>
              </w:rPr>
              <w:t>，站内设置2台0.4m</w:t>
            </w:r>
            <w:r>
              <w:rPr>
                <w:rFonts w:hint="default" w:ascii="Times New Roman" w:hAnsi="Times New Roman" w:eastAsia="宋体" w:cs="Times New Roman"/>
                <w:color w:val="auto"/>
                <w:sz w:val="21"/>
                <w:szCs w:val="21"/>
                <w:highlight w:val="none"/>
                <w:vertAlign w:val="superscript"/>
              </w:rPr>
              <w:t>3</w:t>
            </w:r>
            <w:r>
              <w:rPr>
                <w:rFonts w:hint="eastAsia" w:cs="Times New Roman"/>
                <w:color w:val="auto"/>
                <w:sz w:val="21"/>
                <w:szCs w:val="21"/>
                <w:highlight w:val="none"/>
                <w:vertAlign w:val="superscript"/>
                <w:lang w:eastAsia="zh-CN"/>
              </w:rPr>
              <w:t>拌和机</w:t>
            </w:r>
            <w:r>
              <w:rPr>
                <w:rFonts w:hint="default" w:ascii="Times New Roman" w:hAnsi="Times New Roman" w:eastAsia="宋体" w:cs="Times New Roman"/>
                <w:color w:val="auto"/>
                <w:sz w:val="21"/>
                <w:szCs w:val="21"/>
                <w:highlight w:val="none"/>
              </w:rPr>
              <w:t>，供应拦河堰、管线沿途混凝土浇筑。</w:t>
            </w:r>
          </w:p>
          <w:p>
            <w:pPr>
              <w:pStyle w:val="99"/>
              <w:spacing w:line="360" w:lineRule="auto"/>
              <w:ind w:firstLine="48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灌区输水管道混凝土浇筑沿线分布，分区设置移动</w:t>
            </w:r>
            <w:r>
              <w:rPr>
                <w:rFonts w:hint="eastAsia" w:cs="Times New Roman"/>
                <w:color w:val="auto"/>
                <w:sz w:val="21"/>
                <w:szCs w:val="21"/>
                <w:highlight w:val="none"/>
                <w:lang w:eastAsia="zh-CN"/>
              </w:rPr>
              <w:t>拌和站</w:t>
            </w:r>
            <w:r>
              <w:rPr>
                <w:rFonts w:hint="default" w:ascii="Times New Roman" w:hAnsi="Times New Roman" w:eastAsia="宋体" w:cs="Times New Roman"/>
                <w:color w:val="auto"/>
                <w:sz w:val="21"/>
                <w:szCs w:val="21"/>
                <w:highlight w:val="none"/>
              </w:rPr>
              <w:t>共2座，各站内设置2台0.4m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混凝土</w:t>
            </w:r>
            <w:r>
              <w:rPr>
                <w:rFonts w:hint="eastAsia" w:cs="Times New Roman"/>
                <w:color w:val="auto"/>
                <w:sz w:val="21"/>
                <w:szCs w:val="21"/>
                <w:highlight w:val="none"/>
                <w:lang w:eastAsia="zh-CN"/>
              </w:rPr>
              <w:t>拌和机</w:t>
            </w:r>
            <w:r>
              <w:rPr>
                <w:rFonts w:hint="default" w:ascii="Times New Roman" w:hAnsi="Times New Roman" w:eastAsia="宋体" w:cs="Times New Roman"/>
                <w:color w:val="auto"/>
                <w:sz w:val="21"/>
                <w:szCs w:val="21"/>
                <w:highlight w:val="none"/>
              </w:rPr>
              <w:t>，供应输水管线沿途混凝土浇筑。</w:t>
            </w:r>
          </w:p>
          <w:p>
            <w:pPr>
              <w:pStyle w:val="99"/>
              <w:spacing w:line="360" w:lineRule="auto"/>
              <w:ind w:firstLine="48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（3）机械修配及综合加工系统</w:t>
            </w:r>
          </w:p>
          <w:p>
            <w:pPr>
              <w:pStyle w:val="99"/>
              <w:spacing w:line="360" w:lineRule="auto"/>
              <w:ind w:firstLine="48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工程区距宣汉县胡家镇城区较近，交通较方便，具有一定的加工修配能力，在工地只设小型修配加工及汽车保养设施。在坝址施工区附近设置钢筋、木模综合加工系统，和机修、修钎、汽保等修配、金工车间。</w:t>
            </w:r>
          </w:p>
          <w:p>
            <w:pPr>
              <w:pStyle w:val="99"/>
              <w:spacing w:line="360" w:lineRule="auto"/>
              <w:ind w:firstLine="48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灌区工程在各生产、生活区内设置钢筋、木材综合加工厂，承担各工区的钢筋、木材加工任务。</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2.3.3.4弃渣场</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枢纽工程</w:t>
            </w:r>
            <w:r>
              <w:rPr>
                <w:color w:val="auto"/>
                <w:highlight w:val="none"/>
              </w:rPr>
              <w:t>弃渣</w:t>
            </w:r>
            <w:r>
              <w:rPr>
                <w:rFonts w:hint="eastAsia"/>
                <w:color w:val="auto"/>
                <w:highlight w:val="none"/>
                <w:lang w:val="en-US" w:eastAsia="zh-CN"/>
              </w:rPr>
              <w:t>设置</w:t>
            </w:r>
            <w:r>
              <w:rPr>
                <w:color w:val="auto"/>
                <w:highlight w:val="none"/>
              </w:rPr>
              <w:t>1#渣场</w:t>
            </w:r>
            <w:r>
              <w:rPr>
                <w:rFonts w:hint="eastAsia"/>
                <w:color w:val="auto"/>
                <w:highlight w:val="none"/>
              </w:rPr>
              <w:t>堆放，</w:t>
            </w:r>
            <w:r>
              <w:rPr>
                <w:color w:val="auto"/>
                <w:highlight w:val="none"/>
              </w:rPr>
              <w:t>位于</w:t>
            </w:r>
            <w:r>
              <w:rPr>
                <w:rFonts w:hint="eastAsia"/>
                <w:color w:val="auto"/>
                <w:highlight w:val="none"/>
              </w:rPr>
              <w:t>大坝下游主沟左岸冲沟，运距1</w:t>
            </w:r>
            <w:r>
              <w:rPr>
                <w:color w:val="auto"/>
                <w:highlight w:val="none"/>
              </w:rPr>
              <w:t>.5</w:t>
            </w:r>
            <w:r>
              <w:rPr>
                <w:rFonts w:hint="eastAsia"/>
                <w:color w:val="auto"/>
                <w:highlight w:val="none"/>
              </w:rPr>
              <w:t>km，</w:t>
            </w:r>
            <w:r>
              <w:rPr>
                <w:color w:val="auto"/>
                <w:highlight w:val="none"/>
              </w:rPr>
              <w:t>占地24.75</w:t>
            </w:r>
            <w:r>
              <w:rPr>
                <w:rFonts w:hint="eastAsia"/>
                <w:color w:val="auto"/>
                <w:highlight w:val="none"/>
              </w:rPr>
              <w:t>亩。</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snapToGrid w:val="0"/>
                <w:color w:val="auto"/>
                <w:sz w:val="21"/>
                <w:szCs w:val="21"/>
                <w:highlight w:val="none"/>
                <w:lang w:val="en-US" w:eastAsia="zh-CN"/>
              </w:rPr>
            </w:pPr>
            <w:r>
              <w:rPr>
                <w:rFonts w:hint="eastAsia"/>
                <w:color w:val="auto"/>
                <w:highlight w:val="none"/>
              </w:rPr>
              <w:t>补水工程</w:t>
            </w:r>
            <w:r>
              <w:rPr>
                <w:color w:val="auto"/>
                <w:highlight w:val="none"/>
              </w:rPr>
              <w:t>弃渣</w:t>
            </w:r>
            <w:r>
              <w:rPr>
                <w:rFonts w:hint="eastAsia"/>
                <w:color w:val="auto"/>
                <w:highlight w:val="none"/>
                <w:lang w:val="en-US" w:eastAsia="zh-CN"/>
              </w:rPr>
              <w:t>设置</w:t>
            </w:r>
            <w:r>
              <w:rPr>
                <w:color w:val="auto"/>
                <w:highlight w:val="none"/>
              </w:rPr>
              <w:t>2#渣场</w:t>
            </w:r>
            <w:r>
              <w:rPr>
                <w:rFonts w:hint="eastAsia"/>
                <w:color w:val="auto"/>
                <w:highlight w:val="none"/>
              </w:rPr>
              <w:t>堆放，</w:t>
            </w:r>
            <w:r>
              <w:rPr>
                <w:color w:val="auto"/>
                <w:highlight w:val="none"/>
              </w:rPr>
              <w:t>位于</w:t>
            </w:r>
            <w:r>
              <w:rPr>
                <w:rFonts w:hint="eastAsia"/>
                <w:color w:val="auto"/>
                <w:highlight w:val="none"/>
              </w:rPr>
              <w:t>拦河堰下游500m处，</w:t>
            </w:r>
            <w:r>
              <w:rPr>
                <w:color w:val="auto"/>
                <w:highlight w:val="none"/>
              </w:rPr>
              <w:t>占地5.72</w:t>
            </w:r>
            <w:r>
              <w:rPr>
                <w:rFonts w:hint="eastAsia"/>
                <w:color w:val="auto"/>
                <w:highlight w:val="none"/>
              </w:rPr>
              <w:t>亩，主要</w:t>
            </w:r>
            <w:r>
              <w:rPr>
                <w:color w:val="auto"/>
                <w:highlight w:val="none"/>
              </w:rPr>
              <w:t>用于堆放</w:t>
            </w:r>
            <w:r>
              <w:rPr>
                <w:rFonts w:hint="eastAsia"/>
                <w:color w:val="auto"/>
                <w:highlight w:val="none"/>
              </w:rPr>
              <w:t>补</w:t>
            </w:r>
            <w:r>
              <w:rPr>
                <w:color w:val="auto"/>
                <w:highlight w:val="none"/>
              </w:rPr>
              <w:t>水</w:t>
            </w:r>
            <w:r>
              <w:rPr>
                <w:rFonts w:hint="eastAsia"/>
                <w:color w:val="auto"/>
                <w:highlight w:val="none"/>
              </w:rPr>
              <w:t>拦河堰</w:t>
            </w:r>
            <w:r>
              <w:rPr>
                <w:color w:val="auto"/>
                <w:highlight w:val="none"/>
              </w:rPr>
              <w:t>开挖弃渣待工程完工后进行复耕</w:t>
            </w:r>
            <w:r>
              <w:rPr>
                <w:rFonts w:hint="eastAsia"/>
                <w:color w:val="auto"/>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color w:val="auto"/>
                <w:sz w:val="21"/>
                <w:szCs w:val="21"/>
                <w:highlight w:val="none"/>
              </w:rPr>
              <w:t>灌区输水管道每延米开挖量较小，沿线多为裸土地和耕地，难于布置弃渣场，为减少新增占地，将管道沿线多余开挖料原地整平。隧洞段弃渣</w:t>
            </w:r>
            <w:r>
              <w:rPr>
                <w:rFonts w:hint="eastAsia" w:ascii="Times New Roman" w:hAnsi="Times New Roman" w:cs="Times New Roman"/>
                <w:color w:val="auto"/>
                <w:sz w:val="21"/>
                <w:szCs w:val="21"/>
                <w:highlight w:val="none"/>
                <w:lang w:val="en-US" w:eastAsia="zh-CN"/>
              </w:rPr>
              <w:t>设置</w:t>
            </w:r>
            <w:r>
              <w:rPr>
                <w:rFonts w:hint="default" w:ascii="Times New Roman" w:hAnsi="Times New Roman" w:cs="Times New Roman"/>
                <w:color w:val="auto"/>
                <w:sz w:val="21"/>
                <w:szCs w:val="21"/>
                <w:highlight w:val="none"/>
              </w:rPr>
              <w:t>1处渣场堆放，位于瑶子石隧洞出口附近，占地2.21亩，待工程完工后进行复耕。</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eastAsia="宋体" w:cs="Times New Roman"/>
                <w:b/>
                <w:bCs/>
                <w:snapToGrid w:val="0"/>
                <w:color w:val="auto"/>
                <w:sz w:val="21"/>
                <w:szCs w:val="21"/>
                <w:highlight w:val="none"/>
                <w:lang w:val="en-US" w:eastAsia="zh-CN"/>
              </w:rPr>
            </w:pPr>
            <w:r>
              <w:rPr>
                <w:rFonts w:hint="default" w:ascii="Times New Roman" w:hAnsi="Times New Roman" w:eastAsia="宋体" w:cs="Times New Roman"/>
                <w:b/>
                <w:bCs/>
                <w:snapToGrid w:val="0"/>
                <w:color w:val="auto"/>
                <w:sz w:val="21"/>
                <w:szCs w:val="21"/>
                <w:highlight w:val="none"/>
                <w:lang w:val="en-US" w:eastAsia="zh-CN"/>
              </w:rPr>
              <w:t>2.</w:t>
            </w:r>
            <w:r>
              <w:rPr>
                <w:rFonts w:hint="default" w:ascii="Times New Roman" w:hAnsi="Times New Roman" w:cs="Times New Roman"/>
                <w:b/>
                <w:bCs/>
                <w:snapToGrid w:val="0"/>
                <w:color w:val="auto"/>
                <w:sz w:val="21"/>
                <w:szCs w:val="21"/>
                <w:highlight w:val="none"/>
                <w:lang w:val="en-US" w:eastAsia="zh-CN"/>
              </w:rPr>
              <w:t>3</w:t>
            </w:r>
            <w:r>
              <w:rPr>
                <w:rFonts w:hint="default" w:ascii="Times New Roman" w:hAnsi="Times New Roman" w:eastAsia="宋体" w:cs="Times New Roman"/>
                <w:b/>
                <w:bCs/>
                <w:snapToGrid w:val="0"/>
                <w:color w:val="auto"/>
                <w:sz w:val="21"/>
                <w:szCs w:val="21"/>
                <w:highlight w:val="none"/>
                <w:lang w:val="en-US" w:eastAsia="zh-CN"/>
              </w:rPr>
              <w:t>.</w:t>
            </w:r>
            <w:r>
              <w:rPr>
                <w:rFonts w:hint="default" w:ascii="Times New Roman" w:hAnsi="Times New Roman" w:cs="Times New Roman"/>
                <w:b/>
                <w:bCs/>
                <w:snapToGrid w:val="0"/>
                <w:color w:val="auto"/>
                <w:sz w:val="21"/>
                <w:szCs w:val="21"/>
                <w:highlight w:val="none"/>
                <w:lang w:val="en-US" w:eastAsia="zh-CN"/>
              </w:rPr>
              <w:t>4</w:t>
            </w:r>
            <w:r>
              <w:rPr>
                <w:rFonts w:hint="default" w:ascii="Times New Roman" w:hAnsi="Times New Roman" w:eastAsia="宋体" w:cs="Times New Roman"/>
                <w:b/>
                <w:bCs/>
                <w:snapToGrid w:val="0"/>
                <w:color w:val="auto"/>
                <w:sz w:val="21"/>
                <w:szCs w:val="21"/>
                <w:highlight w:val="none"/>
                <w:lang w:val="en-US" w:eastAsia="zh-CN"/>
              </w:rPr>
              <w:t>公用工程</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2.3.4</w:t>
            </w:r>
            <w:r>
              <w:rPr>
                <w:rFonts w:hint="default" w:ascii="Times New Roman" w:hAnsi="Times New Roman" w:cs="Times New Roman"/>
                <w:snapToGrid w:val="0"/>
                <w:color w:val="auto"/>
                <w:sz w:val="21"/>
                <w:szCs w:val="21"/>
                <w:highlight w:val="none"/>
                <w:lang w:val="en-US" w:eastAsia="zh-CN"/>
              </w:rPr>
              <w:t>.1</w:t>
            </w:r>
            <w:r>
              <w:rPr>
                <w:rFonts w:hint="default" w:ascii="Times New Roman" w:hAnsi="Times New Roman" w:eastAsia="宋体" w:cs="Times New Roman"/>
                <w:snapToGrid w:val="0"/>
                <w:color w:val="auto"/>
                <w:sz w:val="21"/>
                <w:szCs w:val="21"/>
                <w:highlight w:val="none"/>
                <w:lang w:val="en-US" w:eastAsia="zh-CN"/>
              </w:rPr>
              <w:t>供风</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color w:val="auto"/>
                <w:sz w:val="21"/>
                <w:szCs w:val="21"/>
                <w:highlight w:val="none"/>
              </w:rPr>
              <w:t>水库枢纽在两岸坝肩分别配置固定式供风站；补水工程工作面宽，施工供风系统分施工点布置，采用移动式空压机。灌区输水管线工作面宽，施工供风系统分区分施工点布置，采用固定式和移动式空压机两种形式。</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2.3.4</w:t>
            </w:r>
            <w:r>
              <w:rPr>
                <w:rFonts w:hint="default" w:ascii="Times New Roman" w:hAnsi="Times New Roman" w:cs="Times New Roman"/>
                <w:snapToGrid w:val="0"/>
                <w:color w:val="auto"/>
                <w:sz w:val="21"/>
                <w:szCs w:val="21"/>
                <w:highlight w:val="none"/>
                <w:lang w:val="en-US" w:eastAsia="zh-CN"/>
              </w:rPr>
              <w:t>.2</w:t>
            </w:r>
            <w:r>
              <w:rPr>
                <w:rFonts w:hint="default" w:ascii="Times New Roman" w:hAnsi="Times New Roman" w:eastAsia="宋体" w:cs="Times New Roman"/>
                <w:snapToGrid w:val="0"/>
                <w:color w:val="auto"/>
                <w:sz w:val="21"/>
                <w:szCs w:val="21"/>
                <w:highlight w:val="none"/>
                <w:lang w:val="en-US" w:eastAsia="zh-CN"/>
              </w:rPr>
              <w:t>供电</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color w:val="auto"/>
                <w:sz w:val="21"/>
                <w:szCs w:val="21"/>
                <w:highlight w:val="none"/>
              </w:rPr>
              <w:t>本工程施工供电采用永久设施与施工期临时供电相结合的方式。水库枢纽大坝下游附近有10kV电线经过，施工用电直接在主干线“T”接，然后架设场内输电线路至各施工作业点即可满足要求。经统计，水库枢纽需改架10kV输电线路3.5km（其中2km输电线路与永久输电线路结合），设置2台降压站；补水工程需改架10kV输电线路2km，设置1座降压站。灌区工程施工用电就近从国家电网架设10kV输电线路至各施工点，共需架设10kV输电线路5km，设置降压站4座。</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2.3.4</w:t>
            </w:r>
            <w:r>
              <w:rPr>
                <w:rFonts w:hint="default" w:ascii="Times New Roman" w:hAnsi="Times New Roman" w:cs="Times New Roman"/>
                <w:snapToGrid w:val="0"/>
                <w:color w:val="auto"/>
                <w:sz w:val="21"/>
                <w:szCs w:val="21"/>
                <w:highlight w:val="none"/>
                <w:lang w:val="en-US" w:eastAsia="zh-CN"/>
              </w:rPr>
              <w:t>.3</w:t>
            </w:r>
            <w:r>
              <w:rPr>
                <w:rFonts w:hint="default" w:ascii="Times New Roman" w:hAnsi="Times New Roman" w:eastAsia="宋体" w:cs="Times New Roman"/>
                <w:snapToGrid w:val="0"/>
                <w:color w:val="auto"/>
                <w:sz w:val="21"/>
                <w:szCs w:val="21"/>
                <w:highlight w:val="none"/>
                <w:lang w:val="en-US" w:eastAsia="zh-CN"/>
              </w:rPr>
              <w:t>供水</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color w:val="auto"/>
                <w:sz w:val="21"/>
                <w:szCs w:val="21"/>
                <w:highlight w:val="none"/>
              </w:rPr>
              <w:t>水库枢纽设置1座水池；补水拦河堰设置水池1座；补水渠管线设置1座独立供水站。灌区工程输水管线共设置3座独立供水站。</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2.3.4</w:t>
            </w:r>
            <w:r>
              <w:rPr>
                <w:rFonts w:hint="default" w:ascii="Times New Roman" w:hAnsi="Times New Roman" w:cs="Times New Roman"/>
                <w:snapToGrid w:val="0"/>
                <w:color w:val="auto"/>
                <w:sz w:val="21"/>
                <w:szCs w:val="21"/>
                <w:highlight w:val="none"/>
                <w:lang w:val="en-US" w:eastAsia="zh-CN"/>
              </w:rPr>
              <w:t>.</w:t>
            </w:r>
            <w:r>
              <w:rPr>
                <w:rFonts w:hint="eastAsia" w:ascii="Times New Roman" w:hAnsi="Times New Roman" w:cs="Times New Roman"/>
                <w:snapToGrid w:val="0"/>
                <w:color w:val="auto"/>
                <w:sz w:val="21"/>
                <w:szCs w:val="21"/>
                <w:highlight w:val="none"/>
                <w:lang w:val="en-US" w:eastAsia="zh-CN"/>
              </w:rPr>
              <w:t>4</w:t>
            </w:r>
            <w:r>
              <w:rPr>
                <w:rFonts w:hint="default" w:ascii="Times New Roman" w:hAnsi="Times New Roman" w:eastAsia="宋体" w:cs="Times New Roman"/>
                <w:snapToGrid w:val="0"/>
                <w:color w:val="auto"/>
                <w:sz w:val="21"/>
                <w:szCs w:val="21"/>
                <w:highlight w:val="none"/>
                <w:lang w:val="en-US" w:eastAsia="zh-CN"/>
              </w:rPr>
              <w:t>排水</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color w:val="auto"/>
                <w:sz w:val="21"/>
                <w:szCs w:val="21"/>
                <w:highlight w:val="none"/>
              </w:rPr>
              <w:t>混凝土拌和系统废水</w:t>
            </w:r>
            <w:r>
              <w:rPr>
                <w:rFonts w:hint="eastAsia" w:cs="Times New Roman"/>
                <w:color w:val="auto"/>
                <w:sz w:val="21"/>
                <w:szCs w:val="21"/>
                <w:highlight w:val="none"/>
                <w:lang w:val="en-US" w:eastAsia="zh-CN"/>
              </w:rPr>
              <w:t>经絮凝沉淀池</w:t>
            </w:r>
            <w:r>
              <w:rPr>
                <w:rFonts w:hint="default" w:ascii="Times New Roman" w:hAnsi="Times New Roman" w:cs="Times New Roman"/>
                <w:color w:val="auto"/>
                <w:sz w:val="21"/>
                <w:szCs w:val="21"/>
                <w:highlight w:val="none"/>
              </w:rPr>
              <w:t>处理（</w:t>
            </w:r>
            <w:r>
              <w:rPr>
                <w:rFonts w:hint="eastAsia" w:cs="Times New Roman"/>
                <w:color w:val="auto"/>
                <w:sz w:val="21"/>
                <w:szCs w:val="21"/>
                <w:highlight w:val="none"/>
                <w:lang w:val="en-US" w:eastAsia="zh-CN"/>
              </w:rPr>
              <w:t>容积3</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个</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，处理后回用于混凝土</w:t>
            </w:r>
            <w:r>
              <w:rPr>
                <w:rFonts w:hint="eastAsia" w:cs="Times New Roman"/>
                <w:color w:val="auto"/>
                <w:sz w:val="21"/>
                <w:szCs w:val="21"/>
                <w:highlight w:val="none"/>
                <w:lang w:eastAsia="zh-CN"/>
              </w:rPr>
              <w:t>拌和</w:t>
            </w:r>
            <w:r>
              <w:rPr>
                <w:rFonts w:hint="default" w:ascii="Times New Roman" w:hAnsi="Times New Roman" w:cs="Times New Roman"/>
                <w:color w:val="auto"/>
                <w:sz w:val="21"/>
                <w:szCs w:val="21"/>
                <w:highlight w:val="none"/>
              </w:rPr>
              <w:t>过程</w:t>
            </w:r>
            <w:r>
              <w:rPr>
                <w:rFonts w:hint="default" w:ascii="Times New Roman" w:hAnsi="Times New Roman" w:cs="Times New Roman"/>
                <w:color w:val="auto"/>
                <w:sz w:val="21"/>
                <w:szCs w:val="21"/>
                <w:highlight w:val="none"/>
                <w:lang w:eastAsia="zh-CN"/>
              </w:rPr>
              <w:t>。施工机械冲洗废水经隔油沉淀池处理回用于施工道路防尘洒水，不外排。</w:t>
            </w:r>
            <w:r>
              <w:rPr>
                <w:color w:val="auto"/>
                <w:highlight w:val="none"/>
              </w:rPr>
              <w:t>枢纽工区</w:t>
            </w:r>
            <w:r>
              <w:rPr>
                <w:rFonts w:hint="default" w:ascii="Times New Roman" w:hAnsi="Times New Roman" w:eastAsia="宋体" w:cs="Times New Roman"/>
                <w:color w:val="auto"/>
                <w:sz w:val="21"/>
                <w:szCs w:val="21"/>
                <w:highlight w:val="none"/>
              </w:rPr>
              <w:t>生活污水经一体化污水处理设施</w:t>
            </w:r>
            <w:r>
              <w:rPr>
                <w:rFonts w:hint="eastAsia" w:cs="Times New Roman"/>
                <w:color w:val="auto"/>
                <w:sz w:val="21"/>
                <w:szCs w:val="21"/>
                <w:highlight w:val="none"/>
                <w:lang w:eastAsia="zh-CN"/>
              </w:rPr>
              <w:t>（</w:t>
            </w:r>
            <w:r>
              <w:rPr>
                <w:color w:val="auto"/>
                <w:highlight w:val="none"/>
              </w:rPr>
              <w:t>处理能力</w:t>
            </w:r>
            <w:r>
              <w:rPr>
                <w:rFonts w:hint="eastAsia"/>
                <w:color w:val="auto"/>
                <w:kern w:val="0"/>
                <w:highlight w:val="none"/>
              </w:rPr>
              <w:t>15</w:t>
            </w:r>
            <w:r>
              <w:rPr>
                <w:color w:val="auto"/>
                <w:kern w:val="0"/>
                <w:highlight w:val="none"/>
              </w:rPr>
              <w:t>m</w:t>
            </w:r>
            <w:r>
              <w:rPr>
                <w:color w:val="auto"/>
                <w:kern w:val="0"/>
                <w:highlight w:val="none"/>
                <w:vertAlign w:val="superscript"/>
              </w:rPr>
              <w:t>3</w:t>
            </w:r>
            <w:r>
              <w:rPr>
                <w:color w:val="auto"/>
                <w:kern w:val="0"/>
                <w:highlight w:val="none"/>
              </w:rPr>
              <w:t>/</w:t>
            </w:r>
            <w:r>
              <w:rPr>
                <w:rFonts w:hint="eastAsia"/>
                <w:color w:val="auto"/>
                <w:kern w:val="0"/>
                <w:highlight w:val="none"/>
              </w:rPr>
              <w:t>d</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收集处理后用于农田或林地施肥，不外排。</w:t>
            </w:r>
            <w:r>
              <w:rPr>
                <w:rFonts w:hint="eastAsia"/>
                <w:color w:val="auto"/>
                <w:highlight w:val="none"/>
              </w:rPr>
              <w:t>供水工程区施工区生活污水采取化粪池</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容积3</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个</w:t>
            </w:r>
            <w:r>
              <w:rPr>
                <w:rFonts w:hint="default" w:ascii="Times New Roman" w:hAnsi="Times New Roman" w:cs="Times New Roman"/>
                <w:color w:val="auto"/>
                <w:sz w:val="21"/>
                <w:szCs w:val="21"/>
                <w:highlight w:val="none"/>
                <w:lang w:eastAsia="zh-CN"/>
              </w:rPr>
              <w:t>）</w:t>
            </w:r>
            <w:r>
              <w:rPr>
                <w:rFonts w:hint="eastAsia"/>
                <w:color w:val="auto"/>
                <w:highlight w:val="none"/>
              </w:rPr>
              <w:t>处理</w:t>
            </w:r>
            <w:r>
              <w:rPr>
                <w:rFonts w:hint="default" w:ascii="Times New Roman" w:hAnsi="Times New Roman" w:eastAsia="宋体" w:cs="Times New Roman"/>
                <w:color w:val="auto"/>
                <w:sz w:val="21"/>
                <w:szCs w:val="21"/>
                <w:highlight w:val="none"/>
              </w:rPr>
              <w:t>后用于农田或林地施肥。</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snapToGrid w:val="0"/>
                <w:color w:val="auto"/>
                <w:sz w:val="21"/>
                <w:szCs w:val="21"/>
                <w:highlight w:val="none"/>
                <w:lang w:val="en-US" w:eastAsia="zh-CN"/>
              </w:rPr>
            </w:pPr>
            <w:r>
              <w:rPr>
                <w:rFonts w:hint="default" w:ascii="Times New Roman" w:hAnsi="Times New Roman" w:eastAsia="宋体" w:cs="Times New Roman"/>
                <w:b/>
                <w:bCs/>
                <w:snapToGrid w:val="0"/>
                <w:color w:val="auto"/>
                <w:sz w:val="21"/>
                <w:szCs w:val="21"/>
                <w:highlight w:val="none"/>
                <w:lang w:val="en-US" w:eastAsia="zh-CN"/>
              </w:rPr>
              <w:t>2.</w:t>
            </w:r>
            <w:r>
              <w:rPr>
                <w:rFonts w:hint="default" w:ascii="Times New Roman" w:hAnsi="Times New Roman" w:cs="Times New Roman"/>
                <w:b/>
                <w:bCs/>
                <w:snapToGrid w:val="0"/>
                <w:color w:val="auto"/>
                <w:sz w:val="21"/>
                <w:szCs w:val="21"/>
                <w:highlight w:val="none"/>
                <w:lang w:val="en-US" w:eastAsia="zh-CN"/>
              </w:rPr>
              <w:t>4</w:t>
            </w:r>
            <w:r>
              <w:rPr>
                <w:rFonts w:hint="default" w:ascii="Times New Roman" w:hAnsi="Times New Roman" w:eastAsia="宋体" w:cs="Times New Roman"/>
                <w:b/>
                <w:bCs/>
                <w:snapToGrid w:val="0"/>
                <w:color w:val="auto"/>
                <w:sz w:val="21"/>
                <w:szCs w:val="21"/>
                <w:highlight w:val="none"/>
                <w:lang w:val="en-US" w:eastAsia="zh-CN"/>
              </w:rPr>
              <w:t>工程占地及拆迁安置</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b/>
                <w:bCs/>
                <w:snapToGrid w:val="0"/>
                <w:color w:val="auto"/>
                <w:sz w:val="21"/>
                <w:szCs w:val="21"/>
                <w:highlight w:val="none"/>
                <w:lang w:val="en-US" w:eastAsia="zh-CN"/>
              </w:rPr>
              <w:t>2.</w:t>
            </w:r>
            <w:r>
              <w:rPr>
                <w:rFonts w:hint="default" w:ascii="Times New Roman" w:hAnsi="Times New Roman" w:cs="Times New Roman"/>
                <w:b/>
                <w:bCs/>
                <w:snapToGrid w:val="0"/>
                <w:color w:val="auto"/>
                <w:sz w:val="21"/>
                <w:szCs w:val="21"/>
                <w:highlight w:val="none"/>
                <w:lang w:val="en-US" w:eastAsia="zh-CN"/>
              </w:rPr>
              <w:t>4</w:t>
            </w:r>
            <w:r>
              <w:rPr>
                <w:rFonts w:hint="default" w:ascii="Times New Roman" w:hAnsi="Times New Roman" w:eastAsia="宋体" w:cs="Times New Roman"/>
                <w:b/>
                <w:bCs/>
                <w:snapToGrid w:val="0"/>
                <w:color w:val="auto"/>
                <w:sz w:val="21"/>
                <w:szCs w:val="21"/>
                <w:highlight w:val="none"/>
                <w:lang w:val="en-US" w:eastAsia="zh-CN"/>
              </w:rPr>
              <w:t>.1工程占地</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堰沟水库建设征地主要涉及达州市宣汉县胡家镇花池社区和大池村。实物主要包括：土地总面积540.74亩（永久征地347.33亩），其中：耕地367.26亩（永久215.44 亩）、林地134.58亩（永久112.02亩）、住宅用地11.21亩（永久8.49亩）、交通运输用地14.66亩（永久6.03亩）、设施农用地0.25亩、坑塘水面1.07亩、河流水面11.61亩（永久5.35亩）；涉及搬迁人口20户90人，各类房屋面积7222m</w:t>
            </w:r>
            <w:r>
              <w:rPr>
                <w:rFonts w:hint="default" w:ascii="Times New Roman" w:hAnsi="Times New Roman" w:eastAsia="宋体" w:cs="Times New Roman"/>
                <w:snapToGrid w:val="0"/>
                <w:color w:val="auto"/>
                <w:sz w:val="21"/>
                <w:szCs w:val="21"/>
                <w:highlight w:val="none"/>
                <w:vertAlign w:val="superscript"/>
                <w:lang w:val="en-US" w:eastAsia="zh-CN"/>
              </w:rPr>
              <w:t>2</w:t>
            </w:r>
            <w:r>
              <w:rPr>
                <w:rFonts w:hint="default" w:ascii="Times New Roman" w:hAnsi="Times New Roman" w:eastAsia="宋体" w:cs="Times New Roman"/>
                <w:snapToGrid w:val="0"/>
                <w:color w:val="auto"/>
                <w:sz w:val="21"/>
                <w:szCs w:val="21"/>
                <w:highlight w:val="none"/>
                <w:lang w:val="en-US" w:eastAsia="zh-CN"/>
              </w:rPr>
              <w:t>及附属设施；零星林（果）木1620株；坟墓3座；机耕道1.83km；10kV输电线路1.31km；通信光缆1.01km，广电光缆1.74km。工程建设征地范围内不涉及文物古迹、矿产资源等重要设施；不涉及基本农田、退耕还林地和坡度25°以上耕地。</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b/>
                <w:bCs/>
                <w:snapToGrid w:val="0"/>
                <w:color w:val="auto"/>
                <w:sz w:val="21"/>
                <w:szCs w:val="21"/>
                <w:highlight w:val="none"/>
                <w:lang w:val="en-US" w:eastAsia="zh-CN"/>
              </w:rPr>
              <w:t>2.</w:t>
            </w:r>
            <w:r>
              <w:rPr>
                <w:rFonts w:hint="default" w:ascii="Times New Roman" w:hAnsi="Times New Roman" w:cs="Times New Roman"/>
                <w:b/>
                <w:bCs/>
                <w:snapToGrid w:val="0"/>
                <w:color w:val="auto"/>
                <w:sz w:val="21"/>
                <w:szCs w:val="21"/>
                <w:highlight w:val="none"/>
                <w:lang w:val="en-US" w:eastAsia="zh-CN"/>
              </w:rPr>
              <w:t>4</w:t>
            </w:r>
            <w:r>
              <w:rPr>
                <w:rFonts w:hint="default" w:ascii="Times New Roman" w:hAnsi="Times New Roman" w:eastAsia="宋体" w:cs="Times New Roman"/>
                <w:b/>
                <w:bCs/>
                <w:snapToGrid w:val="0"/>
                <w:color w:val="auto"/>
                <w:sz w:val="21"/>
                <w:szCs w:val="21"/>
                <w:highlight w:val="none"/>
                <w:lang w:val="en-US" w:eastAsia="zh-CN"/>
              </w:rPr>
              <w:t>.2拆迁安置</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snapToGrid w:val="0"/>
                <w:color w:val="auto"/>
                <w:sz w:val="21"/>
                <w:szCs w:val="21"/>
                <w:highlight w:val="none"/>
                <w:lang w:val="en-US" w:eastAsia="zh-CN"/>
              </w:rPr>
            </w:pPr>
            <w:r>
              <w:rPr>
                <w:color w:val="auto"/>
                <w:highlight w:val="none"/>
                <w:lang w:bidi="en-US"/>
              </w:rPr>
              <w:t>至规划水平年，</w:t>
            </w:r>
            <w:r>
              <w:rPr>
                <w:rFonts w:hint="eastAsia"/>
                <w:color w:val="auto"/>
                <w:highlight w:val="none"/>
                <w:lang w:bidi="en-US"/>
              </w:rPr>
              <w:t>堰沟</w:t>
            </w:r>
            <w:r>
              <w:rPr>
                <w:color w:val="auto"/>
                <w:highlight w:val="none"/>
                <w:lang w:bidi="en-US"/>
              </w:rPr>
              <w:t>水库工程建设征地生产安置人口共计</w:t>
            </w:r>
            <w:r>
              <w:rPr>
                <w:rFonts w:hint="eastAsia"/>
                <w:color w:val="auto"/>
                <w:highlight w:val="none"/>
                <w:lang w:bidi="en-US"/>
              </w:rPr>
              <w:t>274</w:t>
            </w:r>
            <w:r>
              <w:rPr>
                <w:color w:val="auto"/>
                <w:highlight w:val="none"/>
                <w:lang w:bidi="en-US"/>
              </w:rPr>
              <w:t>人。本阶段规划在</w:t>
            </w:r>
            <w:r>
              <w:rPr>
                <w:rFonts w:hint="eastAsia"/>
                <w:color w:val="auto"/>
                <w:highlight w:val="none"/>
                <w:lang w:bidi="en-US"/>
              </w:rPr>
              <w:t>本村</w:t>
            </w:r>
            <w:r>
              <w:rPr>
                <w:color w:val="auto"/>
                <w:highlight w:val="none"/>
                <w:lang w:bidi="en-US"/>
              </w:rPr>
              <w:t>范围内调剂耕地</w:t>
            </w:r>
            <w:r>
              <w:rPr>
                <w:rFonts w:hint="eastAsia"/>
                <w:color w:val="auto"/>
                <w:highlight w:val="none"/>
                <w:lang w:bidi="en-US"/>
              </w:rPr>
              <w:t>62.03</w:t>
            </w:r>
            <w:r>
              <w:rPr>
                <w:color w:val="auto"/>
                <w:highlight w:val="none"/>
                <w:lang w:bidi="en-US"/>
              </w:rPr>
              <w:t>亩，安置</w:t>
            </w:r>
            <w:r>
              <w:rPr>
                <w:rFonts w:hint="eastAsia"/>
                <w:color w:val="auto"/>
                <w:highlight w:val="none"/>
                <w:lang w:bidi="en-US"/>
              </w:rPr>
              <w:t>78</w:t>
            </w:r>
            <w:r>
              <w:rPr>
                <w:color w:val="auto"/>
                <w:highlight w:val="none"/>
                <w:lang w:bidi="en-US"/>
              </w:rPr>
              <w:t>人，邻村调剂耕地</w:t>
            </w:r>
            <w:r>
              <w:rPr>
                <w:rFonts w:hint="eastAsia"/>
                <w:color w:val="auto"/>
                <w:highlight w:val="none"/>
                <w:lang w:bidi="en-US"/>
              </w:rPr>
              <w:t>45.49亩</w:t>
            </w:r>
            <w:r>
              <w:rPr>
                <w:color w:val="auto"/>
                <w:highlight w:val="none"/>
                <w:lang w:bidi="en-US"/>
              </w:rPr>
              <w:t>，安置</w:t>
            </w:r>
            <w:r>
              <w:rPr>
                <w:rFonts w:hint="eastAsia"/>
                <w:color w:val="auto"/>
                <w:highlight w:val="none"/>
                <w:lang w:bidi="en-US"/>
              </w:rPr>
              <w:t>59</w:t>
            </w:r>
            <w:r>
              <w:rPr>
                <w:color w:val="auto"/>
                <w:highlight w:val="none"/>
                <w:lang w:bidi="en-US"/>
              </w:rPr>
              <w:t>人；自谋职业安置</w:t>
            </w:r>
            <w:r>
              <w:rPr>
                <w:rFonts w:hint="eastAsia"/>
                <w:color w:val="auto"/>
                <w:highlight w:val="none"/>
                <w:lang w:bidi="en-US"/>
              </w:rPr>
              <w:t>101</w:t>
            </w:r>
            <w:r>
              <w:rPr>
                <w:color w:val="auto"/>
                <w:highlight w:val="none"/>
                <w:lang w:bidi="en-US"/>
              </w:rPr>
              <w:t>人、养老保障安置</w:t>
            </w:r>
            <w:r>
              <w:rPr>
                <w:rFonts w:hint="eastAsia"/>
                <w:color w:val="auto"/>
                <w:highlight w:val="none"/>
                <w:lang w:bidi="en-US"/>
              </w:rPr>
              <w:t>36</w:t>
            </w:r>
            <w:r>
              <w:rPr>
                <w:color w:val="auto"/>
                <w:highlight w:val="none"/>
                <w:lang w:bidi="en-US"/>
              </w:rPr>
              <w:t>人。共安置</w:t>
            </w:r>
            <w:r>
              <w:rPr>
                <w:rFonts w:hint="eastAsia"/>
                <w:color w:val="auto"/>
                <w:highlight w:val="none"/>
                <w:lang w:bidi="en-US"/>
              </w:rPr>
              <w:t>274</w:t>
            </w:r>
            <w:r>
              <w:rPr>
                <w:color w:val="auto"/>
                <w:highlight w:val="none"/>
                <w:lang w:bidi="en-US"/>
              </w:rPr>
              <w:t>人。</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snapToGrid w:val="0"/>
                <w:color w:val="auto"/>
                <w:sz w:val="21"/>
                <w:szCs w:val="21"/>
                <w:highlight w:val="none"/>
                <w:lang w:val="en-US" w:eastAsia="zh-CN"/>
              </w:rPr>
            </w:pPr>
            <w:r>
              <w:rPr>
                <w:color w:val="auto"/>
                <w:highlight w:val="none"/>
                <w:lang w:bidi="en-US"/>
              </w:rPr>
              <w:t>至规划水平年，</w:t>
            </w:r>
            <w:r>
              <w:rPr>
                <w:rFonts w:hint="eastAsia"/>
                <w:color w:val="auto"/>
                <w:highlight w:val="none"/>
                <w:lang w:bidi="en-US"/>
              </w:rPr>
              <w:t>堰沟</w:t>
            </w:r>
            <w:r>
              <w:rPr>
                <w:color w:val="auto"/>
                <w:highlight w:val="none"/>
                <w:lang w:bidi="en-US"/>
              </w:rPr>
              <w:t>水库工程建设征地移民搬迁安置人口</w:t>
            </w:r>
            <w:r>
              <w:rPr>
                <w:rFonts w:hint="eastAsia"/>
                <w:color w:val="auto"/>
                <w:highlight w:val="none"/>
                <w:lang w:bidi="en-US"/>
              </w:rPr>
              <w:t>91</w:t>
            </w:r>
            <w:r>
              <w:rPr>
                <w:color w:val="auto"/>
                <w:highlight w:val="none"/>
                <w:lang w:bidi="en-US"/>
              </w:rPr>
              <w:t>人，初步拟定移民搬迁安置方案为在本组范围内分散安置。</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snapToGrid w:val="0"/>
                <w:color w:val="auto"/>
                <w:sz w:val="21"/>
                <w:szCs w:val="21"/>
                <w:highlight w:val="none"/>
                <w:lang w:val="en-US" w:eastAsia="zh-CN"/>
              </w:rPr>
            </w:pPr>
            <w:r>
              <w:rPr>
                <w:rFonts w:hint="default" w:ascii="Times New Roman" w:hAnsi="Times New Roman" w:eastAsia="宋体" w:cs="Times New Roman"/>
                <w:b/>
                <w:bCs/>
                <w:snapToGrid w:val="0"/>
                <w:color w:val="auto"/>
                <w:sz w:val="21"/>
                <w:szCs w:val="21"/>
                <w:highlight w:val="none"/>
                <w:lang w:val="en-US" w:eastAsia="zh-CN"/>
              </w:rPr>
              <w:t>2.</w:t>
            </w:r>
            <w:r>
              <w:rPr>
                <w:rFonts w:hint="default" w:ascii="Times New Roman" w:hAnsi="Times New Roman" w:cs="Times New Roman"/>
                <w:b/>
                <w:bCs/>
                <w:snapToGrid w:val="0"/>
                <w:color w:val="auto"/>
                <w:sz w:val="21"/>
                <w:szCs w:val="21"/>
                <w:highlight w:val="none"/>
                <w:lang w:val="en-US" w:eastAsia="zh-CN"/>
              </w:rPr>
              <w:t>5</w:t>
            </w:r>
            <w:r>
              <w:rPr>
                <w:rFonts w:hint="default" w:ascii="Times New Roman" w:hAnsi="Times New Roman" w:eastAsia="宋体" w:cs="Times New Roman"/>
                <w:b/>
                <w:bCs/>
                <w:snapToGrid w:val="0"/>
                <w:color w:val="auto"/>
                <w:sz w:val="21"/>
                <w:szCs w:val="21"/>
                <w:highlight w:val="none"/>
                <w:lang w:val="en-US" w:eastAsia="zh-CN"/>
              </w:rPr>
              <w:t>土石方平衡</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val="0"/>
                <w:snapToGrid w:val="0"/>
                <w:color w:val="auto"/>
                <w:sz w:val="21"/>
                <w:szCs w:val="21"/>
                <w:highlight w:val="none"/>
                <w:lang w:val="en-US" w:eastAsia="zh-CN"/>
              </w:rPr>
            </w:pPr>
            <w:r>
              <w:rPr>
                <w:rFonts w:hint="default" w:ascii="Times New Roman" w:hAnsi="Times New Roman" w:eastAsia="宋体" w:cs="Times New Roman"/>
                <w:b w:val="0"/>
                <w:bCs w:val="0"/>
                <w:snapToGrid w:val="0"/>
                <w:color w:val="auto"/>
                <w:sz w:val="21"/>
                <w:szCs w:val="21"/>
                <w:highlight w:val="none"/>
                <w:lang w:val="en-US" w:eastAsia="zh-CN"/>
              </w:rPr>
              <w:t>1、枢纽工程土石平衡</w:t>
            </w:r>
          </w:p>
          <w:p>
            <w:pPr>
              <w:pStyle w:val="99"/>
              <w:spacing w:line="360" w:lineRule="auto"/>
              <w:ind w:firstLine="480"/>
              <w:rPr>
                <w:color w:val="auto"/>
                <w:sz w:val="21"/>
                <w:szCs w:val="21"/>
                <w:highlight w:val="none"/>
              </w:rPr>
            </w:pPr>
            <w:r>
              <w:rPr>
                <w:color w:val="auto"/>
                <w:sz w:val="21"/>
                <w:szCs w:val="21"/>
                <w:highlight w:val="none"/>
              </w:rPr>
              <w:t>枢纽工程土石方开挖总量10.48万m</w:t>
            </w:r>
            <w:r>
              <w:rPr>
                <w:color w:val="auto"/>
                <w:sz w:val="21"/>
                <w:szCs w:val="21"/>
                <w:highlight w:val="none"/>
                <w:vertAlign w:val="superscript"/>
              </w:rPr>
              <w:t>3</w:t>
            </w:r>
            <w:r>
              <w:rPr>
                <w:color w:val="auto"/>
                <w:sz w:val="21"/>
                <w:szCs w:val="21"/>
                <w:highlight w:val="none"/>
              </w:rPr>
              <w:t>（自然方）</w:t>
            </w:r>
            <w:r>
              <w:rPr>
                <w:rFonts w:hint="eastAsia"/>
                <w:color w:val="auto"/>
                <w:sz w:val="21"/>
                <w:szCs w:val="21"/>
                <w:highlight w:val="none"/>
              </w:rPr>
              <w:t>，土石方</w:t>
            </w:r>
            <w:r>
              <w:rPr>
                <w:color w:val="auto"/>
                <w:sz w:val="21"/>
                <w:szCs w:val="21"/>
                <w:highlight w:val="none"/>
              </w:rPr>
              <w:t>填筑</w:t>
            </w:r>
            <w:r>
              <w:rPr>
                <w:rFonts w:hint="eastAsia"/>
                <w:color w:val="auto"/>
                <w:sz w:val="21"/>
                <w:szCs w:val="21"/>
                <w:highlight w:val="none"/>
              </w:rPr>
              <w:t>利用料</w:t>
            </w:r>
            <w:r>
              <w:rPr>
                <w:color w:val="auto"/>
                <w:sz w:val="21"/>
                <w:szCs w:val="21"/>
                <w:highlight w:val="none"/>
              </w:rPr>
              <w:t>4.08万m</w:t>
            </w:r>
            <w:r>
              <w:rPr>
                <w:color w:val="auto"/>
                <w:sz w:val="21"/>
                <w:szCs w:val="21"/>
                <w:highlight w:val="none"/>
                <w:vertAlign w:val="superscript"/>
              </w:rPr>
              <w:t>3</w:t>
            </w:r>
            <w:r>
              <w:rPr>
                <w:color w:val="auto"/>
                <w:sz w:val="21"/>
                <w:szCs w:val="21"/>
                <w:highlight w:val="none"/>
              </w:rPr>
              <w:t>（压实方</w:t>
            </w:r>
            <w:r>
              <w:rPr>
                <w:rFonts w:hint="eastAsia"/>
                <w:color w:val="auto"/>
                <w:sz w:val="21"/>
                <w:szCs w:val="21"/>
                <w:highlight w:val="none"/>
              </w:rPr>
              <w:t>），经土</w:t>
            </w:r>
            <w:r>
              <w:rPr>
                <w:color w:val="auto"/>
                <w:sz w:val="21"/>
                <w:szCs w:val="21"/>
                <w:highlight w:val="none"/>
              </w:rPr>
              <w:t>石方平衡弃渣量为7.78万m</w:t>
            </w:r>
            <w:r>
              <w:rPr>
                <w:color w:val="auto"/>
                <w:sz w:val="21"/>
                <w:szCs w:val="21"/>
                <w:highlight w:val="none"/>
                <w:vertAlign w:val="superscript"/>
              </w:rPr>
              <w:t>3</w:t>
            </w:r>
            <w:r>
              <w:rPr>
                <w:color w:val="auto"/>
                <w:sz w:val="21"/>
                <w:szCs w:val="21"/>
                <w:highlight w:val="none"/>
              </w:rPr>
              <w:t>（松方）</w:t>
            </w:r>
            <w:r>
              <w:rPr>
                <w:rFonts w:hint="eastAsia"/>
                <w:color w:val="auto"/>
                <w:sz w:val="21"/>
                <w:szCs w:val="21"/>
                <w:highlight w:val="none"/>
              </w:rPr>
              <w:t>。</w:t>
            </w:r>
            <w:r>
              <w:rPr>
                <w:color w:val="auto"/>
                <w:sz w:val="21"/>
                <w:szCs w:val="21"/>
                <w:highlight w:val="none"/>
              </w:rPr>
              <w:t>其中</w:t>
            </w:r>
            <w:r>
              <w:rPr>
                <w:rFonts w:hint="eastAsia"/>
                <w:color w:val="auto"/>
                <w:sz w:val="21"/>
                <w:szCs w:val="21"/>
                <w:highlight w:val="none"/>
              </w:rPr>
              <w:t>，</w:t>
            </w:r>
            <w:r>
              <w:rPr>
                <w:color w:val="auto"/>
                <w:sz w:val="21"/>
                <w:szCs w:val="21"/>
                <w:highlight w:val="none"/>
              </w:rPr>
              <w:t>水库</w:t>
            </w:r>
            <w:r>
              <w:rPr>
                <w:rFonts w:hint="eastAsia"/>
                <w:color w:val="auto"/>
                <w:sz w:val="21"/>
                <w:szCs w:val="21"/>
                <w:highlight w:val="none"/>
              </w:rPr>
              <w:t>枢纽</w:t>
            </w:r>
            <w:r>
              <w:rPr>
                <w:color w:val="auto"/>
                <w:sz w:val="21"/>
                <w:szCs w:val="21"/>
                <w:highlight w:val="none"/>
              </w:rPr>
              <w:t>弃渣量为6.66</w:t>
            </w:r>
            <w:r>
              <w:rPr>
                <w:rFonts w:hint="eastAsia"/>
                <w:color w:val="auto"/>
                <w:sz w:val="21"/>
                <w:szCs w:val="21"/>
                <w:highlight w:val="none"/>
              </w:rPr>
              <w:t>万</w:t>
            </w:r>
            <w:r>
              <w:rPr>
                <w:color w:val="auto"/>
                <w:sz w:val="21"/>
                <w:szCs w:val="21"/>
                <w:highlight w:val="none"/>
              </w:rPr>
              <w:t>m</w:t>
            </w:r>
            <w:r>
              <w:rPr>
                <w:color w:val="auto"/>
                <w:sz w:val="21"/>
                <w:szCs w:val="21"/>
                <w:highlight w:val="none"/>
                <w:vertAlign w:val="superscript"/>
              </w:rPr>
              <w:t>3</w:t>
            </w:r>
            <w:r>
              <w:rPr>
                <w:color w:val="auto"/>
                <w:sz w:val="21"/>
                <w:szCs w:val="21"/>
                <w:highlight w:val="none"/>
              </w:rPr>
              <w:t>、补水工程弃渣量为1.12</w:t>
            </w:r>
            <w:r>
              <w:rPr>
                <w:rFonts w:hint="eastAsia"/>
                <w:color w:val="auto"/>
                <w:sz w:val="21"/>
                <w:szCs w:val="21"/>
                <w:highlight w:val="none"/>
              </w:rPr>
              <w:t>万</w:t>
            </w:r>
            <w:r>
              <w:rPr>
                <w:color w:val="auto"/>
                <w:sz w:val="21"/>
                <w:szCs w:val="21"/>
                <w:highlight w:val="none"/>
              </w:rPr>
              <w:t>m</w:t>
            </w:r>
            <w:r>
              <w:rPr>
                <w:color w:val="auto"/>
                <w:sz w:val="21"/>
                <w:szCs w:val="21"/>
                <w:highlight w:val="none"/>
                <w:vertAlign w:val="superscript"/>
              </w:rPr>
              <w:t>3</w:t>
            </w:r>
            <w:r>
              <w:rPr>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val="0"/>
                <w:snapToGrid w:val="0"/>
                <w:color w:val="auto"/>
                <w:sz w:val="21"/>
                <w:szCs w:val="21"/>
                <w:highlight w:val="none"/>
                <w:lang w:val="en-US" w:eastAsia="zh-CN"/>
              </w:rPr>
            </w:pPr>
            <w:r>
              <w:rPr>
                <w:rFonts w:hint="eastAsia"/>
                <w:color w:val="auto"/>
                <w:sz w:val="21"/>
                <w:szCs w:val="21"/>
                <w:highlight w:val="none"/>
              </w:rPr>
              <w:t>补水工程</w:t>
            </w:r>
            <w:r>
              <w:rPr>
                <w:color w:val="auto"/>
                <w:sz w:val="21"/>
                <w:szCs w:val="21"/>
                <w:highlight w:val="none"/>
              </w:rPr>
              <w:t>弃渣量为1.12</w:t>
            </w:r>
            <w:r>
              <w:rPr>
                <w:rFonts w:hint="eastAsia"/>
                <w:color w:val="auto"/>
                <w:sz w:val="21"/>
                <w:szCs w:val="21"/>
                <w:highlight w:val="none"/>
              </w:rPr>
              <w:t>万</w:t>
            </w:r>
            <w:r>
              <w:rPr>
                <w:color w:val="auto"/>
                <w:sz w:val="21"/>
                <w:szCs w:val="21"/>
                <w:highlight w:val="none"/>
              </w:rPr>
              <w:t>m</w:t>
            </w:r>
            <w:r>
              <w:rPr>
                <w:color w:val="auto"/>
                <w:sz w:val="21"/>
                <w:szCs w:val="21"/>
                <w:highlight w:val="none"/>
                <w:vertAlign w:val="superscript"/>
              </w:rPr>
              <w:t>3</w:t>
            </w:r>
            <w:r>
              <w:rPr>
                <w:color w:val="auto"/>
                <w:sz w:val="21"/>
                <w:szCs w:val="21"/>
                <w:highlight w:val="none"/>
              </w:rPr>
              <w:t>（松方）</w:t>
            </w:r>
            <w:r>
              <w:rPr>
                <w:rFonts w:hint="eastAsia"/>
                <w:color w:val="auto"/>
                <w:sz w:val="21"/>
                <w:szCs w:val="21"/>
                <w:highlight w:val="none"/>
              </w:rPr>
              <w:t>，其中补水渠开挖的</w:t>
            </w:r>
            <w:r>
              <w:rPr>
                <w:color w:val="auto"/>
                <w:sz w:val="21"/>
                <w:szCs w:val="21"/>
                <w:highlight w:val="none"/>
              </w:rPr>
              <w:t>0.62</w:t>
            </w:r>
            <w:r>
              <w:rPr>
                <w:rFonts w:hint="eastAsia"/>
                <w:color w:val="auto"/>
                <w:sz w:val="21"/>
                <w:szCs w:val="21"/>
                <w:highlight w:val="none"/>
              </w:rPr>
              <w:t>万</w:t>
            </w:r>
            <w:r>
              <w:rPr>
                <w:color w:val="auto"/>
                <w:sz w:val="21"/>
                <w:szCs w:val="21"/>
                <w:highlight w:val="none"/>
              </w:rPr>
              <w:t>m</w:t>
            </w:r>
            <w:r>
              <w:rPr>
                <w:color w:val="auto"/>
                <w:sz w:val="21"/>
                <w:szCs w:val="21"/>
                <w:highlight w:val="none"/>
                <w:vertAlign w:val="superscript"/>
              </w:rPr>
              <w:t>3</w:t>
            </w:r>
            <w:r>
              <w:rPr>
                <w:rFonts w:hint="eastAsia"/>
                <w:color w:val="auto"/>
                <w:sz w:val="21"/>
                <w:szCs w:val="21"/>
                <w:highlight w:val="none"/>
              </w:rPr>
              <w:t>弃</w:t>
            </w:r>
            <w:r>
              <w:rPr>
                <w:color w:val="auto"/>
                <w:sz w:val="21"/>
                <w:szCs w:val="21"/>
                <w:highlight w:val="none"/>
              </w:rPr>
              <w:t>料</w:t>
            </w:r>
            <w:r>
              <w:rPr>
                <w:rFonts w:hint="eastAsia"/>
                <w:color w:val="auto"/>
                <w:sz w:val="21"/>
                <w:szCs w:val="21"/>
                <w:highlight w:val="none"/>
              </w:rPr>
              <w:t>可于补水渠</w:t>
            </w:r>
            <w:r>
              <w:rPr>
                <w:color w:val="auto"/>
                <w:sz w:val="21"/>
                <w:szCs w:val="21"/>
                <w:highlight w:val="none"/>
              </w:rPr>
              <w:t>管道</w:t>
            </w:r>
            <w:r>
              <w:rPr>
                <w:rFonts w:hint="eastAsia"/>
                <w:color w:val="auto"/>
                <w:sz w:val="21"/>
                <w:szCs w:val="21"/>
                <w:highlight w:val="none"/>
              </w:rPr>
              <w:t>沿线</w:t>
            </w:r>
            <w:r>
              <w:rPr>
                <w:color w:val="auto"/>
                <w:sz w:val="21"/>
                <w:szCs w:val="21"/>
                <w:highlight w:val="none"/>
              </w:rPr>
              <w:t>原地整平</w:t>
            </w:r>
            <w:r>
              <w:rPr>
                <w:rFonts w:hint="eastAsia"/>
                <w:color w:val="auto"/>
                <w:sz w:val="21"/>
                <w:szCs w:val="21"/>
                <w:highlight w:val="none"/>
              </w:rPr>
              <w:t>；剩余弃渣</w:t>
            </w:r>
            <w:r>
              <w:rPr>
                <w:color w:val="auto"/>
                <w:sz w:val="21"/>
                <w:szCs w:val="21"/>
                <w:highlight w:val="none"/>
              </w:rPr>
              <w:t>0.50</w:t>
            </w:r>
            <w:r>
              <w:rPr>
                <w:rFonts w:hint="eastAsia"/>
                <w:color w:val="auto"/>
                <w:sz w:val="21"/>
                <w:szCs w:val="21"/>
                <w:highlight w:val="none"/>
              </w:rPr>
              <w:t>万</w:t>
            </w:r>
            <w:r>
              <w:rPr>
                <w:color w:val="auto"/>
                <w:sz w:val="21"/>
                <w:szCs w:val="21"/>
                <w:highlight w:val="none"/>
              </w:rPr>
              <w:t>m</w:t>
            </w:r>
            <w:r>
              <w:rPr>
                <w:color w:val="auto"/>
                <w:sz w:val="21"/>
                <w:szCs w:val="21"/>
                <w:highlight w:val="none"/>
                <w:vertAlign w:val="superscript"/>
              </w:rPr>
              <w:t>3</w:t>
            </w:r>
            <w:r>
              <w:rPr>
                <w:rFonts w:hint="eastAsia"/>
                <w:color w:val="auto"/>
                <w:sz w:val="21"/>
                <w:szCs w:val="21"/>
                <w:highlight w:val="none"/>
              </w:rPr>
              <w:t>，主要为拦河堰开挖弃渣</w:t>
            </w:r>
            <w:r>
              <w:rPr>
                <w:color w:val="auto"/>
                <w:sz w:val="21"/>
                <w:szCs w:val="21"/>
                <w:highlight w:val="none"/>
              </w:rPr>
              <w:t>。</w:t>
            </w:r>
            <w:r>
              <w:rPr>
                <w:rFonts w:hint="default" w:ascii="Times New Roman" w:hAnsi="Times New Roman" w:eastAsia="宋体" w:cs="Times New Roman"/>
                <w:b w:val="0"/>
                <w:bCs w:val="0"/>
                <w:snapToGrid w:val="0"/>
                <w:color w:val="auto"/>
                <w:sz w:val="21"/>
                <w:szCs w:val="21"/>
                <w:highlight w:val="none"/>
                <w:lang w:val="en-US" w:eastAsia="zh-CN"/>
              </w:rPr>
              <w:t>枢纽工程土石方平衡见表</w:t>
            </w:r>
            <w:r>
              <w:rPr>
                <w:rFonts w:hint="default" w:ascii="Times New Roman" w:hAnsi="Times New Roman" w:cs="Times New Roman"/>
                <w:b w:val="0"/>
                <w:bCs w:val="0"/>
                <w:snapToGrid w:val="0"/>
                <w:color w:val="auto"/>
                <w:sz w:val="21"/>
                <w:szCs w:val="21"/>
                <w:highlight w:val="none"/>
                <w:lang w:val="en-US" w:eastAsia="zh-CN"/>
              </w:rPr>
              <w:t>2.5</w:t>
            </w:r>
            <w:r>
              <w:rPr>
                <w:rFonts w:hint="default" w:ascii="Times New Roman" w:hAnsi="Times New Roman" w:eastAsia="宋体" w:cs="Times New Roman"/>
                <w:b w:val="0"/>
                <w:bCs w:val="0"/>
                <w:snapToGrid w:val="0"/>
                <w:color w:val="auto"/>
                <w:sz w:val="21"/>
                <w:szCs w:val="21"/>
                <w:highlight w:val="none"/>
                <w:lang w:val="en-US" w:eastAsia="zh-CN"/>
              </w:rPr>
              <w:t>-</w:t>
            </w:r>
            <w:r>
              <w:rPr>
                <w:rFonts w:hint="default" w:ascii="Times New Roman" w:hAnsi="Times New Roman" w:cs="Times New Roman"/>
                <w:b w:val="0"/>
                <w:bCs w:val="0"/>
                <w:snapToGrid w:val="0"/>
                <w:color w:val="auto"/>
                <w:sz w:val="21"/>
                <w:szCs w:val="21"/>
                <w:highlight w:val="none"/>
                <w:lang w:val="en-US" w:eastAsia="zh-CN"/>
              </w:rPr>
              <w:t>1</w:t>
            </w:r>
            <w:r>
              <w:rPr>
                <w:rFonts w:hint="default" w:ascii="Times New Roman" w:hAnsi="Times New Roman" w:eastAsia="宋体" w:cs="Times New Roman"/>
                <w:b w:val="0"/>
                <w:bCs w:val="0"/>
                <w:snapToGrid w:val="0"/>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val="0"/>
                <w:snapToGrid w:val="0"/>
                <w:color w:val="auto"/>
                <w:sz w:val="21"/>
                <w:szCs w:val="21"/>
                <w:highlight w:val="none"/>
                <w:lang w:val="en-US" w:eastAsia="zh-CN"/>
              </w:rPr>
            </w:pPr>
            <w:r>
              <w:rPr>
                <w:rFonts w:hint="default" w:ascii="Times New Roman" w:hAnsi="Times New Roman" w:eastAsia="宋体" w:cs="Times New Roman"/>
                <w:b w:val="0"/>
                <w:bCs w:val="0"/>
                <w:snapToGrid w:val="0"/>
                <w:color w:val="auto"/>
                <w:sz w:val="21"/>
                <w:szCs w:val="21"/>
                <w:highlight w:val="none"/>
                <w:lang w:val="en-US" w:eastAsia="zh-CN"/>
              </w:rPr>
              <w:t>2、</w:t>
            </w:r>
            <w:r>
              <w:rPr>
                <w:rFonts w:hint="eastAsia"/>
                <w:color w:val="auto"/>
                <w:highlight w:val="none"/>
              </w:rPr>
              <w:t>灌</w:t>
            </w:r>
            <w:r>
              <w:rPr>
                <w:color w:val="auto"/>
                <w:highlight w:val="none"/>
              </w:rPr>
              <w:t>区</w:t>
            </w:r>
            <w:r>
              <w:rPr>
                <w:rFonts w:hint="eastAsia"/>
                <w:color w:val="auto"/>
                <w:highlight w:val="none"/>
                <w:lang w:eastAsia="zh-CN"/>
              </w:rPr>
              <w:t>工程</w:t>
            </w:r>
            <w:r>
              <w:rPr>
                <w:rFonts w:hint="default" w:ascii="Times New Roman" w:hAnsi="Times New Roman" w:eastAsia="宋体" w:cs="Times New Roman"/>
                <w:b w:val="0"/>
                <w:bCs w:val="0"/>
                <w:snapToGrid w:val="0"/>
                <w:color w:val="auto"/>
                <w:sz w:val="21"/>
                <w:szCs w:val="21"/>
                <w:highlight w:val="none"/>
                <w:lang w:val="en-US" w:eastAsia="zh-CN"/>
              </w:rPr>
              <w:t>土石平衡</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val="0"/>
                <w:snapToGrid w:val="0"/>
                <w:color w:val="auto"/>
                <w:sz w:val="21"/>
                <w:szCs w:val="21"/>
                <w:highlight w:val="none"/>
                <w:lang w:val="en-US" w:eastAsia="zh-CN"/>
              </w:rPr>
            </w:pPr>
            <w:r>
              <w:rPr>
                <w:rFonts w:hint="eastAsia"/>
                <w:color w:val="auto"/>
                <w:highlight w:val="none"/>
              </w:rPr>
              <w:t>灌</w:t>
            </w:r>
            <w:r>
              <w:rPr>
                <w:color w:val="auto"/>
                <w:highlight w:val="none"/>
              </w:rPr>
              <w:t>区工程土石方开挖总量4.63万m</w:t>
            </w:r>
            <w:r>
              <w:rPr>
                <w:color w:val="auto"/>
                <w:highlight w:val="none"/>
                <w:vertAlign w:val="superscript"/>
              </w:rPr>
              <w:t>3</w:t>
            </w:r>
            <w:r>
              <w:rPr>
                <w:color w:val="auto"/>
                <w:highlight w:val="none"/>
              </w:rPr>
              <w:t>（自然方）</w:t>
            </w:r>
            <w:r>
              <w:rPr>
                <w:rFonts w:hint="eastAsia"/>
                <w:color w:val="auto"/>
                <w:highlight w:val="none"/>
              </w:rPr>
              <w:t>；土石方开挖利用料回填</w:t>
            </w:r>
            <w:r>
              <w:rPr>
                <w:color w:val="auto"/>
                <w:highlight w:val="none"/>
              </w:rPr>
              <w:t>3.12万m</w:t>
            </w:r>
            <w:r>
              <w:rPr>
                <w:color w:val="auto"/>
                <w:highlight w:val="none"/>
                <w:vertAlign w:val="superscript"/>
              </w:rPr>
              <w:t>3</w:t>
            </w:r>
            <w:r>
              <w:rPr>
                <w:color w:val="auto"/>
                <w:highlight w:val="none"/>
              </w:rPr>
              <w:t>（压实方</w:t>
            </w:r>
            <w:r>
              <w:rPr>
                <w:rFonts w:hint="eastAsia"/>
                <w:color w:val="auto"/>
                <w:highlight w:val="none"/>
              </w:rPr>
              <w:t>）；经土</w:t>
            </w:r>
            <w:r>
              <w:rPr>
                <w:color w:val="auto"/>
                <w:highlight w:val="none"/>
              </w:rPr>
              <w:t>石方平衡弃渣量为</w:t>
            </w:r>
            <w:r>
              <w:rPr>
                <w:rFonts w:hint="eastAsia"/>
                <w:color w:val="auto"/>
                <w:highlight w:val="none"/>
              </w:rPr>
              <w:t>1.</w:t>
            </w:r>
            <w:r>
              <w:rPr>
                <w:color w:val="auto"/>
                <w:highlight w:val="none"/>
              </w:rPr>
              <w:t>44万m</w:t>
            </w:r>
            <w:r>
              <w:rPr>
                <w:color w:val="auto"/>
                <w:highlight w:val="none"/>
                <w:vertAlign w:val="superscript"/>
              </w:rPr>
              <w:t>3</w:t>
            </w:r>
            <w:r>
              <w:rPr>
                <w:color w:val="auto"/>
                <w:highlight w:val="none"/>
              </w:rPr>
              <w:t>（松方）</w:t>
            </w:r>
            <w:r>
              <w:rPr>
                <w:rFonts w:hint="default" w:ascii="Times New Roman" w:hAnsi="Times New Roman" w:eastAsia="宋体" w:cs="Times New Roman"/>
                <w:b w:val="0"/>
                <w:bCs w:val="0"/>
                <w:snapToGrid w:val="0"/>
                <w:color w:val="auto"/>
                <w:sz w:val="21"/>
                <w:szCs w:val="21"/>
                <w:highlight w:val="none"/>
                <w:lang w:val="en-US" w:eastAsia="zh-CN"/>
              </w:rPr>
              <w:t>。</w:t>
            </w:r>
            <w:r>
              <w:rPr>
                <w:color w:val="auto"/>
                <w:highlight w:val="none"/>
              </w:rPr>
              <w:t>管道沿线多余开挖料1.03</w:t>
            </w:r>
            <w:r>
              <w:rPr>
                <w:rFonts w:hint="eastAsia"/>
                <w:color w:val="auto"/>
                <w:highlight w:val="none"/>
              </w:rPr>
              <w:t>万</w:t>
            </w:r>
            <w:r>
              <w:rPr>
                <w:color w:val="auto"/>
                <w:highlight w:val="none"/>
              </w:rPr>
              <w:t>m</w:t>
            </w:r>
            <w:r>
              <w:rPr>
                <w:color w:val="auto"/>
                <w:highlight w:val="none"/>
                <w:vertAlign w:val="superscript"/>
              </w:rPr>
              <w:t>3</w:t>
            </w:r>
            <w:r>
              <w:rPr>
                <w:color w:val="auto"/>
                <w:highlight w:val="none"/>
              </w:rPr>
              <w:t>（松方）原地整平。隧洞段弃渣</w:t>
            </w:r>
            <w:r>
              <w:rPr>
                <w:rFonts w:hint="eastAsia"/>
                <w:color w:val="auto"/>
                <w:highlight w:val="none"/>
              </w:rPr>
              <w:t>0.41万</w:t>
            </w:r>
            <w:r>
              <w:rPr>
                <w:color w:val="auto"/>
                <w:highlight w:val="none"/>
              </w:rPr>
              <w:t>m</w:t>
            </w:r>
            <w:r>
              <w:rPr>
                <w:color w:val="auto"/>
                <w:highlight w:val="none"/>
                <w:vertAlign w:val="superscript"/>
              </w:rPr>
              <w:t>3</w:t>
            </w:r>
            <w:r>
              <w:rPr>
                <w:color w:val="auto"/>
                <w:highlight w:val="none"/>
              </w:rPr>
              <w:t>（松方）</w:t>
            </w:r>
            <w:r>
              <w:rPr>
                <w:rFonts w:hint="eastAsia"/>
                <w:color w:val="auto"/>
                <w:highlight w:val="none"/>
              </w:rPr>
              <w:t>渣场堆放</w:t>
            </w:r>
            <w:r>
              <w:rPr>
                <w:rFonts w:hint="eastAsia"/>
                <w:color w:val="auto"/>
                <w:highlight w:val="none"/>
                <w:lang w:eastAsia="zh-CN"/>
              </w:rPr>
              <w:t>。</w:t>
            </w:r>
            <w:r>
              <w:rPr>
                <w:rFonts w:hint="eastAsia"/>
                <w:color w:val="auto"/>
                <w:highlight w:val="none"/>
              </w:rPr>
              <w:t>灌</w:t>
            </w:r>
            <w:r>
              <w:rPr>
                <w:color w:val="auto"/>
                <w:highlight w:val="none"/>
              </w:rPr>
              <w:t>区工程</w:t>
            </w:r>
            <w:r>
              <w:rPr>
                <w:rFonts w:hint="default" w:ascii="Times New Roman" w:hAnsi="Times New Roman" w:eastAsia="宋体" w:cs="Times New Roman"/>
                <w:b w:val="0"/>
                <w:bCs w:val="0"/>
                <w:snapToGrid w:val="0"/>
                <w:color w:val="auto"/>
                <w:sz w:val="21"/>
                <w:szCs w:val="21"/>
                <w:highlight w:val="none"/>
                <w:lang w:val="en-US" w:eastAsia="zh-CN"/>
              </w:rPr>
              <w:t>土石方平衡见表</w:t>
            </w:r>
            <w:r>
              <w:rPr>
                <w:rFonts w:hint="default" w:ascii="Times New Roman" w:hAnsi="Times New Roman" w:cs="Times New Roman"/>
                <w:b w:val="0"/>
                <w:bCs w:val="0"/>
                <w:snapToGrid w:val="0"/>
                <w:color w:val="auto"/>
                <w:sz w:val="21"/>
                <w:szCs w:val="21"/>
                <w:highlight w:val="none"/>
                <w:lang w:val="en-US" w:eastAsia="zh-CN"/>
              </w:rPr>
              <w:t>2.5</w:t>
            </w:r>
            <w:r>
              <w:rPr>
                <w:rFonts w:hint="default" w:ascii="Times New Roman" w:hAnsi="Times New Roman" w:eastAsia="宋体" w:cs="Times New Roman"/>
                <w:b w:val="0"/>
                <w:bCs w:val="0"/>
                <w:snapToGrid w:val="0"/>
                <w:color w:val="auto"/>
                <w:sz w:val="21"/>
                <w:szCs w:val="21"/>
                <w:highlight w:val="none"/>
                <w:lang w:val="en-US" w:eastAsia="zh-CN"/>
              </w:rPr>
              <w:t>-</w:t>
            </w:r>
            <w:r>
              <w:rPr>
                <w:rFonts w:hint="default" w:ascii="Times New Roman" w:hAnsi="Times New Roman" w:cs="Times New Roman"/>
                <w:b w:val="0"/>
                <w:bCs w:val="0"/>
                <w:snapToGrid w:val="0"/>
                <w:color w:val="auto"/>
                <w:sz w:val="21"/>
                <w:szCs w:val="21"/>
                <w:highlight w:val="none"/>
                <w:lang w:val="en-US" w:eastAsia="zh-CN"/>
              </w:rPr>
              <w:t>2</w:t>
            </w:r>
            <w:r>
              <w:rPr>
                <w:rFonts w:hint="default" w:ascii="Times New Roman" w:hAnsi="Times New Roman" w:eastAsia="宋体" w:cs="Times New Roman"/>
                <w:b w:val="0"/>
                <w:bCs w:val="0"/>
                <w:snapToGrid w:val="0"/>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b/>
                <w:bCs/>
                <w:snapToGrid w:val="0"/>
                <w:color w:val="auto"/>
                <w:sz w:val="21"/>
                <w:szCs w:val="21"/>
                <w:highlight w:val="none"/>
                <w:lang w:val="en-US" w:eastAsia="zh-CN"/>
              </w:rPr>
              <w:t>表2</w:t>
            </w:r>
            <w:r>
              <w:rPr>
                <w:rFonts w:hint="default" w:ascii="Times New Roman" w:hAnsi="Times New Roman" w:cs="Times New Roman"/>
                <w:b/>
                <w:bCs/>
                <w:snapToGrid w:val="0"/>
                <w:color w:val="auto"/>
                <w:sz w:val="21"/>
                <w:szCs w:val="21"/>
                <w:highlight w:val="none"/>
                <w:lang w:val="en-US" w:eastAsia="zh-CN"/>
              </w:rPr>
              <w:t>.5</w:t>
            </w:r>
            <w:r>
              <w:rPr>
                <w:rFonts w:hint="default" w:ascii="Times New Roman" w:hAnsi="Times New Roman" w:eastAsia="宋体" w:cs="Times New Roman"/>
                <w:b/>
                <w:bCs/>
                <w:snapToGrid w:val="0"/>
                <w:color w:val="auto"/>
                <w:sz w:val="21"/>
                <w:szCs w:val="21"/>
                <w:highlight w:val="none"/>
                <w:lang w:val="en-US" w:eastAsia="zh-CN"/>
              </w:rPr>
              <w:t>-</w:t>
            </w:r>
            <w:r>
              <w:rPr>
                <w:rFonts w:hint="default" w:ascii="Times New Roman" w:hAnsi="Times New Roman" w:cs="Times New Roman"/>
                <w:b/>
                <w:bCs/>
                <w:snapToGrid w:val="0"/>
                <w:color w:val="auto"/>
                <w:sz w:val="21"/>
                <w:szCs w:val="21"/>
                <w:highlight w:val="none"/>
                <w:lang w:val="en-US" w:eastAsia="zh-CN"/>
              </w:rPr>
              <w:t>1</w:t>
            </w:r>
            <w:r>
              <w:rPr>
                <w:rFonts w:hint="default" w:ascii="Times New Roman" w:hAnsi="Times New Roman" w:eastAsia="宋体" w:cs="Times New Roman"/>
                <w:b/>
                <w:bCs/>
                <w:snapToGrid w:val="0"/>
                <w:color w:val="auto"/>
                <w:sz w:val="21"/>
                <w:szCs w:val="21"/>
                <w:highlight w:val="none"/>
                <w:lang w:val="en-US" w:eastAsia="zh-CN"/>
              </w:rPr>
              <w:t xml:space="preserve"> 枢纽工程土石方平衡表</w:t>
            </w:r>
          </w:p>
          <w:tbl>
            <w:tblPr>
              <w:tblStyle w:val="29"/>
              <w:tblW w:w="5000" w:type="pct"/>
              <w:tblInd w:w="0" w:type="dxa"/>
              <w:tblLayout w:type="fixed"/>
              <w:tblCellMar>
                <w:top w:w="0" w:type="dxa"/>
                <w:left w:w="108" w:type="dxa"/>
                <w:bottom w:w="0" w:type="dxa"/>
                <w:right w:w="108" w:type="dxa"/>
              </w:tblCellMar>
            </w:tblPr>
            <w:tblGrid>
              <w:gridCol w:w="541"/>
              <w:gridCol w:w="564"/>
              <w:gridCol w:w="522"/>
              <w:gridCol w:w="522"/>
              <w:gridCol w:w="472"/>
              <w:gridCol w:w="472"/>
              <w:gridCol w:w="472"/>
              <w:gridCol w:w="472"/>
              <w:gridCol w:w="474"/>
              <w:gridCol w:w="532"/>
              <w:gridCol w:w="534"/>
              <w:gridCol w:w="472"/>
              <w:gridCol w:w="522"/>
              <w:gridCol w:w="472"/>
              <w:gridCol w:w="472"/>
              <w:gridCol w:w="412"/>
              <w:gridCol w:w="412"/>
            </w:tblGrid>
            <w:tr>
              <w:tblPrEx>
                <w:tblCellMar>
                  <w:top w:w="0" w:type="dxa"/>
                  <w:left w:w="108" w:type="dxa"/>
                  <w:bottom w:w="0" w:type="dxa"/>
                  <w:right w:w="108" w:type="dxa"/>
                </w:tblCellMar>
              </w:tblPrEx>
              <w:trPr>
                <w:trHeight w:val="280" w:hRule="atLeast"/>
              </w:trPr>
              <w:tc>
                <w:tcPr>
                  <w:tcW w:w="976" w:type="pct"/>
                  <w:gridSpan w:val="3"/>
                  <w:vMerge w:val="restart"/>
                  <w:tcBorders>
                    <w:top w:val="single" w:color="auto" w:sz="4" w:space="0"/>
                    <w:left w:val="single" w:color="auto" w:sz="4" w:space="0"/>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开挖量</w:t>
                  </w:r>
                </w:p>
              </w:tc>
              <w:tc>
                <w:tcPr>
                  <w:tcW w:w="2964" w:type="pct"/>
                  <w:gridSpan w:val="10"/>
                  <w:tcBorders>
                    <w:top w:val="single" w:color="auto" w:sz="4" w:space="0"/>
                    <w:left w:val="nil"/>
                    <w:bottom w:val="single" w:color="auto" w:sz="4" w:space="0"/>
                    <w:right w:val="single" w:color="000000" w:sz="4" w:space="0"/>
                  </w:tcBorders>
                  <w:shd w:val="clear" w:color="auto" w:fill="auto"/>
                  <w:noWrap/>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填筑量</w:t>
                  </w:r>
                </w:p>
              </w:tc>
              <w:tc>
                <w:tcPr>
                  <w:tcW w:w="1060" w:type="pct"/>
                  <w:gridSpan w:val="4"/>
                  <w:tcBorders>
                    <w:top w:val="single" w:color="auto" w:sz="4" w:space="0"/>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弃渣量</w:t>
                  </w:r>
                </w:p>
              </w:tc>
            </w:tr>
            <w:tr>
              <w:tblPrEx>
                <w:tblCellMar>
                  <w:top w:w="0" w:type="dxa"/>
                  <w:left w:w="108" w:type="dxa"/>
                  <w:bottom w:w="0" w:type="dxa"/>
                  <w:right w:w="108" w:type="dxa"/>
                </w:tblCellMar>
              </w:tblPrEx>
              <w:trPr>
                <w:trHeight w:val="283" w:hRule="atLeast"/>
              </w:trPr>
              <w:tc>
                <w:tcPr>
                  <w:tcW w:w="976" w:type="pct"/>
                  <w:gridSpan w:val="3"/>
                  <w:vMerge w:val="continue"/>
                  <w:tcBorders>
                    <w:top w:val="single" w:color="auto" w:sz="4" w:space="0"/>
                    <w:left w:val="single" w:color="auto" w:sz="4" w:space="0"/>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left"/>
                    <w:rPr>
                      <w:color w:val="auto"/>
                      <w:kern w:val="0"/>
                      <w:sz w:val="18"/>
                      <w:szCs w:val="18"/>
                      <w:highlight w:val="none"/>
                    </w:rPr>
                  </w:pPr>
                </w:p>
              </w:tc>
              <w:tc>
                <w:tcPr>
                  <w:tcW w:w="596" w:type="pct"/>
                  <w:gridSpan w:val="2"/>
                  <w:tcBorders>
                    <w:top w:val="single" w:color="auto" w:sz="4" w:space="0"/>
                    <w:left w:val="nil"/>
                    <w:bottom w:val="single" w:color="auto" w:sz="4" w:space="0"/>
                    <w:right w:val="single" w:color="000000"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大坝</w:t>
                  </w:r>
                </w:p>
              </w:tc>
              <w:tc>
                <w:tcPr>
                  <w:tcW w:w="1133" w:type="pct"/>
                  <w:gridSpan w:val="4"/>
                  <w:tcBorders>
                    <w:top w:val="single" w:color="auto" w:sz="4" w:space="0"/>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补水工程</w:t>
                  </w:r>
                </w:p>
              </w:tc>
              <w:tc>
                <w:tcPr>
                  <w:tcW w:w="1235" w:type="pct"/>
                  <w:gridSpan w:val="4"/>
                  <w:tcBorders>
                    <w:top w:val="single" w:color="auto" w:sz="4" w:space="0"/>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临时围堰</w:t>
                  </w:r>
                </w:p>
              </w:tc>
              <w:tc>
                <w:tcPr>
                  <w:tcW w:w="566" w:type="pct"/>
                  <w:gridSpan w:val="2"/>
                  <w:vMerge w:val="restart"/>
                  <w:tcBorders>
                    <w:top w:val="single" w:color="auto" w:sz="4" w:space="0"/>
                    <w:left w:val="single" w:color="auto" w:sz="4" w:space="0"/>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水库枢纽</w:t>
                  </w:r>
                </w:p>
              </w:tc>
              <w:tc>
                <w:tcPr>
                  <w:tcW w:w="494" w:type="pct"/>
                  <w:gridSpan w:val="2"/>
                  <w:vMerge w:val="restart"/>
                  <w:tcBorders>
                    <w:top w:val="single" w:color="auto" w:sz="4" w:space="0"/>
                    <w:left w:val="single" w:color="auto" w:sz="4" w:space="0"/>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补水工程</w:t>
                  </w:r>
                </w:p>
              </w:tc>
            </w:tr>
            <w:tr>
              <w:tblPrEx>
                <w:tblCellMar>
                  <w:top w:w="0" w:type="dxa"/>
                  <w:left w:w="108" w:type="dxa"/>
                  <w:bottom w:w="0" w:type="dxa"/>
                  <w:right w:w="108" w:type="dxa"/>
                </w:tblCellMar>
              </w:tblPrEx>
              <w:trPr>
                <w:trHeight w:val="283" w:hRule="atLeast"/>
              </w:trPr>
              <w:tc>
                <w:tcPr>
                  <w:tcW w:w="976" w:type="pct"/>
                  <w:gridSpan w:val="3"/>
                  <w:vMerge w:val="continue"/>
                  <w:tcBorders>
                    <w:top w:val="single" w:color="auto" w:sz="4" w:space="0"/>
                    <w:left w:val="single" w:color="auto" w:sz="4" w:space="0"/>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left"/>
                    <w:rPr>
                      <w:color w:val="auto"/>
                      <w:kern w:val="0"/>
                      <w:sz w:val="18"/>
                      <w:szCs w:val="18"/>
                      <w:highlight w:val="none"/>
                    </w:rPr>
                  </w:pPr>
                </w:p>
              </w:tc>
              <w:tc>
                <w:tcPr>
                  <w:tcW w:w="596" w:type="pct"/>
                  <w:gridSpan w:val="2"/>
                  <w:tcBorders>
                    <w:top w:val="single" w:color="auto" w:sz="4" w:space="0"/>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石渣回填</w:t>
                  </w:r>
                </w:p>
              </w:tc>
              <w:tc>
                <w:tcPr>
                  <w:tcW w:w="566" w:type="pct"/>
                  <w:gridSpan w:val="2"/>
                  <w:tcBorders>
                    <w:top w:val="single" w:color="auto" w:sz="4" w:space="0"/>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rFonts w:hint="eastAsia"/>
                      <w:color w:val="auto"/>
                      <w:kern w:val="0"/>
                      <w:sz w:val="18"/>
                      <w:szCs w:val="18"/>
                      <w:highlight w:val="none"/>
                    </w:rPr>
                  </w:pPr>
                  <w:r>
                    <w:rPr>
                      <w:rFonts w:hint="eastAsia" w:ascii="宋体" w:hAnsi="宋体"/>
                      <w:color w:val="auto"/>
                      <w:kern w:val="0"/>
                      <w:sz w:val="18"/>
                      <w:szCs w:val="18"/>
                      <w:highlight w:val="none"/>
                    </w:rPr>
                    <w:t>土方回填</w:t>
                  </w:r>
                </w:p>
              </w:tc>
              <w:tc>
                <w:tcPr>
                  <w:tcW w:w="567" w:type="pct"/>
                  <w:gridSpan w:val="2"/>
                  <w:tcBorders>
                    <w:top w:val="single" w:color="auto" w:sz="4" w:space="0"/>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石渣回填</w:t>
                  </w:r>
                </w:p>
              </w:tc>
              <w:tc>
                <w:tcPr>
                  <w:tcW w:w="639" w:type="pct"/>
                  <w:gridSpan w:val="2"/>
                  <w:tcBorders>
                    <w:top w:val="single" w:color="auto" w:sz="4" w:space="0"/>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土方填筑</w:t>
                  </w:r>
                </w:p>
              </w:tc>
              <w:tc>
                <w:tcPr>
                  <w:tcW w:w="596" w:type="pct"/>
                  <w:gridSpan w:val="2"/>
                  <w:tcBorders>
                    <w:top w:val="single" w:color="auto" w:sz="4" w:space="0"/>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石渣填筑</w:t>
                  </w:r>
                </w:p>
              </w:tc>
              <w:tc>
                <w:tcPr>
                  <w:tcW w:w="566" w:type="pct"/>
                  <w:gridSpan w:val="2"/>
                  <w:vMerge w:val="continue"/>
                  <w:tcBorders>
                    <w:top w:val="single" w:color="auto" w:sz="4" w:space="0"/>
                    <w:left w:val="single" w:color="auto" w:sz="4" w:space="0"/>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left"/>
                    <w:rPr>
                      <w:color w:val="auto"/>
                      <w:kern w:val="0"/>
                      <w:sz w:val="18"/>
                      <w:szCs w:val="18"/>
                      <w:highlight w:val="none"/>
                    </w:rPr>
                  </w:pPr>
                </w:p>
              </w:tc>
              <w:tc>
                <w:tcPr>
                  <w:tcW w:w="494" w:type="pct"/>
                  <w:gridSpan w:val="2"/>
                  <w:vMerge w:val="continue"/>
                  <w:tcBorders>
                    <w:top w:val="single" w:color="auto" w:sz="4" w:space="0"/>
                    <w:left w:val="single" w:color="auto" w:sz="4" w:space="0"/>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left"/>
                    <w:rPr>
                      <w:color w:val="auto"/>
                      <w:kern w:val="0"/>
                      <w:sz w:val="18"/>
                      <w:szCs w:val="18"/>
                      <w:highlight w:val="none"/>
                    </w:rPr>
                  </w:pPr>
                </w:p>
              </w:tc>
            </w:tr>
            <w:tr>
              <w:tblPrEx>
                <w:tblCellMar>
                  <w:top w:w="0" w:type="dxa"/>
                  <w:left w:w="108" w:type="dxa"/>
                  <w:bottom w:w="0" w:type="dxa"/>
                  <w:right w:w="108" w:type="dxa"/>
                </w:tblCellMar>
              </w:tblPrEx>
              <w:trPr>
                <w:trHeight w:val="280" w:hRule="atLeast"/>
              </w:trPr>
              <w:tc>
                <w:tcPr>
                  <w:tcW w:w="663" w:type="pct"/>
                  <w:gridSpan w:val="2"/>
                  <w:vMerge w:val="restart"/>
                  <w:tcBorders>
                    <w:top w:val="single" w:color="auto" w:sz="4" w:space="0"/>
                    <w:left w:val="single" w:color="auto" w:sz="4" w:space="0"/>
                    <w:bottom w:val="single" w:color="auto" w:sz="4" w:space="0"/>
                    <w:right w:val="single" w:color="auto" w:sz="4" w:space="0"/>
                  </w:tcBorders>
                  <w:shd w:val="clear" w:color="auto" w:fill="auto"/>
                  <w:noWrap/>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建筑物</w:t>
                  </w:r>
                </w:p>
              </w:tc>
              <w:tc>
                <w:tcPr>
                  <w:tcW w:w="31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自然方</w:t>
                  </w:r>
                </w:p>
              </w:tc>
              <w:tc>
                <w:tcPr>
                  <w:tcW w:w="31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压实方</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自然方</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压实方</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自然方</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压实方</w:t>
                  </w:r>
                </w:p>
              </w:tc>
              <w:tc>
                <w:tcPr>
                  <w:tcW w:w="284"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自然方</w:t>
                  </w:r>
                </w:p>
              </w:tc>
              <w:tc>
                <w:tcPr>
                  <w:tcW w:w="319"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压实方</w:t>
                  </w:r>
                </w:p>
              </w:tc>
              <w:tc>
                <w:tcPr>
                  <w:tcW w:w="320"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自然方</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压实方</w:t>
                  </w:r>
                </w:p>
              </w:tc>
              <w:tc>
                <w:tcPr>
                  <w:tcW w:w="31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自然方</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自然方</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松方</w:t>
                  </w:r>
                </w:p>
              </w:tc>
              <w:tc>
                <w:tcPr>
                  <w:tcW w:w="24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自然方</w:t>
                  </w:r>
                </w:p>
              </w:tc>
              <w:tc>
                <w:tcPr>
                  <w:tcW w:w="24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松方</w:t>
                  </w:r>
                </w:p>
              </w:tc>
            </w:tr>
            <w:tr>
              <w:tblPrEx>
                <w:tblCellMar>
                  <w:top w:w="0" w:type="dxa"/>
                  <w:left w:w="108" w:type="dxa"/>
                  <w:bottom w:w="0" w:type="dxa"/>
                  <w:right w:w="108" w:type="dxa"/>
                </w:tblCellMar>
              </w:tblPrEx>
              <w:trPr>
                <w:trHeight w:val="310" w:hRule="atLeast"/>
              </w:trPr>
              <w:tc>
                <w:tcPr>
                  <w:tcW w:w="663" w:type="pct"/>
                  <w:gridSpan w:val="2"/>
                  <w:vMerge w:val="continue"/>
                  <w:tcBorders>
                    <w:top w:val="single" w:color="auto" w:sz="4" w:space="0"/>
                    <w:left w:val="single" w:color="auto" w:sz="4" w:space="0"/>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left"/>
                    <w:rPr>
                      <w:color w:val="auto"/>
                      <w:kern w:val="0"/>
                      <w:sz w:val="18"/>
                      <w:szCs w:val="18"/>
                      <w:highlight w:val="none"/>
                    </w:rPr>
                  </w:pPr>
                </w:p>
              </w:tc>
              <w:tc>
                <w:tcPr>
                  <w:tcW w:w="31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m</w:t>
                  </w:r>
                  <w:r>
                    <w:rPr>
                      <w:color w:val="auto"/>
                      <w:kern w:val="0"/>
                      <w:sz w:val="18"/>
                      <w:szCs w:val="18"/>
                      <w:highlight w:val="none"/>
                      <w:vertAlign w:val="superscript"/>
                    </w:rPr>
                    <w:t>3</w:t>
                  </w:r>
                </w:p>
              </w:tc>
              <w:tc>
                <w:tcPr>
                  <w:tcW w:w="31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m</w:t>
                  </w:r>
                  <w:r>
                    <w:rPr>
                      <w:color w:val="auto"/>
                      <w:kern w:val="0"/>
                      <w:sz w:val="18"/>
                      <w:szCs w:val="18"/>
                      <w:highlight w:val="none"/>
                      <w:vertAlign w:val="superscript"/>
                    </w:rPr>
                    <w:t>3</w:t>
                  </w:r>
                </w:p>
              </w:tc>
              <w:tc>
                <w:tcPr>
                  <w:tcW w:w="472" w:type="dxa"/>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m</w:t>
                  </w:r>
                  <w:r>
                    <w:rPr>
                      <w:color w:val="auto"/>
                      <w:kern w:val="0"/>
                      <w:sz w:val="18"/>
                      <w:szCs w:val="18"/>
                      <w:highlight w:val="none"/>
                      <w:vertAlign w:val="superscript"/>
                    </w:rPr>
                    <w:t>3</w:t>
                  </w:r>
                </w:p>
              </w:tc>
              <w:tc>
                <w:tcPr>
                  <w:tcW w:w="472" w:type="dxa"/>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m</w:t>
                  </w:r>
                  <w:r>
                    <w:rPr>
                      <w:color w:val="auto"/>
                      <w:kern w:val="0"/>
                      <w:sz w:val="18"/>
                      <w:szCs w:val="18"/>
                      <w:highlight w:val="none"/>
                      <w:vertAlign w:val="superscript"/>
                    </w:rPr>
                    <w:t>3</w:t>
                  </w:r>
                </w:p>
              </w:tc>
              <w:tc>
                <w:tcPr>
                  <w:tcW w:w="472" w:type="dxa"/>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m</w:t>
                  </w:r>
                  <w:r>
                    <w:rPr>
                      <w:color w:val="auto"/>
                      <w:kern w:val="0"/>
                      <w:sz w:val="18"/>
                      <w:szCs w:val="18"/>
                      <w:highlight w:val="none"/>
                      <w:vertAlign w:val="superscript"/>
                    </w:rPr>
                    <w:t>3</w:t>
                  </w:r>
                </w:p>
              </w:tc>
              <w:tc>
                <w:tcPr>
                  <w:tcW w:w="472" w:type="dxa"/>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m</w:t>
                  </w:r>
                  <w:r>
                    <w:rPr>
                      <w:color w:val="auto"/>
                      <w:kern w:val="0"/>
                      <w:sz w:val="18"/>
                      <w:szCs w:val="18"/>
                      <w:highlight w:val="none"/>
                      <w:vertAlign w:val="superscript"/>
                    </w:rPr>
                    <w:t>3</w:t>
                  </w:r>
                </w:p>
              </w:tc>
              <w:tc>
                <w:tcPr>
                  <w:tcW w:w="474" w:type="dxa"/>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m</w:t>
                  </w:r>
                  <w:r>
                    <w:rPr>
                      <w:color w:val="auto"/>
                      <w:kern w:val="0"/>
                      <w:sz w:val="18"/>
                      <w:szCs w:val="18"/>
                      <w:highlight w:val="none"/>
                      <w:vertAlign w:val="superscript"/>
                    </w:rPr>
                    <w:t>3</w:t>
                  </w:r>
                </w:p>
              </w:tc>
              <w:tc>
                <w:tcPr>
                  <w:tcW w:w="532" w:type="dxa"/>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m</w:t>
                  </w:r>
                  <w:r>
                    <w:rPr>
                      <w:color w:val="auto"/>
                      <w:kern w:val="0"/>
                      <w:sz w:val="18"/>
                      <w:szCs w:val="18"/>
                      <w:highlight w:val="none"/>
                      <w:vertAlign w:val="superscript"/>
                    </w:rPr>
                    <w:t>3</w:t>
                  </w:r>
                </w:p>
              </w:tc>
              <w:tc>
                <w:tcPr>
                  <w:tcW w:w="534" w:type="dxa"/>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m</w:t>
                  </w:r>
                  <w:r>
                    <w:rPr>
                      <w:color w:val="auto"/>
                      <w:kern w:val="0"/>
                      <w:sz w:val="18"/>
                      <w:szCs w:val="18"/>
                      <w:highlight w:val="none"/>
                      <w:vertAlign w:val="superscript"/>
                    </w:rPr>
                    <w:t>3</w:t>
                  </w:r>
                </w:p>
              </w:tc>
              <w:tc>
                <w:tcPr>
                  <w:tcW w:w="472" w:type="dxa"/>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m</w:t>
                  </w:r>
                  <w:r>
                    <w:rPr>
                      <w:color w:val="auto"/>
                      <w:kern w:val="0"/>
                      <w:sz w:val="18"/>
                      <w:szCs w:val="18"/>
                      <w:highlight w:val="none"/>
                      <w:vertAlign w:val="superscript"/>
                    </w:rPr>
                    <w:t>3</w:t>
                  </w:r>
                </w:p>
              </w:tc>
              <w:tc>
                <w:tcPr>
                  <w:tcW w:w="522" w:type="dxa"/>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m</w:t>
                  </w:r>
                  <w:r>
                    <w:rPr>
                      <w:color w:val="auto"/>
                      <w:kern w:val="0"/>
                      <w:sz w:val="18"/>
                      <w:szCs w:val="18"/>
                      <w:highlight w:val="none"/>
                      <w:vertAlign w:val="superscript"/>
                    </w:rPr>
                    <w:t>3</w:t>
                  </w:r>
                </w:p>
              </w:tc>
              <w:tc>
                <w:tcPr>
                  <w:tcW w:w="472" w:type="dxa"/>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m</w:t>
                  </w:r>
                  <w:r>
                    <w:rPr>
                      <w:color w:val="auto"/>
                      <w:kern w:val="0"/>
                      <w:sz w:val="18"/>
                      <w:szCs w:val="18"/>
                      <w:highlight w:val="none"/>
                      <w:vertAlign w:val="superscript"/>
                    </w:rPr>
                    <w:t>3</w:t>
                  </w:r>
                </w:p>
              </w:tc>
              <w:tc>
                <w:tcPr>
                  <w:tcW w:w="472" w:type="dxa"/>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m</w:t>
                  </w:r>
                  <w:r>
                    <w:rPr>
                      <w:color w:val="auto"/>
                      <w:kern w:val="0"/>
                      <w:sz w:val="18"/>
                      <w:szCs w:val="18"/>
                      <w:highlight w:val="none"/>
                      <w:vertAlign w:val="superscript"/>
                    </w:rPr>
                    <w:t>3</w:t>
                  </w:r>
                </w:p>
              </w:tc>
              <w:tc>
                <w:tcPr>
                  <w:tcW w:w="412" w:type="dxa"/>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m</w:t>
                  </w:r>
                  <w:r>
                    <w:rPr>
                      <w:color w:val="auto"/>
                      <w:kern w:val="0"/>
                      <w:sz w:val="18"/>
                      <w:szCs w:val="18"/>
                      <w:highlight w:val="none"/>
                      <w:vertAlign w:val="superscript"/>
                    </w:rPr>
                    <w:t>3</w:t>
                  </w:r>
                </w:p>
              </w:tc>
              <w:tc>
                <w:tcPr>
                  <w:tcW w:w="412" w:type="dxa"/>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m</w:t>
                  </w:r>
                  <w:r>
                    <w:rPr>
                      <w:color w:val="auto"/>
                      <w:kern w:val="0"/>
                      <w:sz w:val="18"/>
                      <w:szCs w:val="18"/>
                      <w:highlight w:val="none"/>
                      <w:vertAlign w:val="superscript"/>
                    </w:rPr>
                    <w:t>3</w:t>
                  </w:r>
                </w:p>
              </w:tc>
            </w:tr>
            <w:tr>
              <w:tblPrEx>
                <w:tblCellMar>
                  <w:top w:w="0" w:type="dxa"/>
                  <w:left w:w="108" w:type="dxa"/>
                  <w:bottom w:w="0" w:type="dxa"/>
                  <w:right w:w="108" w:type="dxa"/>
                </w:tblCellMar>
              </w:tblPrEx>
              <w:trPr>
                <w:trHeight w:val="280" w:hRule="atLeast"/>
              </w:trPr>
              <w:tc>
                <w:tcPr>
                  <w:tcW w:w="325" w:type="pct"/>
                  <w:vMerge w:val="restart"/>
                  <w:tcBorders>
                    <w:top w:val="nil"/>
                    <w:left w:val="single" w:color="auto" w:sz="4" w:space="0"/>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大坝</w:t>
                  </w:r>
                </w:p>
              </w:tc>
              <w:tc>
                <w:tcPr>
                  <w:tcW w:w="33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土方开挖</w:t>
                  </w:r>
                </w:p>
              </w:tc>
              <w:tc>
                <w:tcPr>
                  <w:tcW w:w="31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14849</w:t>
                  </w:r>
                </w:p>
              </w:tc>
              <w:tc>
                <w:tcPr>
                  <w:tcW w:w="31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4"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319"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524 </w:t>
                  </w:r>
                </w:p>
              </w:tc>
              <w:tc>
                <w:tcPr>
                  <w:tcW w:w="320"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617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31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14232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18929 </w:t>
                  </w:r>
                </w:p>
              </w:tc>
              <w:tc>
                <w:tcPr>
                  <w:tcW w:w="247"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47"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r>
            <w:tr>
              <w:tblPrEx>
                <w:tblCellMar>
                  <w:top w:w="0" w:type="dxa"/>
                  <w:left w:w="108" w:type="dxa"/>
                  <w:bottom w:w="0" w:type="dxa"/>
                  <w:right w:w="108" w:type="dxa"/>
                </w:tblCellMar>
              </w:tblPrEx>
              <w:trPr>
                <w:trHeight w:val="280" w:hRule="atLeast"/>
              </w:trPr>
              <w:tc>
                <w:tcPr>
                  <w:tcW w:w="325" w:type="pct"/>
                  <w:vMerge w:val="continue"/>
                  <w:tcBorders>
                    <w:top w:val="nil"/>
                    <w:left w:val="single" w:color="auto" w:sz="4" w:space="0"/>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left"/>
                    <w:rPr>
                      <w:color w:val="auto"/>
                      <w:kern w:val="0"/>
                      <w:sz w:val="18"/>
                      <w:szCs w:val="18"/>
                      <w:highlight w:val="none"/>
                    </w:rPr>
                  </w:pPr>
                </w:p>
              </w:tc>
              <w:tc>
                <w:tcPr>
                  <w:tcW w:w="33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石方开挖</w:t>
                  </w:r>
                </w:p>
              </w:tc>
              <w:tc>
                <w:tcPr>
                  <w:tcW w:w="31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33270</w:t>
                  </w:r>
                </w:p>
              </w:tc>
              <w:tc>
                <w:tcPr>
                  <w:tcW w:w="31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13809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15692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4"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319"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320"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786 </w:t>
                  </w:r>
                </w:p>
              </w:tc>
              <w:tc>
                <w:tcPr>
                  <w:tcW w:w="31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893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16685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21890 </w:t>
                  </w:r>
                </w:p>
              </w:tc>
              <w:tc>
                <w:tcPr>
                  <w:tcW w:w="247"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47"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r>
            <w:tr>
              <w:tblPrEx>
                <w:tblCellMar>
                  <w:top w:w="0" w:type="dxa"/>
                  <w:left w:w="108" w:type="dxa"/>
                  <w:bottom w:w="0" w:type="dxa"/>
                  <w:right w:w="108" w:type="dxa"/>
                </w:tblCellMar>
              </w:tblPrEx>
              <w:trPr>
                <w:trHeight w:val="280" w:hRule="atLeast"/>
              </w:trPr>
              <w:tc>
                <w:tcPr>
                  <w:tcW w:w="325" w:type="pct"/>
                  <w:vMerge w:val="restart"/>
                  <w:tcBorders>
                    <w:top w:val="nil"/>
                    <w:left w:val="single" w:color="auto" w:sz="4" w:space="0"/>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上坝公路</w:t>
                  </w:r>
                </w:p>
              </w:tc>
              <w:tc>
                <w:tcPr>
                  <w:tcW w:w="33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土方开挖</w:t>
                  </w:r>
                </w:p>
              </w:tc>
              <w:tc>
                <w:tcPr>
                  <w:tcW w:w="31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593</w:t>
                  </w:r>
                </w:p>
              </w:tc>
              <w:tc>
                <w:tcPr>
                  <w:tcW w:w="31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4"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319"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320"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31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593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789 </w:t>
                  </w:r>
                </w:p>
              </w:tc>
              <w:tc>
                <w:tcPr>
                  <w:tcW w:w="247"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47"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r>
            <w:tr>
              <w:tblPrEx>
                <w:tblCellMar>
                  <w:top w:w="0" w:type="dxa"/>
                  <w:left w:w="108" w:type="dxa"/>
                  <w:bottom w:w="0" w:type="dxa"/>
                  <w:right w:w="108" w:type="dxa"/>
                </w:tblCellMar>
              </w:tblPrEx>
              <w:trPr>
                <w:trHeight w:val="280" w:hRule="atLeast"/>
              </w:trPr>
              <w:tc>
                <w:tcPr>
                  <w:tcW w:w="325" w:type="pct"/>
                  <w:vMerge w:val="continue"/>
                  <w:tcBorders>
                    <w:top w:val="nil"/>
                    <w:left w:val="single" w:color="auto" w:sz="4" w:space="0"/>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left"/>
                    <w:rPr>
                      <w:color w:val="auto"/>
                      <w:kern w:val="0"/>
                      <w:sz w:val="18"/>
                      <w:szCs w:val="18"/>
                      <w:highlight w:val="none"/>
                    </w:rPr>
                  </w:pPr>
                </w:p>
              </w:tc>
              <w:tc>
                <w:tcPr>
                  <w:tcW w:w="33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石方开挖</w:t>
                  </w:r>
                </w:p>
              </w:tc>
              <w:tc>
                <w:tcPr>
                  <w:tcW w:w="31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15253</w:t>
                  </w:r>
                </w:p>
              </w:tc>
              <w:tc>
                <w:tcPr>
                  <w:tcW w:w="31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4"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319"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320"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31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15253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19981 </w:t>
                  </w:r>
                </w:p>
              </w:tc>
              <w:tc>
                <w:tcPr>
                  <w:tcW w:w="247"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47"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r>
            <w:tr>
              <w:tblPrEx>
                <w:tblCellMar>
                  <w:top w:w="0" w:type="dxa"/>
                  <w:left w:w="108" w:type="dxa"/>
                  <w:bottom w:w="0" w:type="dxa"/>
                  <w:right w:w="108" w:type="dxa"/>
                </w:tblCellMar>
              </w:tblPrEx>
              <w:trPr>
                <w:trHeight w:val="280" w:hRule="atLeast"/>
              </w:trPr>
              <w:tc>
                <w:tcPr>
                  <w:tcW w:w="325" w:type="pct"/>
                  <w:vMerge w:val="restart"/>
                  <w:tcBorders>
                    <w:top w:val="nil"/>
                    <w:left w:val="single" w:color="auto" w:sz="4" w:space="0"/>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补水工程</w:t>
                  </w:r>
                </w:p>
              </w:tc>
              <w:tc>
                <w:tcPr>
                  <w:tcW w:w="33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rFonts w:hint="eastAsia"/>
                      <w:color w:val="auto"/>
                      <w:kern w:val="0"/>
                      <w:sz w:val="18"/>
                      <w:szCs w:val="18"/>
                      <w:highlight w:val="none"/>
                    </w:rPr>
                  </w:pPr>
                  <w:r>
                    <w:rPr>
                      <w:rFonts w:hint="eastAsia" w:ascii="宋体" w:hAnsi="宋体"/>
                      <w:color w:val="auto"/>
                      <w:kern w:val="0"/>
                      <w:sz w:val="18"/>
                      <w:szCs w:val="18"/>
                      <w:highlight w:val="none"/>
                    </w:rPr>
                    <w:t>土方开挖</w:t>
                  </w:r>
                </w:p>
              </w:tc>
              <w:tc>
                <w:tcPr>
                  <w:tcW w:w="31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32681</w:t>
                  </w:r>
                </w:p>
              </w:tc>
              <w:tc>
                <w:tcPr>
                  <w:tcW w:w="31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20535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24159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4"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319"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299 </w:t>
                  </w:r>
                </w:p>
              </w:tc>
              <w:tc>
                <w:tcPr>
                  <w:tcW w:w="320"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352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31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4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8170 </w:t>
                  </w:r>
                </w:p>
              </w:tc>
              <w:tc>
                <w:tcPr>
                  <w:tcW w:w="24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10866 </w:t>
                  </w:r>
                </w:p>
              </w:tc>
            </w:tr>
            <w:tr>
              <w:tblPrEx>
                <w:tblCellMar>
                  <w:top w:w="0" w:type="dxa"/>
                  <w:left w:w="108" w:type="dxa"/>
                  <w:bottom w:w="0" w:type="dxa"/>
                  <w:right w:w="108" w:type="dxa"/>
                </w:tblCellMar>
              </w:tblPrEx>
              <w:trPr>
                <w:trHeight w:val="280" w:hRule="atLeast"/>
              </w:trPr>
              <w:tc>
                <w:tcPr>
                  <w:tcW w:w="325" w:type="pct"/>
                  <w:vMerge w:val="continue"/>
                  <w:tcBorders>
                    <w:top w:val="nil"/>
                    <w:left w:val="single" w:color="auto" w:sz="4" w:space="0"/>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left"/>
                    <w:rPr>
                      <w:rFonts w:ascii="宋体" w:hAnsi="宋体" w:cs="宋体"/>
                      <w:color w:val="auto"/>
                      <w:kern w:val="0"/>
                      <w:sz w:val="18"/>
                      <w:szCs w:val="18"/>
                      <w:highlight w:val="none"/>
                    </w:rPr>
                  </w:pPr>
                </w:p>
              </w:tc>
              <w:tc>
                <w:tcPr>
                  <w:tcW w:w="33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石方开挖</w:t>
                  </w:r>
                </w:p>
              </w:tc>
              <w:tc>
                <w:tcPr>
                  <w:tcW w:w="31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8109</w:t>
                  </w:r>
                </w:p>
              </w:tc>
              <w:tc>
                <w:tcPr>
                  <w:tcW w:w="31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6485 </w:t>
                  </w:r>
                </w:p>
              </w:tc>
              <w:tc>
                <w:tcPr>
                  <w:tcW w:w="284"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7369 </w:t>
                  </w:r>
                </w:p>
              </w:tc>
              <w:tc>
                <w:tcPr>
                  <w:tcW w:w="319"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320"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449 </w:t>
                  </w:r>
                </w:p>
              </w:tc>
              <w:tc>
                <w:tcPr>
                  <w:tcW w:w="31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510 </w:t>
                  </w:r>
                </w:p>
              </w:tc>
              <w:tc>
                <w:tcPr>
                  <w:tcW w:w="283"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4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230 </w:t>
                  </w:r>
                </w:p>
              </w:tc>
              <w:tc>
                <w:tcPr>
                  <w:tcW w:w="24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352 </w:t>
                  </w:r>
                </w:p>
              </w:tc>
            </w:tr>
            <w:tr>
              <w:tblPrEx>
                <w:tblCellMar>
                  <w:top w:w="0" w:type="dxa"/>
                  <w:left w:w="108" w:type="dxa"/>
                  <w:bottom w:w="0" w:type="dxa"/>
                  <w:right w:w="108" w:type="dxa"/>
                </w:tblCellMar>
              </w:tblPrEx>
              <w:trPr>
                <w:trHeight w:val="280" w:hRule="atLeast"/>
              </w:trPr>
              <w:tc>
                <w:tcPr>
                  <w:tcW w:w="325" w:type="pct"/>
                  <w:vMerge w:val="restart"/>
                  <w:tcBorders>
                    <w:top w:val="nil"/>
                    <w:left w:val="single" w:color="auto" w:sz="4" w:space="0"/>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临时围堰</w:t>
                  </w:r>
                </w:p>
              </w:tc>
              <w:tc>
                <w:tcPr>
                  <w:tcW w:w="33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土方开挖</w:t>
                  </w:r>
                </w:p>
              </w:tc>
              <w:tc>
                <w:tcPr>
                  <w:tcW w:w="31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1930</w:t>
                  </w:r>
                </w:p>
              </w:tc>
              <w:tc>
                <w:tcPr>
                  <w:tcW w:w="31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4"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319"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320"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31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1930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2567 </w:t>
                  </w:r>
                </w:p>
              </w:tc>
              <w:tc>
                <w:tcPr>
                  <w:tcW w:w="247"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47"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r>
            <w:tr>
              <w:tblPrEx>
                <w:tblCellMar>
                  <w:top w:w="0" w:type="dxa"/>
                  <w:left w:w="108" w:type="dxa"/>
                  <w:bottom w:w="0" w:type="dxa"/>
                  <w:right w:w="108" w:type="dxa"/>
                </w:tblCellMar>
              </w:tblPrEx>
              <w:trPr>
                <w:trHeight w:val="280" w:hRule="atLeast"/>
              </w:trPr>
              <w:tc>
                <w:tcPr>
                  <w:tcW w:w="325" w:type="pct"/>
                  <w:vMerge w:val="continue"/>
                  <w:tcBorders>
                    <w:top w:val="nil"/>
                    <w:left w:val="single" w:color="auto" w:sz="4" w:space="0"/>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left"/>
                    <w:rPr>
                      <w:color w:val="auto"/>
                      <w:kern w:val="0"/>
                      <w:sz w:val="18"/>
                      <w:szCs w:val="18"/>
                      <w:highlight w:val="none"/>
                    </w:rPr>
                  </w:pPr>
                </w:p>
              </w:tc>
              <w:tc>
                <w:tcPr>
                  <w:tcW w:w="33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围堰拆除</w:t>
                  </w:r>
                </w:p>
              </w:tc>
              <w:tc>
                <w:tcPr>
                  <w:tcW w:w="31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2058</w:t>
                  </w:r>
                </w:p>
              </w:tc>
              <w:tc>
                <w:tcPr>
                  <w:tcW w:w="31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4"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319"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320"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31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2058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2449 </w:t>
                  </w:r>
                </w:p>
              </w:tc>
              <w:tc>
                <w:tcPr>
                  <w:tcW w:w="247"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47"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r>
            <w:tr>
              <w:tblPrEx>
                <w:tblCellMar>
                  <w:top w:w="0" w:type="dxa"/>
                  <w:left w:w="108" w:type="dxa"/>
                  <w:bottom w:w="0" w:type="dxa"/>
                  <w:right w:w="108" w:type="dxa"/>
                </w:tblCellMar>
              </w:tblPrEx>
              <w:trPr>
                <w:trHeight w:val="280" w:hRule="atLeast"/>
              </w:trPr>
              <w:tc>
                <w:tcPr>
                  <w:tcW w:w="663" w:type="pct"/>
                  <w:gridSpan w:val="2"/>
                  <w:tcBorders>
                    <w:top w:val="single" w:color="auto" w:sz="4" w:space="0"/>
                    <w:left w:val="single" w:color="auto" w:sz="4" w:space="0"/>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土方小计</w:t>
                  </w:r>
                </w:p>
              </w:tc>
              <w:tc>
                <w:tcPr>
                  <w:tcW w:w="31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31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4"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319"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320"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31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24734 </w:t>
                  </w:r>
                </w:p>
              </w:tc>
              <w:tc>
                <w:tcPr>
                  <w:tcW w:w="247"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4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10866 </w:t>
                  </w:r>
                </w:p>
              </w:tc>
            </w:tr>
            <w:tr>
              <w:tblPrEx>
                <w:tblCellMar>
                  <w:top w:w="0" w:type="dxa"/>
                  <w:left w:w="108" w:type="dxa"/>
                  <w:bottom w:w="0" w:type="dxa"/>
                  <w:right w:w="108" w:type="dxa"/>
                </w:tblCellMar>
              </w:tblPrEx>
              <w:trPr>
                <w:trHeight w:val="280" w:hRule="atLeast"/>
              </w:trPr>
              <w:tc>
                <w:tcPr>
                  <w:tcW w:w="663" w:type="pct"/>
                  <w:gridSpan w:val="2"/>
                  <w:tcBorders>
                    <w:top w:val="single" w:color="auto" w:sz="4" w:space="0"/>
                    <w:left w:val="single" w:color="auto" w:sz="4" w:space="0"/>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石方小计</w:t>
                  </w:r>
                </w:p>
              </w:tc>
              <w:tc>
                <w:tcPr>
                  <w:tcW w:w="31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31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4"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319"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320"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31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41871 </w:t>
                  </w:r>
                </w:p>
              </w:tc>
              <w:tc>
                <w:tcPr>
                  <w:tcW w:w="247"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4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352 </w:t>
                  </w:r>
                </w:p>
              </w:tc>
            </w:tr>
            <w:tr>
              <w:tblPrEx>
                <w:tblCellMar>
                  <w:top w:w="0" w:type="dxa"/>
                  <w:left w:w="108" w:type="dxa"/>
                  <w:bottom w:w="0" w:type="dxa"/>
                  <w:right w:w="108" w:type="dxa"/>
                </w:tblCellMar>
              </w:tblPrEx>
              <w:trPr>
                <w:trHeight w:val="280" w:hRule="atLeast"/>
              </w:trPr>
              <w:tc>
                <w:tcPr>
                  <w:tcW w:w="3940" w:type="pct"/>
                  <w:gridSpan w:val="13"/>
                  <w:tcBorders>
                    <w:top w:val="single" w:color="auto" w:sz="4" w:space="0"/>
                    <w:left w:val="single" w:color="auto" w:sz="4" w:space="0"/>
                    <w:bottom w:val="single" w:color="auto" w:sz="4" w:space="0"/>
                    <w:right w:val="single" w:color="000000" w:sz="4" w:space="0"/>
                  </w:tcBorders>
                  <w:shd w:val="clear" w:color="auto" w:fill="auto"/>
                  <w:noWrap w:val="0"/>
                  <w:tcMar>
                    <w:left w:w="28" w:type="dxa"/>
                    <w:right w:w="28" w:type="dxa"/>
                  </w:tcMar>
                  <w:vAlign w:val="center"/>
                </w:tcPr>
                <w:p>
                  <w:pPr>
                    <w:widowControl/>
                    <w:spacing w:line="240" w:lineRule="auto"/>
                    <w:jc w:val="center"/>
                    <w:rPr>
                      <w:b w:val="0"/>
                      <w:bCs w:val="0"/>
                      <w:color w:val="auto"/>
                      <w:kern w:val="0"/>
                      <w:sz w:val="18"/>
                      <w:szCs w:val="18"/>
                      <w:highlight w:val="none"/>
                    </w:rPr>
                  </w:pPr>
                  <w:r>
                    <w:rPr>
                      <w:rFonts w:hint="eastAsia" w:ascii="宋体" w:hAnsi="宋体"/>
                      <w:b w:val="0"/>
                      <w:bCs w:val="0"/>
                      <w:color w:val="auto"/>
                      <w:kern w:val="0"/>
                      <w:sz w:val="18"/>
                      <w:szCs w:val="18"/>
                      <w:highlight w:val="none"/>
                    </w:rPr>
                    <w:t>合计</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b w:val="0"/>
                      <w:bCs w:val="0"/>
                      <w:color w:val="auto"/>
                      <w:kern w:val="0"/>
                      <w:sz w:val="18"/>
                      <w:szCs w:val="18"/>
                      <w:highlight w:val="none"/>
                    </w:rPr>
                  </w:pPr>
                  <w:r>
                    <w:rPr>
                      <w:b w:val="0"/>
                      <w:bCs w:val="0"/>
                      <w:color w:val="auto"/>
                      <w:kern w:val="0"/>
                      <w:sz w:val="18"/>
                      <w:szCs w:val="18"/>
                      <w:highlight w:val="none"/>
                    </w:rPr>
                    <w:t>　</w:t>
                  </w:r>
                </w:p>
              </w:tc>
              <w:tc>
                <w:tcPr>
                  <w:tcW w:w="283"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b w:val="0"/>
                      <w:bCs w:val="0"/>
                      <w:color w:val="auto"/>
                      <w:kern w:val="0"/>
                      <w:sz w:val="18"/>
                      <w:szCs w:val="18"/>
                      <w:highlight w:val="none"/>
                    </w:rPr>
                  </w:pPr>
                  <w:r>
                    <w:rPr>
                      <w:b w:val="0"/>
                      <w:bCs w:val="0"/>
                      <w:color w:val="auto"/>
                      <w:kern w:val="0"/>
                      <w:sz w:val="18"/>
                      <w:szCs w:val="18"/>
                      <w:highlight w:val="none"/>
                    </w:rPr>
                    <w:t xml:space="preserve">66605 </w:t>
                  </w:r>
                </w:p>
              </w:tc>
              <w:tc>
                <w:tcPr>
                  <w:tcW w:w="24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b w:val="0"/>
                      <w:bCs w:val="0"/>
                      <w:color w:val="auto"/>
                      <w:kern w:val="0"/>
                      <w:sz w:val="18"/>
                      <w:szCs w:val="18"/>
                      <w:highlight w:val="none"/>
                    </w:rPr>
                  </w:pPr>
                  <w:r>
                    <w:rPr>
                      <w:b w:val="0"/>
                      <w:bCs w:val="0"/>
                      <w:color w:val="auto"/>
                      <w:kern w:val="0"/>
                      <w:sz w:val="18"/>
                      <w:szCs w:val="18"/>
                      <w:highlight w:val="none"/>
                    </w:rPr>
                    <w:t>　</w:t>
                  </w:r>
                </w:p>
              </w:tc>
              <w:tc>
                <w:tcPr>
                  <w:tcW w:w="24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b w:val="0"/>
                      <w:bCs w:val="0"/>
                      <w:color w:val="auto"/>
                      <w:kern w:val="0"/>
                      <w:sz w:val="18"/>
                      <w:szCs w:val="18"/>
                      <w:highlight w:val="none"/>
                    </w:rPr>
                  </w:pPr>
                  <w:r>
                    <w:rPr>
                      <w:b w:val="0"/>
                      <w:bCs w:val="0"/>
                      <w:color w:val="auto"/>
                      <w:kern w:val="0"/>
                      <w:sz w:val="18"/>
                      <w:szCs w:val="18"/>
                      <w:highlight w:val="none"/>
                    </w:rPr>
                    <w:t xml:space="preserve">11219 </w:t>
                  </w:r>
                </w:p>
              </w:tc>
            </w:tr>
          </w:tbl>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b/>
                <w:bCs/>
                <w:snapToGrid w:val="0"/>
                <w:color w:val="auto"/>
                <w:sz w:val="21"/>
                <w:szCs w:val="21"/>
                <w:highlight w:val="none"/>
                <w:lang w:val="en-US" w:eastAsia="zh-CN"/>
              </w:rPr>
              <w:t>表2</w:t>
            </w:r>
            <w:r>
              <w:rPr>
                <w:rFonts w:hint="default" w:ascii="Times New Roman" w:hAnsi="Times New Roman" w:cs="Times New Roman"/>
                <w:b/>
                <w:bCs/>
                <w:snapToGrid w:val="0"/>
                <w:color w:val="auto"/>
                <w:sz w:val="21"/>
                <w:szCs w:val="21"/>
                <w:highlight w:val="none"/>
                <w:lang w:val="en-US" w:eastAsia="zh-CN"/>
              </w:rPr>
              <w:t>.5</w:t>
            </w:r>
            <w:r>
              <w:rPr>
                <w:rFonts w:hint="default" w:ascii="Times New Roman" w:hAnsi="Times New Roman" w:eastAsia="宋体" w:cs="Times New Roman"/>
                <w:b/>
                <w:bCs/>
                <w:snapToGrid w:val="0"/>
                <w:color w:val="auto"/>
                <w:sz w:val="21"/>
                <w:szCs w:val="21"/>
                <w:highlight w:val="none"/>
                <w:lang w:val="en-US" w:eastAsia="zh-CN"/>
              </w:rPr>
              <w:t>-</w:t>
            </w:r>
            <w:r>
              <w:rPr>
                <w:rFonts w:hint="default" w:ascii="Times New Roman" w:hAnsi="Times New Roman" w:cs="Times New Roman"/>
                <w:b/>
                <w:bCs/>
                <w:snapToGrid w:val="0"/>
                <w:color w:val="auto"/>
                <w:sz w:val="21"/>
                <w:szCs w:val="21"/>
                <w:highlight w:val="none"/>
                <w:lang w:val="en-US" w:eastAsia="zh-CN"/>
              </w:rPr>
              <w:t>2</w:t>
            </w:r>
            <w:r>
              <w:rPr>
                <w:rFonts w:hint="default" w:ascii="Times New Roman" w:hAnsi="Times New Roman" w:eastAsia="宋体" w:cs="Times New Roman"/>
                <w:b/>
                <w:bCs/>
                <w:snapToGrid w:val="0"/>
                <w:color w:val="auto"/>
                <w:sz w:val="21"/>
                <w:szCs w:val="21"/>
                <w:highlight w:val="none"/>
                <w:lang w:val="en-US" w:eastAsia="zh-CN"/>
              </w:rPr>
              <w:t xml:space="preserve"> 灌区工程土石方平衡表</w:t>
            </w:r>
          </w:p>
          <w:tbl>
            <w:tblPr>
              <w:tblStyle w:val="29"/>
              <w:tblW w:w="5000" w:type="pct"/>
              <w:tblInd w:w="0" w:type="dxa"/>
              <w:tblLayout w:type="fixed"/>
              <w:tblCellMar>
                <w:top w:w="0" w:type="dxa"/>
                <w:left w:w="108" w:type="dxa"/>
                <w:bottom w:w="0" w:type="dxa"/>
                <w:right w:w="108" w:type="dxa"/>
              </w:tblCellMar>
            </w:tblPr>
            <w:tblGrid>
              <w:gridCol w:w="550"/>
              <w:gridCol w:w="570"/>
              <w:gridCol w:w="530"/>
              <w:gridCol w:w="530"/>
              <w:gridCol w:w="479"/>
              <w:gridCol w:w="479"/>
              <w:gridCol w:w="480"/>
              <w:gridCol w:w="479"/>
              <w:gridCol w:w="480"/>
              <w:gridCol w:w="479"/>
              <w:gridCol w:w="480"/>
              <w:gridCol w:w="479"/>
              <w:gridCol w:w="530"/>
              <w:gridCol w:w="479"/>
              <w:gridCol w:w="480"/>
              <w:gridCol w:w="419"/>
              <w:gridCol w:w="416"/>
            </w:tblGrid>
            <w:tr>
              <w:tblPrEx>
                <w:tblCellMar>
                  <w:top w:w="0" w:type="dxa"/>
                  <w:left w:w="108" w:type="dxa"/>
                  <w:bottom w:w="0" w:type="dxa"/>
                  <w:right w:w="108" w:type="dxa"/>
                </w:tblCellMar>
              </w:tblPrEx>
              <w:trPr>
                <w:trHeight w:val="280" w:hRule="atLeast"/>
              </w:trPr>
              <w:tc>
                <w:tcPr>
                  <w:tcW w:w="990" w:type="pct"/>
                  <w:gridSpan w:val="3"/>
                  <w:vMerge w:val="restart"/>
                  <w:tcBorders>
                    <w:top w:val="single" w:color="auto" w:sz="4" w:space="0"/>
                    <w:left w:val="single" w:color="auto" w:sz="4" w:space="0"/>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开挖量</w:t>
                  </w:r>
                </w:p>
              </w:tc>
              <w:tc>
                <w:tcPr>
                  <w:tcW w:w="2935" w:type="pct"/>
                  <w:gridSpan w:val="10"/>
                  <w:tcBorders>
                    <w:top w:val="single" w:color="auto" w:sz="4" w:space="0"/>
                    <w:left w:val="nil"/>
                    <w:bottom w:val="single" w:color="auto" w:sz="4" w:space="0"/>
                    <w:right w:val="nil"/>
                  </w:tcBorders>
                  <w:shd w:val="clear" w:color="auto" w:fill="auto"/>
                  <w:noWrap/>
                  <w:tcMar>
                    <w:left w:w="28" w:type="dxa"/>
                    <w:right w:w="28" w:type="dxa"/>
                  </w:tcMar>
                  <w:vAlign w:val="center"/>
                </w:tcPr>
                <w:p>
                  <w:pPr>
                    <w:widowControl/>
                    <w:spacing w:line="240" w:lineRule="auto"/>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填筑量</w:t>
                  </w:r>
                </w:p>
              </w:tc>
              <w:tc>
                <w:tcPr>
                  <w:tcW w:w="1075" w:type="pct"/>
                  <w:gridSpan w:val="4"/>
                  <w:tcBorders>
                    <w:top w:val="single" w:color="auto" w:sz="4" w:space="0"/>
                    <w:left w:val="single" w:color="auto" w:sz="4" w:space="0"/>
                    <w:bottom w:val="single" w:color="auto" w:sz="4" w:space="0"/>
                    <w:right w:val="single" w:color="000000" w:sz="4" w:space="0"/>
                  </w:tcBorders>
                  <w:shd w:val="clear" w:color="auto" w:fill="auto"/>
                  <w:noWrap/>
                  <w:tcMar>
                    <w:left w:w="28" w:type="dxa"/>
                    <w:right w:w="28" w:type="dxa"/>
                  </w:tcMar>
                  <w:vAlign w:val="center"/>
                </w:tcPr>
                <w:p>
                  <w:pPr>
                    <w:widowControl/>
                    <w:spacing w:line="240" w:lineRule="auto"/>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弃渣量</w:t>
                  </w:r>
                </w:p>
              </w:tc>
            </w:tr>
            <w:tr>
              <w:tblPrEx>
                <w:tblCellMar>
                  <w:top w:w="0" w:type="dxa"/>
                  <w:left w:w="108" w:type="dxa"/>
                  <w:bottom w:w="0" w:type="dxa"/>
                  <w:right w:w="108" w:type="dxa"/>
                </w:tblCellMar>
              </w:tblPrEx>
              <w:trPr>
                <w:trHeight w:val="283" w:hRule="atLeast"/>
              </w:trPr>
              <w:tc>
                <w:tcPr>
                  <w:tcW w:w="990" w:type="pct"/>
                  <w:gridSpan w:val="3"/>
                  <w:vMerge w:val="continue"/>
                  <w:tcBorders>
                    <w:top w:val="single" w:color="auto" w:sz="4" w:space="0"/>
                    <w:left w:val="single" w:color="auto" w:sz="4" w:space="0"/>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left"/>
                    <w:rPr>
                      <w:rFonts w:ascii="宋体" w:hAnsi="宋体" w:cs="宋体"/>
                      <w:color w:val="auto"/>
                      <w:kern w:val="0"/>
                      <w:sz w:val="18"/>
                      <w:szCs w:val="18"/>
                      <w:highlight w:val="none"/>
                    </w:rPr>
                  </w:pPr>
                </w:p>
              </w:tc>
              <w:tc>
                <w:tcPr>
                  <w:tcW w:w="1180" w:type="pct"/>
                  <w:gridSpan w:val="4"/>
                  <w:tcBorders>
                    <w:top w:val="single" w:color="auto" w:sz="4" w:space="0"/>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干管</w:t>
                  </w:r>
                </w:p>
              </w:tc>
              <w:tc>
                <w:tcPr>
                  <w:tcW w:w="1150" w:type="pct"/>
                  <w:gridSpan w:val="4"/>
                  <w:tcBorders>
                    <w:top w:val="single" w:color="auto" w:sz="4" w:space="0"/>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花池支管</w:t>
                  </w:r>
                </w:p>
              </w:tc>
              <w:tc>
                <w:tcPr>
                  <w:tcW w:w="605" w:type="pct"/>
                  <w:gridSpan w:val="2"/>
                  <w:tcBorders>
                    <w:top w:val="single" w:color="auto" w:sz="4" w:space="0"/>
                    <w:left w:val="nil"/>
                    <w:bottom w:val="single" w:color="auto" w:sz="4" w:space="0"/>
                    <w:right w:val="single" w:color="000000" w:sz="4" w:space="0"/>
                  </w:tcBorders>
                  <w:shd w:val="clear" w:color="auto" w:fill="auto"/>
                  <w:noWrap w:val="0"/>
                  <w:tcMar>
                    <w:left w:w="28" w:type="dxa"/>
                    <w:right w:w="28" w:type="dxa"/>
                  </w:tcMar>
                  <w:vAlign w:val="center"/>
                </w:tcPr>
                <w:p>
                  <w:pPr>
                    <w:widowControl/>
                    <w:spacing w:line="240" w:lineRule="auto"/>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临时围堰</w:t>
                  </w:r>
                </w:p>
              </w:tc>
              <w:tc>
                <w:tcPr>
                  <w:tcW w:w="575" w:type="pct"/>
                  <w:gridSpan w:val="2"/>
                  <w:vMerge w:val="restart"/>
                  <w:tcBorders>
                    <w:top w:val="single" w:color="auto" w:sz="4" w:space="0"/>
                    <w:left w:val="single" w:color="auto" w:sz="4" w:space="0"/>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原地整平</w:t>
                  </w:r>
                </w:p>
              </w:tc>
              <w:tc>
                <w:tcPr>
                  <w:tcW w:w="500" w:type="pct"/>
                  <w:gridSpan w:val="2"/>
                  <w:vMerge w:val="restart"/>
                  <w:tcBorders>
                    <w:top w:val="single" w:color="auto" w:sz="4" w:space="0"/>
                    <w:left w:val="single" w:color="auto" w:sz="4" w:space="0"/>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渣场</w:t>
                  </w:r>
                </w:p>
              </w:tc>
            </w:tr>
            <w:tr>
              <w:tblPrEx>
                <w:tblCellMar>
                  <w:top w:w="0" w:type="dxa"/>
                  <w:left w:w="108" w:type="dxa"/>
                  <w:bottom w:w="0" w:type="dxa"/>
                  <w:right w:w="108" w:type="dxa"/>
                </w:tblCellMar>
              </w:tblPrEx>
              <w:trPr>
                <w:trHeight w:val="283" w:hRule="atLeast"/>
              </w:trPr>
              <w:tc>
                <w:tcPr>
                  <w:tcW w:w="990" w:type="pct"/>
                  <w:gridSpan w:val="3"/>
                  <w:vMerge w:val="continue"/>
                  <w:tcBorders>
                    <w:top w:val="single" w:color="auto" w:sz="4" w:space="0"/>
                    <w:left w:val="single" w:color="auto" w:sz="4" w:space="0"/>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left"/>
                    <w:rPr>
                      <w:rFonts w:ascii="宋体" w:hAnsi="宋体" w:cs="宋体"/>
                      <w:color w:val="auto"/>
                      <w:kern w:val="0"/>
                      <w:sz w:val="18"/>
                      <w:szCs w:val="18"/>
                      <w:highlight w:val="none"/>
                    </w:rPr>
                  </w:pPr>
                </w:p>
              </w:tc>
              <w:tc>
                <w:tcPr>
                  <w:tcW w:w="605" w:type="pct"/>
                  <w:gridSpan w:val="2"/>
                  <w:tcBorders>
                    <w:top w:val="single" w:color="auto" w:sz="4" w:space="0"/>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土方回填</w:t>
                  </w:r>
                </w:p>
              </w:tc>
              <w:tc>
                <w:tcPr>
                  <w:tcW w:w="575" w:type="pct"/>
                  <w:gridSpan w:val="2"/>
                  <w:tcBorders>
                    <w:top w:val="single" w:color="auto" w:sz="4" w:space="0"/>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石渣回填</w:t>
                  </w:r>
                </w:p>
              </w:tc>
              <w:tc>
                <w:tcPr>
                  <w:tcW w:w="575" w:type="pct"/>
                  <w:gridSpan w:val="2"/>
                  <w:tcBorders>
                    <w:top w:val="single" w:color="auto" w:sz="4" w:space="0"/>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土方回填</w:t>
                  </w:r>
                </w:p>
              </w:tc>
              <w:tc>
                <w:tcPr>
                  <w:tcW w:w="575" w:type="pct"/>
                  <w:gridSpan w:val="2"/>
                  <w:tcBorders>
                    <w:top w:val="single" w:color="auto" w:sz="4" w:space="0"/>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石渣回填</w:t>
                  </w:r>
                </w:p>
              </w:tc>
              <w:tc>
                <w:tcPr>
                  <w:tcW w:w="605" w:type="pct"/>
                  <w:gridSpan w:val="2"/>
                  <w:tcBorders>
                    <w:top w:val="single" w:color="auto" w:sz="4" w:space="0"/>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土方填筑</w:t>
                  </w:r>
                </w:p>
              </w:tc>
              <w:tc>
                <w:tcPr>
                  <w:tcW w:w="575" w:type="pct"/>
                  <w:gridSpan w:val="2"/>
                  <w:vMerge w:val="continue"/>
                  <w:tcBorders>
                    <w:top w:val="single" w:color="auto" w:sz="4" w:space="0"/>
                    <w:left w:val="single" w:color="auto" w:sz="4" w:space="0"/>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left"/>
                    <w:rPr>
                      <w:rFonts w:ascii="宋体" w:hAnsi="宋体" w:cs="宋体"/>
                      <w:color w:val="auto"/>
                      <w:kern w:val="0"/>
                      <w:sz w:val="18"/>
                      <w:szCs w:val="18"/>
                      <w:highlight w:val="none"/>
                    </w:rPr>
                  </w:pPr>
                </w:p>
              </w:tc>
              <w:tc>
                <w:tcPr>
                  <w:tcW w:w="500" w:type="pct"/>
                  <w:gridSpan w:val="2"/>
                  <w:vMerge w:val="continue"/>
                  <w:tcBorders>
                    <w:top w:val="single" w:color="auto" w:sz="4" w:space="0"/>
                    <w:left w:val="single" w:color="auto" w:sz="4" w:space="0"/>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left"/>
                    <w:rPr>
                      <w:rFonts w:ascii="宋体" w:hAnsi="宋体" w:cs="宋体"/>
                      <w:color w:val="auto"/>
                      <w:kern w:val="0"/>
                      <w:sz w:val="18"/>
                      <w:szCs w:val="18"/>
                      <w:highlight w:val="none"/>
                    </w:rPr>
                  </w:pPr>
                </w:p>
              </w:tc>
            </w:tr>
            <w:tr>
              <w:tblPrEx>
                <w:tblCellMar>
                  <w:top w:w="0" w:type="dxa"/>
                  <w:left w:w="108" w:type="dxa"/>
                  <w:bottom w:w="0" w:type="dxa"/>
                  <w:right w:w="108" w:type="dxa"/>
                </w:tblCellMar>
              </w:tblPrEx>
              <w:trPr>
                <w:trHeight w:val="280" w:hRule="atLeast"/>
              </w:trPr>
              <w:tc>
                <w:tcPr>
                  <w:tcW w:w="672" w:type="pct"/>
                  <w:gridSpan w:val="2"/>
                  <w:vMerge w:val="restart"/>
                  <w:tcBorders>
                    <w:top w:val="single" w:color="auto" w:sz="4" w:space="0"/>
                    <w:left w:val="single" w:color="auto" w:sz="4" w:space="0"/>
                    <w:bottom w:val="single" w:color="auto" w:sz="4" w:space="0"/>
                    <w:right w:val="single" w:color="auto" w:sz="4" w:space="0"/>
                  </w:tcBorders>
                  <w:shd w:val="clear" w:color="auto" w:fill="auto"/>
                  <w:noWrap/>
                  <w:tcMar>
                    <w:left w:w="28" w:type="dxa"/>
                    <w:right w:w="28" w:type="dxa"/>
                  </w:tcMar>
                  <w:vAlign w:val="center"/>
                </w:tcPr>
                <w:p>
                  <w:pPr>
                    <w:widowControl/>
                    <w:spacing w:line="240" w:lineRule="auto"/>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建筑物</w:t>
                  </w:r>
                </w:p>
              </w:tc>
              <w:tc>
                <w:tcPr>
                  <w:tcW w:w="31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rFonts w:hint="eastAsia"/>
                      <w:color w:val="auto"/>
                      <w:kern w:val="0"/>
                      <w:sz w:val="18"/>
                      <w:szCs w:val="18"/>
                      <w:highlight w:val="none"/>
                    </w:rPr>
                  </w:pPr>
                  <w:r>
                    <w:rPr>
                      <w:rFonts w:hint="eastAsia" w:ascii="宋体" w:hAnsi="宋体"/>
                      <w:color w:val="auto"/>
                      <w:kern w:val="0"/>
                      <w:sz w:val="18"/>
                      <w:szCs w:val="18"/>
                      <w:highlight w:val="none"/>
                    </w:rPr>
                    <w:t>自然方</w:t>
                  </w:r>
                </w:p>
              </w:tc>
              <w:tc>
                <w:tcPr>
                  <w:tcW w:w="31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压实方</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自然方</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压实方</w:t>
                  </w:r>
                </w:p>
              </w:tc>
              <w:tc>
                <w:tcPr>
                  <w:tcW w:w="28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自然方</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压实方</w:t>
                  </w:r>
                </w:p>
              </w:tc>
              <w:tc>
                <w:tcPr>
                  <w:tcW w:w="28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自然方</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压实方</w:t>
                  </w:r>
                </w:p>
              </w:tc>
              <w:tc>
                <w:tcPr>
                  <w:tcW w:w="28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自然方</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压实方</w:t>
                  </w:r>
                </w:p>
              </w:tc>
              <w:tc>
                <w:tcPr>
                  <w:tcW w:w="31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自然方</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自然方</w:t>
                  </w:r>
                </w:p>
              </w:tc>
              <w:tc>
                <w:tcPr>
                  <w:tcW w:w="28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松方</w:t>
                  </w:r>
                </w:p>
              </w:tc>
              <w:tc>
                <w:tcPr>
                  <w:tcW w:w="251"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rFonts w:hint="eastAsia"/>
                      <w:color w:val="auto"/>
                      <w:kern w:val="0"/>
                      <w:sz w:val="18"/>
                      <w:szCs w:val="18"/>
                      <w:highlight w:val="none"/>
                    </w:rPr>
                  </w:pPr>
                  <w:r>
                    <w:rPr>
                      <w:rFonts w:hint="eastAsia" w:ascii="宋体" w:hAnsi="宋体"/>
                      <w:color w:val="auto"/>
                      <w:kern w:val="0"/>
                      <w:sz w:val="18"/>
                      <w:szCs w:val="18"/>
                      <w:highlight w:val="none"/>
                    </w:rPr>
                    <w:t>自然方</w:t>
                  </w:r>
                </w:p>
              </w:tc>
              <w:tc>
                <w:tcPr>
                  <w:tcW w:w="249"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松方</w:t>
                  </w:r>
                </w:p>
              </w:tc>
            </w:tr>
            <w:tr>
              <w:tblPrEx>
                <w:tblCellMar>
                  <w:top w:w="0" w:type="dxa"/>
                  <w:left w:w="108" w:type="dxa"/>
                  <w:bottom w:w="0" w:type="dxa"/>
                  <w:right w:w="108" w:type="dxa"/>
                </w:tblCellMar>
              </w:tblPrEx>
              <w:trPr>
                <w:trHeight w:val="310" w:hRule="atLeast"/>
              </w:trPr>
              <w:tc>
                <w:tcPr>
                  <w:tcW w:w="672" w:type="pct"/>
                  <w:gridSpan w:val="2"/>
                  <w:vMerge w:val="continue"/>
                  <w:tcBorders>
                    <w:top w:val="single" w:color="auto" w:sz="4" w:space="0"/>
                    <w:left w:val="single" w:color="auto" w:sz="4" w:space="0"/>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left"/>
                    <w:rPr>
                      <w:rFonts w:ascii="宋体" w:hAnsi="宋体" w:cs="宋体"/>
                      <w:color w:val="auto"/>
                      <w:kern w:val="0"/>
                      <w:sz w:val="18"/>
                      <w:szCs w:val="18"/>
                      <w:highlight w:val="none"/>
                    </w:rPr>
                  </w:pPr>
                </w:p>
              </w:tc>
              <w:tc>
                <w:tcPr>
                  <w:tcW w:w="530" w:type="dxa"/>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rFonts w:hint="eastAsia"/>
                      <w:color w:val="auto"/>
                      <w:kern w:val="0"/>
                      <w:sz w:val="18"/>
                      <w:szCs w:val="18"/>
                      <w:highlight w:val="none"/>
                    </w:rPr>
                  </w:pPr>
                  <w:r>
                    <w:rPr>
                      <w:color w:val="auto"/>
                      <w:kern w:val="0"/>
                      <w:sz w:val="18"/>
                      <w:szCs w:val="18"/>
                      <w:highlight w:val="none"/>
                    </w:rPr>
                    <w:t>m</w:t>
                  </w:r>
                  <w:r>
                    <w:rPr>
                      <w:color w:val="auto"/>
                      <w:kern w:val="0"/>
                      <w:sz w:val="18"/>
                      <w:szCs w:val="18"/>
                      <w:highlight w:val="none"/>
                      <w:vertAlign w:val="superscript"/>
                    </w:rPr>
                    <w:t>3</w:t>
                  </w:r>
                </w:p>
              </w:tc>
              <w:tc>
                <w:tcPr>
                  <w:tcW w:w="530" w:type="dxa"/>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m</w:t>
                  </w:r>
                  <w:r>
                    <w:rPr>
                      <w:color w:val="auto"/>
                      <w:kern w:val="0"/>
                      <w:sz w:val="18"/>
                      <w:szCs w:val="18"/>
                      <w:highlight w:val="none"/>
                      <w:vertAlign w:val="superscript"/>
                    </w:rPr>
                    <w:t>3</w:t>
                  </w:r>
                </w:p>
              </w:tc>
              <w:tc>
                <w:tcPr>
                  <w:tcW w:w="479" w:type="dxa"/>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m</w:t>
                  </w:r>
                  <w:r>
                    <w:rPr>
                      <w:color w:val="auto"/>
                      <w:kern w:val="0"/>
                      <w:sz w:val="18"/>
                      <w:szCs w:val="18"/>
                      <w:highlight w:val="none"/>
                      <w:vertAlign w:val="superscript"/>
                    </w:rPr>
                    <w:t>3</w:t>
                  </w:r>
                </w:p>
              </w:tc>
              <w:tc>
                <w:tcPr>
                  <w:tcW w:w="479" w:type="dxa"/>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m</w:t>
                  </w:r>
                  <w:r>
                    <w:rPr>
                      <w:color w:val="auto"/>
                      <w:kern w:val="0"/>
                      <w:sz w:val="18"/>
                      <w:szCs w:val="18"/>
                      <w:highlight w:val="none"/>
                      <w:vertAlign w:val="superscript"/>
                    </w:rPr>
                    <w:t>3</w:t>
                  </w:r>
                </w:p>
              </w:tc>
              <w:tc>
                <w:tcPr>
                  <w:tcW w:w="480" w:type="dxa"/>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m</w:t>
                  </w:r>
                  <w:r>
                    <w:rPr>
                      <w:color w:val="auto"/>
                      <w:kern w:val="0"/>
                      <w:sz w:val="18"/>
                      <w:szCs w:val="18"/>
                      <w:highlight w:val="none"/>
                      <w:vertAlign w:val="superscript"/>
                    </w:rPr>
                    <w:t>3</w:t>
                  </w:r>
                </w:p>
              </w:tc>
              <w:tc>
                <w:tcPr>
                  <w:tcW w:w="479" w:type="dxa"/>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m</w:t>
                  </w:r>
                  <w:r>
                    <w:rPr>
                      <w:color w:val="auto"/>
                      <w:kern w:val="0"/>
                      <w:sz w:val="18"/>
                      <w:szCs w:val="18"/>
                      <w:highlight w:val="none"/>
                      <w:vertAlign w:val="superscript"/>
                    </w:rPr>
                    <w:t>3</w:t>
                  </w:r>
                </w:p>
              </w:tc>
              <w:tc>
                <w:tcPr>
                  <w:tcW w:w="480" w:type="dxa"/>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m</w:t>
                  </w:r>
                  <w:r>
                    <w:rPr>
                      <w:color w:val="auto"/>
                      <w:kern w:val="0"/>
                      <w:sz w:val="18"/>
                      <w:szCs w:val="18"/>
                      <w:highlight w:val="none"/>
                      <w:vertAlign w:val="superscript"/>
                    </w:rPr>
                    <w:t>3</w:t>
                  </w:r>
                </w:p>
              </w:tc>
              <w:tc>
                <w:tcPr>
                  <w:tcW w:w="479" w:type="dxa"/>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m</w:t>
                  </w:r>
                  <w:r>
                    <w:rPr>
                      <w:color w:val="auto"/>
                      <w:kern w:val="0"/>
                      <w:sz w:val="18"/>
                      <w:szCs w:val="18"/>
                      <w:highlight w:val="none"/>
                      <w:vertAlign w:val="superscript"/>
                    </w:rPr>
                    <w:t>3</w:t>
                  </w:r>
                </w:p>
              </w:tc>
              <w:tc>
                <w:tcPr>
                  <w:tcW w:w="480" w:type="dxa"/>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m</w:t>
                  </w:r>
                  <w:r>
                    <w:rPr>
                      <w:color w:val="auto"/>
                      <w:kern w:val="0"/>
                      <w:sz w:val="18"/>
                      <w:szCs w:val="18"/>
                      <w:highlight w:val="none"/>
                      <w:vertAlign w:val="superscript"/>
                    </w:rPr>
                    <w:t>3</w:t>
                  </w:r>
                </w:p>
              </w:tc>
              <w:tc>
                <w:tcPr>
                  <w:tcW w:w="479" w:type="dxa"/>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m</w:t>
                  </w:r>
                  <w:r>
                    <w:rPr>
                      <w:color w:val="auto"/>
                      <w:kern w:val="0"/>
                      <w:sz w:val="18"/>
                      <w:szCs w:val="18"/>
                      <w:highlight w:val="none"/>
                      <w:vertAlign w:val="superscript"/>
                    </w:rPr>
                    <w:t>3</w:t>
                  </w:r>
                </w:p>
              </w:tc>
              <w:tc>
                <w:tcPr>
                  <w:tcW w:w="530" w:type="dxa"/>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m</w:t>
                  </w:r>
                  <w:r>
                    <w:rPr>
                      <w:color w:val="auto"/>
                      <w:kern w:val="0"/>
                      <w:sz w:val="18"/>
                      <w:szCs w:val="18"/>
                      <w:highlight w:val="none"/>
                      <w:vertAlign w:val="superscript"/>
                    </w:rPr>
                    <w:t>3</w:t>
                  </w:r>
                </w:p>
              </w:tc>
              <w:tc>
                <w:tcPr>
                  <w:tcW w:w="479" w:type="dxa"/>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m</w:t>
                  </w:r>
                  <w:r>
                    <w:rPr>
                      <w:color w:val="auto"/>
                      <w:kern w:val="0"/>
                      <w:sz w:val="18"/>
                      <w:szCs w:val="18"/>
                      <w:highlight w:val="none"/>
                      <w:vertAlign w:val="superscript"/>
                    </w:rPr>
                    <w:t>3</w:t>
                  </w:r>
                </w:p>
              </w:tc>
              <w:tc>
                <w:tcPr>
                  <w:tcW w:w="480" w:type="dxa"/>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m</w:t>
                  </w:r>
                  <w:r>
                    <w:rPr>
                      <w:color w:val="auto"/>
                      <w:kern w:val="0"/>
                      <w:sz w:val="18"/>
                      <w:szCs w:val="18"/>
                      <w:highlight w:val="none"/>
                      <w:vertAlign w:val="superscript"/>
                    </w:rPr>
                    <w:t>3</w:t>
                  </w:r>
                </w:p>
              </w:tc>
              <w:tc>
                <w:tcPr>
                  <w:tcW w:w="419" w:type="dxa"/>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m</w:t>
                  </w:r>
                  <w:r>
                    <w:rPr>
                      <w:color w:val="auto"/>
                      <w:kern w:val="0"/>
                      <w:sz w:val="18"/>
                      <w:szCs w:val="18"/>
                      <w:highlight w:val="none"/>
                      <w:vertAlign w:val="superscript"/>
                    </w:rPr>
                    <w:t>3</w:t>
                  </w:r>
                </w:p>
              </w:tc>
              <w:tc>
                <w:tcPr>
                  <w:tcW w:w="416" w:type="dxa"/>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m</w:t>
                  </w:r>
                  <w:r>
                    <w:rPr>
                      <w:color w:val="auto"/>
                      <w:kern w:val="0"/>
                      <w:sz w:val="18"/>
                      <w:szCs w:val="18"/>
                      <w:highlight w:val="none"/>
                      <w:vertAlign w:val="superscript"/>
                    </w:rPr>
                    <w:t>3</w:t>
                  </w:r>
                </w:p>
              </w:tc>
            </w:tr>
            <w:tr>
              <w:tblPrEx>
                <w:tblCellMar>
                  <w:top w:w="0" w:type="dxa"/>
                  <w:left w:w="108" w:type="dxa"/>
                  <w:bottom w:w="0" w:type="dxa"/>
                  <w:right w:w="108" w:type="dxa"/>
                </w:tblCellMar>
              </w:tblPrEx>
              <w:trPr>
                <w:trHeight w:val="280" w:hRule="atLeast"/>
              </w:trPr>
              <w:tc>
                <w:tcPr>
                  <w:tcW w:w="330" w:type="pct"/>
                  <w:vMerge w:val="restart"/>
                  <w:tcBorders>
                    <w:top w:val="nil"/>
                    <w:left w:val="single" w:color="auto" w:sz="4" w:space="0"/>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干管埋地管道段</w:t>
                  </w:r>
                </w:p>
              </w:tc>
              <w:tc>
                <w:tcPr>
                  <w:tcW w:w="342"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rFonts w:hint="eastAsia"/>
                      <w:color w:val="auto"/>
                      <w:kern w:val="0"/>
                      <w:sz w:val="18"/>
                      <w:szCs w:val="18"/>
                      <w:highlight w:val="none"/>
                    </w:rPr>
                  </w:pPr>
                  <w:r>
                    <w:rPr>
                      <w:rFonts w:hint="eastAsia" w:ascii="宋体" w:hAnsi="宋体"/>
                      <w:color w:val="auto"/>
                      <w:kern w:val="0"/>
                      <w:sz w:val="18"/>
                      <w:szCs w:val="18"/>
                      <w:highlight w:val="none"/>
                    </w:rPr>
                    <w:t>土方开挖</w:t>
                  </w:r>
                </w:p>
              </w:tc>
              <w:tc>
                <w:tcPr>
                  <w:tcW w:w="31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sz w:val="18"/>
                      <w:szCs w:val="18"/>
                      <w:highlight w:val="none"/>
                    </w:rPr>
                    <w:t>34796</w:t>
                  </w:r>
                </w:p>
              </w:tc>
              <w:tc>
                <w:tcPr>
                  <w:tcW w:w="31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sz w:val="18"/>
                      <w:szCs w:val="18"/>
                      <w:highlight w:val="none"/>
                    </w:rPr>
                    <w:t xml:space="preserve">24365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sz w:val="18"/>
                      <w:szCs w:val="18"/>
                      <w:highlight w:val="none"/>
                    </w:rPr>
                    <w:t xml:space="preserve">28665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sz w:val="18"/>
                      <w:szCs w:val="18"/>
                      <w:highlight w:val="none"/>
                    </w:rPr>
                    <w:t>　</w:t>
                  </w:r>
                </w:p>
              </w:tc>
              <w:tc>
                <w:tcPr>
                  <w:tcW w:w="28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sz w:val="18"/>
                      <w:szCs w:val="18"/>
                      <w:highlight w:val="none"/>
                    </w:rPr>
                    <w:t>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519 </w:t>
                  </w:r>
                </w:p>
              </w:tc>
              <w:tc>
                <w:tcPr>
                  <w:tcW w:w="31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610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sz w:val="18"/>
                      <w:szCs w:val="18"/>
                      <w:highlight w:val="none"/>
                    </w:rPr>
                    <w:t xml:space="preserve">5521 </w:t>
                  </w:r>
                </w:p>
              </w:tc>
              <w:tc>
                <w:tcPr>
                  <w:tcW w:w="28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7343 </w:t>
                  </w:r>
                </w:p>
              </w:tc>
              <w:tc>
                <w:tcPr>
                  <w:tcW w:w="251"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49"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r>
            <w:tr>
              <w:tblPrEx>
                <w:tblCellMar>
                  <w:top w:w="0" w:type="dxa"/>
                  <w:left w:w="108" w:type="dxa"/>
                  <w:bottom w:w="0" w:type="dxa"/>
                  <w:right w:w="108" w:type="dxa"/>
                </w:tblCellMar>
              </w:tblPrEx>
              <w:trPr>
                <w:trHeight w:val="280" w:hRule="atLeast"/>
              </w:trPr>
              <w:tc>
                <w:tcPr>
                  <w:tcW w:w="330" w:type="pct"/>
                  <w:vMerge w:val="continue"/>
                  <w:tcBorders>
                    <w:top w:val="nil"/>
                    <w:left w:val="single" w:color="auto" w:sz="4" w:space="0"/>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left"/>
                    <w:rPr>
                      <w:rFonts w:ascii="宋体" w:hAnsi="宋体" w:cs="宋体"/>
                      <w:color w:val="auto"/>
                      <w:kern w:val="0"/>
                      <w:sz w:val="18"/>
                      <w:szCs w:val="18"/>
                      <w:highlight w:val="none"/>
                    </w:rPr>
                  </w:pPr>
                </w:p>
              </w:tc>
              <w:tc>
                <w:tcPr>
                  <w:tcW w:w="342"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rFonts w:hint="eastAsia" w:ascii="宋体" w:hAnsi="宋体"/>
                      <w:color w:val="auto"/>
                      <w:kern w:val="0"/>
                      <w:sz w:val="18"/>
                      <w:szCs w:val="18"/>
                      <w:highlight w:val="none"/>
                    </w:rPr>
                    <w:t>石方开挖</w:t>
                  </w:r>
                </w:p>
              </w:tc>
              <w:tc>
                <w:tcPr>
                  <w:tcW w:w="31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sz w:val="18"/>
                      <w:szCs w:val="18"/>
                      <w:highlight w:val="none"/>
                    </w:rPr>
                    <w:t>1126</w:t>
                  </w:r>
                </w:p>
              </w:tc>
              <w:tc>
                <w:tcPr>
                  <w:tcW w:w="31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sz w:val="18"/>
                      <w:szCs w:val="18"/>
                      <w:highlight w:val="none"/>
                    </w:rPr>
                    <w:t>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sz w:val="18"/>
                      <w:szCs w:val="18"/>
                      <w:highlight w:val="none"/>
                    </w:rPr>
                    <w:t>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sz w:val="18"/>
                      <w:szCs w:val="18"/>
                      <w:highlight w:val="none"/>
                    </w:rPr>
                    <w:t xml:space="preserve">1081 </w:t>
                  </w:r>
                </w:p>
              </w:tc>
              <w:tc>
                <w:tcPr>
                  <w:tcW w:w="28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sz w:val="18"/>
                      <w:szCs w:val="18"/>
                      <w:highlight w:val="none"/>
                    </w:rPr>
                    <w:t xml:space="preserve">1126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31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p>
              </w:tc>
              <w:tc>
                <w:tcPr>
                  <w:tcW w:w="28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p>
              </w:tc>
              <w:tc>
                <w:tcPr>
                  <w:tcW w:w="251"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49"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r>
            <w:tr>
              <w:tblPrEx>
                <w:tblCellMar>
                  <w:top w:w="0" w:type="dxa"/>
                  <w:left w:w="108" w:type="dxa"/>
                  <w:bottom w:w="0" w:type="dxa"/>
                  <w:right w:w="108" w:type="dxa"/>
                </w:tblCellMar>
              </w:tblPrEx>
              <w:trPr>
                <w:trHeight w:val="280" w:hRule="atLeast"/>
              </w:trPr>
              <w:tc>
                <w:tcPr>
                  <w:tcW w:w="330" w:type="pct"/>
                  <w:tcBorders>
                    <w:top w:val="nil"/>
                    <w:left w:val="single" w:color="auto" w:sz="4" w:space="0"/>
                    <w:bottom w:val="nil"/>
                    <w:right w:val="single" w:color="auto" w:sz="4" w:space="0"/>
                  </w:tcBorders>
                  <w:shd w:val="clear" w:color="auto" w:fill="auto"/>
                  <w:noWrap w:val="0"/>
                  <w:tcMar>
                    <w:left w:w="28" w:type="dxa"/>
                    <w:right w:w="28" w:type="dxa"/>
                  </w:tcMar>
                  <w:vAlign w:val="center"/>
                </w:tcPr>
                <w:p>
                  <w:pPr>
                    <w:widowControl/>
                    <w:spacing w:line="24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干管隧洞</w:t>
                  </w:r>
                </w:p>
              </w:tc>
              <w:tc>
                <w:tcPr>
                  <w:tcW w:w="342"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rFonts w:hint="eastAsia"/>
                      <w:color w:val="auto"/>
                      <w:kern w:val="0"/>
                      <w:sz w:val="18"/>
                      <w:szCs w:val="18"/>
                      <w:highlight w:val="none"/>
                    </w:rPr>
                  </w:pPr>
                  <w:r>
                    <w:rPr>
                      <w:rFonts w:hint="eastAsia" w:ascii="宋体" w:hAnsi="宋体"/>
                      <w:color w:val="auto"/>
                      <w:kern w:val="0"/>
                      <w:sz w:val="18"/>
                      <w:szCs w:val="18"/>
                      <w:highlight w:val="none"/>
                    </w:rPr>
                    <w:t>石方开挖</w:t>
                  </w:r>
                </w:p>
              </w:tc>
              <w:tc>
                <w:tcPr>
                  <w:tcW w:w="31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sz w:val="18"/>
                      <w:szCs w:val="18"/>
                      <w:highlight w:val="none"/>
                    </w:rPr>
                    <w:t>9377</w:t>
                  </w:r>
                </w:p>
              </w:tc>
              <w:tc>
                <w:tcPr>
                  <w:tcW w:w="31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sz w:val="18"/>
                      <w:szCs w:val="18"/>
                      <w:highlight w:val="none"/>
                    </w:rPr>
                    <w:t>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sz w:val="18"/>
                      <w:szCs w:val="18"/>
                      <w:highlight w:val="none"/>
                    </w:rPr>
                    <w:t>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sz w:val="18"/>
                      <w:szCs w:val="18"/>
                      <w:highlight w:val="none"/>
                    </w:rPr>
                    <w:t xml:space="preserve">5050 </w:t>
                  </w:r>
                </w:p>
              </w:tc>
              <w:tc>
                <w:tcPr>
                  <w:tcW w:w="28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sz w:val="18"/>
                      <w:szCs w:val="18"/>
                      <w:highlight w:val="none"/>
                    </w:rPr>
                    <w:t xml:space="preserve">5260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31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sz w:val="18"/>
                      <w:szCs w:val="18"/>
                      <w:highlight w:val="none"/>
                    </w:rPr>
                    <w:t xml:space="preserve">1456 </w:t>
                  </w:r>
                </w:p>
              </w:tc>
              <w:tc>
                <w:tcPr>
                  <w:tcW w:w="28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2228 </w:t>
                  </w:r>
                </w:p>
              </w:tc>
              <w:tc>
                <w:tcPr>
                  <w:tcW w:w="251"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2661 </w:t>
                  </w:r>
                </w:p>
              </w:tc>
              <w:tc>
                <w:tcPr>
                  <w:tcW w:w="249"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4071 </w:t>
                  </w:r>
                </w:p>
              </w:tc>
            </w:tr>
            <w:tr>
              <w:tblPrEx>
                <w:tblCellMar>
                  <w:top w:w="0" w:type="dxa"/>
                  <w:left w:w="108" w:type="dxa"/>
                  <w:bottom w:w="0" w:type="dxa"/>
                  <w:right w:w="108" w:type="dxa"/>
                </w:tblCellMar>
              </w:tblPrEx>
              <w:trPr>
                <w:trHeight w:val="280" w:hRule="atLeast"/>
              </w:trPr>
              <w:tc>
                <w:tcPr>
                  <w:tcW w:w="330" w:type="pct"/>
                  <w:vMerge w:val="restart"/>
                  <w:tcBorders>
                    <w:top w:val="single" w:color="auto" w:sz="4" w:space="0"/>
                    <w:left w:val="single" w:color="auto" w:sz="4" w:space="0"/>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花池支管</w:t>
                  </w:r>
                </w:p>
              </w:tc>
              <w:tc>
                <w:tcPr>
                  <w:tcW w:w="342"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rFonts w:hint="eastAsia"/>
                      <w:color w:val="auto"/>
                      <w:kern w:val="0"/>
                      <w:sz w:val="18"/>
                      <w:szCs w:val="18"/>
                      <w:highlight w:val="none"/>
                    </w:rPr>
                  </w:pPr>
                  <w:r>
                    <w:rPr>
                      <w:rFonts w:hint="eastAsia" w:ascii="宋体" w:hAnsi="宋体"/>
                      <w:color w:val="auto"/>
                      <w:kern w:val="0"/>
                      <w:sz w:val="18"/>
                      <w:szCs w:val="18"/>
                      <w:highlight w:val="none"/>
                    </w:rPr>
                    <w:t>土方开挖</w:t>
                  </w:r>
                </w:p>
              </w:tc>
              <w:tc>
                <w:tcPr>
                  <w:tcW w:w="31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sz w:val="18"/>
                      <w:szCs w:val="18"/>
                      <w:highlight w:val="none"/>
                    </w:rPr>
                    <w:t>752</w:t>
                  </w:r>
                </w:p>
              </w:tc>
              <w:tc>
                <w:tcPr>
                  <w:tcW w:w="31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sz w:val="18"/>
                      <w:szCs w:val="18"/>
                      <w:highlight w:val="none"/>
                    </w:rPr>
                    <w:t>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sz w:val="18"/>
                      <w:szCs w:val="18"/>
                      <w:highlight w:val="none"/>
                    </w:rPr>
                    <w:t>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sz w:val="18"/>
                      <w:szCs w:val="18"/>
                      <w:highlight w:val="none"/>
                    </w:rPr>
                    <w:t>　</w:t>
                  </w:r>
                </w:p>
              </w:tc>
              <w:tc>
                <w:tcPr>
                  <w:tcW w:w="28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sz w:val="18"/>
                      <w:szCs w:val="18"/>
                      <w:highlight w:val="none"/>
                    </w:rPr>
                    <w:t>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611 </w:t>
                  </w:r>
                </w:p>
              </w:tc>
              <w:tc>
                <w:tcPr>
                  <w:tcW w:w="28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719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31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sz w:val="18"/>
                      <w:szCs w:val="18"/>
                      <w:highlight w:val="none"/>
                    </w:rPr>
                    <w:t xml:space="preserve">33 </w:t>
                  </w:r>
                </w:p>
              </w:tc>
              <w:tc>
                <w:tcPr>
                  <w:tcW w:w="28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44 </w:t>
                  </w:r>
                </w:p>
              </w:tc>
              <w:tc>
                <w:tcPr>
                  <w:tcW w:w="251"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249"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CellMar>
                  <w:top w:w="0" w:type="dxa"/>
                  <w:left w:w="108" w:type="dxa"/>
                  <w:bottom w:w="0" w:type="dxa"/>
                  <w:right w:w="108" w:type="dxa"/>
                </w:tblCellMar>
              </w:tblPrEx>
              <w:trPr>
                <w:trHeight w:val="280" w:hRule="atLeast"/>
              </w:trPr>
              <w:tc>
                <w:tcPr>
                  <w:tcW w:w="330" w:type="pct"/>
                  <w:vMerge w:val="continue"/>
                  <w:tcBorders>
                    <w:top w:val="single" w:color="auto" w:sz="4" w:space="0"/>
                    <w:left w:val="single" w:color="auto" w:sz="4" w:space="0"/>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left"/>
                    <w:rPr>
                      <w:rFonts w:ascii="宋体" w:hAnsi="宋体" w:cs="宋体"/>
                      <w:color w:val="auto"/>
                      <w:kern w:val="0"/>
                      <w:sz w:val="18"/>
                      <w:szCs w:val="18"/>
                      <w:highlight w:val="none"/>
                    </w:rPr>
                  </w:pPr>
                </w:p>
              </w:tc>
              <w:tc>
                <w:tcPr>
                  <w:tcW w:w="342"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rFonts w:hint="eastAsia"/>
                      <w:color w:val="auto"/>
                      <w:kern w:val="0"/>
                      <w:sz w:val="18"/>
                      <w:szCs w:val="18"/>
                      <w:highlight w:val="none"/>
                    </w:rPr>
                  </w:pPr>
                  <w:r>
                    <w:rPr>
                      <w:rFonts w:hint="eastAsia" w:ascii="宋体" w:hAnsi="宋体"/>
                      <w:color w:val="auto"/>
                      <w:kern w:val="0"/>
                      <w:sz w:val="18"/>
                      <w:szCs w:val="18"/>
                      <w:highlight w:val="none"/>
                    </w:rPr>
                    <w:t>石方开挖</w:t>
                  </w:r>
                </w:p>
              </w:tc>
              <w:tc>
                <w:tcPr>
                  <w:tcW w:w="31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sz w:val="18"/>
                      <w:szCs w:val="18"/>
                      <w:highlight w:val="none"/>
                    </w:rPr>
                    <w:t>149</w:t>
                  </w:r>
                </w:p>
              </w:tc>
              <w:tc>
                <w:tcPr>
                  <w:tcW w:w="31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sz w:val="18"/>
                      <w:szCs w:val="18"/>
                      <w:highlight w:val="none"/>
                    </w:rPr>
                    <w:t>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sz w:val="18"/>
                      <w:szCs w:val="18"/>
                      <w:highlight w:val="none"/>
                    </w:rPr>
                    <w:t>　</w:t>
                  </w:r>
                </w:p>
              </w:tc>
              <w:tc>
                <w:tcPr>
                  <w:tcW w:w="287"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jc w:val="left"/>
                    <w:rPr>
                      <w:rFonts w:ascii="宋体" w:hAnsi="宋体" w:cs="宋体"/>
                      <w:color w:val="auto"/>
                      <w:kern w:val="0"/>
                      <w:sz w:val="18"/>
                      <w:szCs w:val="18"/>
                      <w:highlight w:val="none"/>
                    </w:rPr>
                  </w:pPr>
                  <w:r>
                    <w:rPr>
                      <w:rFonts w:hint="eastAsia"/>
                      <w:color w:val="auto"/>
                      <w:sz w:val="18"/>
                      <w:szCs w:val="18"/>
                      <w:highlight w:val="none"/>
                    </w:rPr>
                    <w:t>　</w:t>
                  </w:r>
                </w:p>
              </w:tc>
              <w:tc>
                <w:tcPr>
                  <w:tcW w:w="288"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jc w:val="left"/>
                    <w:rPr>
                      <w:rFonts w:hint="eastAsia" w:ascii="宋体" w:hAnsi="宋体" w:cs="宋体"/>
                      <w:color w:val="auto"/>
                      <w:kern w:val="0"/>
                      <w:sz w:val="18"/>
                      <w:szCs w:val="18"/>
                      <w:highlight w:val="none"/>
                    </w:rPr>
                  </w:pPr>
                  <w:r>
                    <w:rPr>
                      <w:rFonts w:hint="eastAsia"/>
                      <w:color w:val="auto"/>
                      <w:sz w:val="18"/>
                      <w:szCs w:val="18"/>
                      <w:highlight w:val="none"/>
                    </w:rPr>
                    <w:t>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rFonts w:hint="eastAsia"/>
                      <w:color w:val="auto"/>
                      <w:kern w:val="0"/>
                      <w:sz w:val="18"/>
                      <w:szCs w:val="18"/>
                      <w:highlight w:val="none"/>
                    </w:rPr>
                  </w:pPr>
                  <w:r>
                    <w:rPr>
                      <w:color w:val="auto"/>
                      <w:kern w:val="0"/>
                      <w:sz w:val="18"/>
                      <w:szCs w:val="18"/>
                      <w:highlight w:val="none"/>
                    </w:rPr>
                    <w:t>　</w:t>
                  </w:r>
                </w:p>
              </w:tc>
              <w:tc>
                <w:tcPr>
                  <w:tcW w:w="28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143 </w:t>
                  </w:r>
                </w:p>
              </w:tc>
              <w:tc>
                <w:tcPr>
                  <w:tcW w:w="28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149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31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p>
              </w:tc>
              <w:tc>
                <w:tcPr>
                  <w:tcW w:w="28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p>
              </w:tc>
              <w:tc>
                <w:tcPr>
                  <w:tcW w:w="251"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249"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r>
            <w:tr>
              <w:tblPrEx>
                <w:tblCellMar>
                  <w:top w:w="0" w:type="dxa"/>
                  <w:left w:w="108" w:type="dxa"/>
                  <w:bottom w:w="0" w:type="dxa"/>
                  <w:right w:w="108" w:type="dxa"/>
                </w:tblCellMar>
              </w:tblPrEx>
              <w:trPr>
                <w:trHeight w:val="280" w:hRule="atLeast"/>
              </w:trPr>
              <w:tc>
                <w:tcPr>
                  <w:tcW w:w="330" w:type="pct"/>
                  <w:vMerge w:val="restart"/>
                  <w:tcBorders>
                    <w:top w:val="nil"/>
                    <w:left w:val="single" w:color="auto" w:sz="4" w:space="0"/>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临时围堰</w:t>
                  </w:r>
                </w:p>
              </w:tc>
              <w:tc>
                <w:tcPr>
                  <w:tcW w:w="342"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rFonts w:hint="eastAsia"/>
                      <w:color w:val="auto"/>
                      <w:kern w:val="0"/>
                      <w:sz w:val="18"/>
                      <w:szCs w:val="18"/>
                      <w:highlight w:val="none"/>
                    </w:rPr>
                  </w:pPr>
                  <w:r>
                    <w:rPr>
                      <w:rFonts w:hint="eastAsia" w:ascii="宋体" w:hAnsi="宋体"/>
                      <w:color w:val="auto"/>
                      <w:kern w:val="0"/>
                      <w:sz w:val="18"/>
                      <w:szCs w:val="18"/>
                      <w:highlight w:val="none"/>
                    </w:rPr>
                    <w:t>土方开挖</w:t>
                  </w:r>
                </w:p>
              </w:tc>
              <w:tc>
                <w:tcPr>
                  <w:tcW w:w="31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sz w:val="18"/>
                      <w:szCs w:val="18"/>
                      <w:highlight w:val="none"/>
                    </w:rPr>
                    <w:t>104</w:t>
                  </w:r>
                </w:p>
              </w:tc>
              <w:tc>
                <w:tcPr>
                  <w:tcW w:w="31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sz w:val="18"/>
                      <w:szCs w:val="18"/>
                      <w:highlight w:val="none"/>
                    </w:rPr>
                    <w:t>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sz w:val="18"/>
                      <w:szCs w:val="18"/>
                      <w:highlight w:val="none"/>
                    </w:rPr>
                    <w:t>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sz w:val="18"/>
                      <w:szCs w:val="18"/>
                      <w:highlight w:val="none"/>
                    </w:rPr>
                    <w:t>　</w:t>
                  </w:r>
                </w:p>
              </w:tc>
              <w:tc>
                <w:tcPr>
                  <w:tcW w:w="28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sz w:val="18"/>
                      <w:szCs w:val="18"/>
                      <w:highlight w:val="none"/>
                    </w:rPr>
                    <w:t>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31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sz w:val="18"/>
                      <w:szCs w:val="18"/>
                      <w:highlight w:val="none"/>
                    </w:rPr>
                    <w:t xml:space="preserve">104 </w:t>
                  </w:r>
                </w:p>
              </w:tc>
              <w:tc>
                <w:tcPr>
                  <w:tcW w:w="28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138 </w:t>
                  </w:r>
                </w:p>
              </w:tc>
              <w:tc>
                <w:tcPr>
                  <w:tcW w:w="251"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49"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r>
            <w:tr>
              <w:tblPrEx>
                <w:tblCellMar>
                  <w:top w:w="0" w:type="dxa"/>
                  <w:left w:w="108" w:type="dxa"/>
                  <w:bottom w:w="0" w:type="dxa"/>
                  <w:right w:w="108" w:type="dxa"/>
                </w:tblCellMar>
              </w:tblPrEx>
              <w:trPr>
                <w:trHeight w:val="280" w:hRule="atLeast"/>
              </w:trPr>
              <w:tc>
                <w:tcPr>
                  <w:tcW w:w="330" w:type="pct"/>
                  <w:vMerge w:val="continue"/>
                  <w:tcBorders>
                    <w:top w:val="nil"/>
                    <w:left w:val="single" w:color="auto" w:sz="4" w:space="0"/>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left"/>
                    <w:rPr>
                      <w:rFonts w:ascii="宋体" w:hAnsi="宋体" w:cs="宋体"/>
                      <w:color w:val="auto"/>
                      <w:kern w:val="0"/>
                      <w:sz w:val="18"/>
                      <w:szCs w:val="18"/>
                      <w:highlight w:val="none"/>
                    </w:rPr>
                  </w:pPr>
                </w:p>
              </w:tc>
              <w:tc>
                <w:tcPr>
                  <w:tcW w:w="342"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围堰拆除</w:t>
                  </w:r>
                </w:p>
              </w:tc>
              <w:tc>
                <w:tcPr>
                  <w:tcW w:w="31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rFonts w:hint="eastAsia"/>
                      <w:color w:val="auto"/>
                      <w:kern w:val="0"/>
                      <w:sz w:val="18"/>
                      <w:szCs w:val="18"/>
                      <w:highlight w:val="none"/>
                    </w:rPr>
                  </w:pPr>
                  <w:r>
                    <w:rPr>
                      <w:color w:val="auto"/>
                      <w:sz w:val="18"/>
                      <w:szCs w:val="18"/>
                      <w:highlight w:val="none"/>
                    </w:rPr>
                    <w:t>519</w:t>
                  </w:r>
                </w:p>
              </w:tc>
              <w:tc>
                <w:tcPr>
                  <w:tcW w:w="31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sz w:val="18"/>
                      <w:szCs w:val="18"/>
                      <w:highlight w:val="none"/>
                    </w:rPr>
                    <w:t>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sz w:val="18"/>
                      <w:szCs w:val="18"/>
                      <w:highlight w:val="none"/>
                    </w:rPr>
                    <w:t>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sz w:val="18"/>
                      <w:szCs w:val="18"/>
                      <w:highlight w:val="none"/>
                    </w:rPr>
                    <w:t>　</w:t>
                  </w:r>
                </w:p>
              </w:tc>
              <w:tc>
                <w:tcPr>
                  <w:tcW w:w="28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sz w:val="18"/>
                      <w:szCs w:val="18"/>
                      <w:highlight w:val="none"/>
                    </w:rPr>
                    <w:t>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31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sz w:val="18"/>
                      <w:szCs w:val="18"/>
                      <w:highlight w:val="none"/>
                    </w:rPr>
                    <w:t xml:space="preserve">519 </w:t>
                  </w:r>
                </w:p>
              </w:tc>
              <w:tc>
                <w:tcPr>
                  <w:tcW w:w="28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617 </w:t>
                  </w:r>
                </w:p>
              </w:tc>
              <w:tc>
                <w:tcPr>
                  <w:tcW w:w="251"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49"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r>
            <w:tr>
              <w:tblPrEx>
                <w:tblCellMar>
                  <w:top w:w="0" w:type="dxa"/>
                  <w:left w:w="108" w:type="dxa"/>
                  <w:bottom w:w="0" w:type="dxa"/>
                  <w:right w:w="108" w:type="dxa"/>
                </w:tblCellMar>
              </w:tblPrEx>
              <w:trPr>
                <w:trHeight w:val="280" w:hRule="atLeast"/>
              </w:trPr>
              <w:tc>
                <w:tcPr>
                  <w:tcW w:w="672" w:type="pct"/>
                  <w:gridSpan w:val="2"/>
                  <w:tcBorders>
                    <w:top w:val="single" w:color="auto" w:sz="4" w:space="0"/>
                    <w:left w:val="single" w:color="auto" w:sz="4" w:space="0"/>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土方小计</w:t>
                  </w:r>
                </w:p>
              </w:tc>
              <w:tc>
                <w:tcPr>
                  <w:tcW w:w="31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rFonts w:hint="eastAsia"/>
                      <w:color w:val="auto"/>
                      <w:kern w:val="0"/>
                      <w:sz w:val="18"/>
                      <w:szCs w:val="18"/>
                      <w:highlight w:val="none"/>
                    </w:rPr>
                  </w:pPr>
                  <w:r>
                    <w:rPr>
                      <w:color w:val="auto"/>
                      <w:kern w:val="0"/>
                      <w:sz w:val="18"/>
                      <w:szCs w:val="18"/>
                      <w:highlight w:val="none"/>
                    </w:rPr>
                    <w:t>　</w:t>
                  </w:r>
                </w:p>
              </w:tc>
              <w:tc>
                <w:tcPr>
                  <w:tcW w:w="31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31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8142 </w:t>
                  </w:r>
                </w:p>
              </w:tc>
              <w:tc>
                <w:tcPr>
                  <w:tcW w:w="251"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249"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rFonts w:hint="eastAsia"/>
                      <w:color w:val="auto"/>
                      <w:kern w:val="0"/>
                      <w:sz w:val="18"/>
                      <w:szCs w:val="18"/>
                      <w:highlight w:val="none"/>
                    </w:rPr>
                  </w:pPr>
                  <w:r>
                    <w:rPr>
                      <w:color w:val="auto"/>
                      <w:kern w:val="0"/>
                      <w:sz w:val="18"/>
                      <w:szCs w:val="18"/>
                      <w:highlight w:val="none"/>
                    </w:rPr>
                    <w:t>　</w:t>
                  </w:r>
                </w:p>
              </w:tc>
            </w:tr>
            <w:tr>
              <w:tblPrEx>
                <w:tblCellMar>
                  <w:top w:w="0" w:type="dxa"/>
                  <w:left w:w="108" w:type="dxa"/>
                  <w:bottom w:w="0" w:type="dxa"/>
                  <w:right w:w="108" w:type="dxa"/>
                </w:tblCellMar>
              </w:tblPrEx>
              <w:trPr>
                <w:trHeight w:val="280" w:hRule="atLeast"/>
              </w:trPr>
              <w:tc>
                <w:tcPr>
                  <w:tcW w:w="672" w:type="pct"/>
                  <w:gridSpan w:val="2"/>
                  <w:tcBorders>
                    <w:top w:val="single" w:color="auto" w:sz="4" w:space="0"/>
                    <w:left w:val="single" w:color="auto" w:sz="4" w:space="0"/>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石方小计</w:t>
                  </w:r>
                </w:p>
              </w:tc>
              <w:tc>
                <w:tcPr>
                  <w:tcW w:w="31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rFonts w:hint="eastAsia"/>
                      <w:color w:val="auto"/>
                      <w:kern w:val="0"/>
                      <w:sz w:val="18"/>
                      <w:szCs w:val="18"/>
                      <w:highlight w:val="none"/>
                    </w:rPr>
                  </w:pPr>
                  <w:r>
                    <w:rPr>
                      <w:color w:val="auto"/>
                      <w:kern w:val="0"/>
                      <w:sz w:val="18"/>
                      <w:szCs w:val="18"/>
                      <w:highlight w:val="none"/>
                    </w:rPr>
                    <w:t>　</w:t>
                  </w:r>
                </w:p>
              </w:tc>
              <w:tc>
                <w:tcPr>
                  <w:tcW w:w="31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31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7"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w:t>
                  </w:r>
                </w:p>
              </w:tc>
              <w:tc>
                <w:tcPr>
                  <w:tcW w:w="288"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color w:val="auto"/>
                      <w:kern w:val="0"/>
                      <w:sz w:val="18"/>
                      <w:szCs w:val="18"/>
                      <w:highlight w:val="none"/>
                    </w:rPr>
                  </w:pPr>
                  <w:r>
                    <w:rPr>
                      <w:color w:val="auto"/>
                      <w:kern w:val="0"/>
                      <w:sz w:val="18"/>
                      <w:szCs w:val="18"/>
                      <w:highlight w:val="none"/>
                    </w:rPr>
                    <w:t xml:space="preserve">2228 </w:t>
                  </w:r>
                </w:p>
              </w:tc>
              <w:tc>
                <w:tcPr>
                  <w:tcW w:w="251"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w:t>
                  </w:r>
                </w:p>
              </w:tc>
              <w:tc>
                <w:tcPr>
                  <w:tcW w:w="249" w:type="pct"/>
                  <w:tcBorders>
                    <w:top w:val="nil"/>
                    <w:left w:val="nil"/>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rFonts w:hint="eastAsia"/>
                      <w:color w:val="auto"/>
                      <w:kern w:val="0"/>
                      <w:sz w:val="18"/>
                      <w:szCs w:val="18"/>
                      <w:highlight w:val="none"/>
                    </w:rPr>
                  </w:pPr>
                  <w:r>
                    <w:rPr>
                      <w:color w:val="auto"/>
                      <w:kern w:val="0"/>
                      <w:sz w:val="18"/>
                      <w:szCs w:val="18"/>
                      <w:highlight w:val="none"/>
                    </w:rPr>
                    <w:t xml:space="preserve">4071 </w:t>
                  </w:r>
                </w:p>
              </w:tc>
            </w:tr>
            <w:tr>
              <w:tblPrEx>
                <w:tblCellMar>
                  <w:top w:w="0" w:type="dxa"/>
                  <w:left w:w="108" w:type="dxa"/>
                  <w:bottom w:w="0" w:type="dxa"/>
                  <w:right w:w="108" w:type="dxa"/>
                </w:tblCellMar>
              </w:tblPrEx>
              <w:trPr>
                <w:trHeight w:val="280" w:hRule="atLeast"/>
              </w:trPr>
              <w:tc>
                <w:tcPr>
                  <w:tcW w:w="3925" w:type="pct"/>
                  <w:gridSpan w:val="13"/>
                  <w:tcBorders>
                    <w:top w:val="single" w:color="auto" w:sz="4" w:space="0"/>
                    <w:left w:val="single" w:color="auto" w:sz="4" w:space="0"/>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b w:val="0"/>
                      <w:bCs w:val="0"/>
                      <w:color w:val="auto"/>
                      <w:kern w:val="0"/>
                      <w:sz w:val="18"/>
                      <w:szCs w:val="18"/>
                      <w:highlight w:val="none"/>
                    </w:rPr>
                  </w:pPr>
                  <w:r>
                    <w:rPr>
                      <w:rFonts w:hint="eastAsia" w:ascii="宋体" w:hAnsi="宋体"/>
                      <w:b w:val="0"/>
                      <w:bCs w:val="0"/>
                      <w:color w:val="auto"/>
                      <w:kern w:val="0"/>
                      <w:sz w:val="18"/>
                      <w:szCs w:val="18"/>
                      <w:highlight w:val="none"/>
                    </w:rPr>
                    <w:t>合计</w:t>
                  </w:r>
                </w:p>
              </w:tc>
              <w:tc>
                <w:tcPr>
                  <w:tcW w:w="287" w:type="pct"/>
                  <w:tcBorders>
                    <w:top w:val="single" w:color="auto" w:sz="4" w:space="0"/>
                    <w:left w:val="single" w:color="auto" w:sz="4" w:space="0"/>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left"/>
                    <w:rPr>
                      <w:b w:val="0"/>
                      <w:bCs w:val="0"/>
                      <w:color w:val="auto"/>
                      <w:kern w:val="0"/>
                      <w:sz w:val="18"/>
                      <w:szCs w:val="18"/>
                      <w:highlight w:val="none"/>
                    </w:rPr>
                  </w:pPr>
                  <w:r>
                    <w:rPr>
                      <w:b w:val="0"/>
                      <w:bCs w:val="0"/>
                      <w:color w:val="auto"/>
                      <w:kern w:val="0"/>
                      <w:sz w:val="18"/>
                      <w:szCs w:val="18"/>
                      <w:highlight w:val="none"/>
                    </w:rPr>
                    <w:t>　</w:t>
                  </w:r>
                </w:p>
              </w:tc>
              <w:tc>
                <w:tcPr>
                  <w:tcW w:w="288" w:type="pct"/>
                  <w:tcBorders>
                    <w:top w:val="single" w:color="auto" w:sz="4" w:space="0"/>
                    <w:left w:val="single" w:color="auto" w:sz="4" w:space="0"/>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b w:val="0"/>
                      <w:bCs w:val="0"/>
                      <w:color w:val="auto"/>
                      <w:kern w:val="0"/>
                      <w:sz w:val="18"/>
                      <w:szCs w:val="18"/>
                      <w:highlight w:val="none"/>
                    </w:rPr>
                  </w:pPr>
                  <w:r>
                    <w:rPr>
                      <w:b w:val="0"/>
                      <w:bCs w:val="0"/>
                      <w:color w:val="auto"/>
                      <w:kern w:val="0"/>
                      <w:sz w:val="18"/>
                      <w:szCs w:val="18"/>
                      <w:highlight w:val="none"/>
                    </w:rPr>
                    <w:t xml:space="preserve">10370 </w:t>
                  </w:r>
                </w:p>
              </w:tc>
              <w:tc>
                <w:tcPr>
                  <w:tcW w:w="251" w:type="pct"/>
                  <w:tcBorders>
                    <w:top w:val="single" w:color="auto" w:sz="4" w:space="0"/>
                    <w:left w:val="single" w:color="auto" w:sz="4" w:space="0"/>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b w:val="0"/>
                      <w:bCs w:val="0"/>
                      <w:color w:val="auto"/>
                      <w:kern w:val="0"/>
                      <w:sz w:val="18"/>
                      <w:szCs w:val="18"/>
                      <w:highlight w:val="none"/>
                    </w:rPr>
                  </w:pPr>
                  <w:r>
                    <w:rPr>
                      <w:b w:val="0"/>
                      <w:bCs w:val="0"/>
                      <w:color w:val="auto"/>
                      <w:kern w:val="0"/>
                      <w:sz w:val="18"/>
                      <w:szCs w:val="18"/>
                      <w:highlight w:val="none"/>
                    </w:rPr>
                    <w:t>　</w:t>
                  </w:r>
                </w:p>
              </w:tc>
              <w:tc>
                <w:tcPr>
                  <w:tcW w:w="249" w:type="pct"/>
                  <w:tcBorders>
                    <w:top w:val="single" w:color="auto" w:sz="4" w:space="0"/>
                    <w:left w:val="single" w:color="auto" w:sz="4" w:space="0"/>
                    <w:bottom w:val="single" w:color="auto" w:sz="4" w:space="0"/>
                    <w:right w:val="single" w:color="auto" w:sz="4" w:space="0"/>
                  </w:tcBorders>
                  <w:shd w:val="clear" w:color="auto" w:fill="auto"/>
                  <w:noWrap w:val="0"/>
                  <w:tcMar>
                    <w:left w:w="28" w:type="dxa"/>
                    <w:right w:w="28" w:type="dxa"/>
                  </w:tcMar>
                  <w:vAlign w:val="center"/>
                </w:tcPr>
                <w:p>
                  <w:pPr>
                    <w:widowControl/>
                    <w:spacing w:line="240" w:lineRule="auto"/>
                    <w:jc w:val="center"/>
                    <w:rPr>
                      <w:b w:val="0"/>
                      <w:bCs w:val="0"/>
                      <w:color w:val="auto"/>
                      <w:kern w:val="0"/>
                      <w:sz w:val="18"/>
                      <w:szCs w:val="18"/>
                      <w:highlight w:val="none"/>
                    </w:rPr>
                  </w:pPr>
                  <w:r>
                    <w:rPr>
                      <w:b w:val="0"/>
                      <w:bCs w:val="0"/>
                      <w:color w:val="auto"/>
                      <w:kern w:val="0"/>
                      <w:sz w:val="18"/>
                      <w:szCs w:val="18"/>
                      <w:highlight w:val="none"/>
                    </w:rPr>
                    <w:t xml:space="preserve">4071 </w:t>
                  </w:r>
                </w:p>
              </w:tc>
            </w:tr>
          </w:tbl>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snapToGrid w:val="0"/>
                <w:color w:val="auto"/>
                <w:sz w:val="21"/>
                <w:szCs w:val="21"/>
                <w:highlight w:val="none"/>
                <w:lang w:val="en-US" w:eastAsia="zh-CN"/>
              </w:rPr>
            </w:pPr>
            <w:r>
              <w:rPr>
                <w:rFonts w:hint="default" w:ascii="Times New Roman" w:hAnsi="Times New Roman" w:eastAsia="宋体" w:cs="Times New Roman"/>
                <w:b/>
                <w:bCs/>
                <w:snapToGrid w:val="0"/>
                <w:color w:val="auto"/>
                <w:sz w:val="21"/>
                <w:szCs w:val="21"/>
                <w:highlight w:val="none"/>
                <w:lang w:val="en-US" w:eastAsia="zh-CN"/>
              </w:rPr>
              <w:t>2.</w:t>
            </w:r>
            <w:r>
              <w:rPr>
                <w:rFonts w:hint="default" w:ascii="Times New Roman" w:hAnsi="Times New Roman" w:cs="Times New Roman"/>
                <w:b/>
                <w:bCs/>
                <w:snapToGrid w:val="0"/>
                <w:color w:val="auto"/>
                <w:sz w:val="21"/>
                <w:szCs w:val="21"/>
                <w:highlight w:val="none"/>
                <w:lang w:val="en-US" w:eastAsia="zh-CN"/>
              </w:rPr>
              <w:t>6</w:t>
            </w:r>
            <w:r>
              <w:rPr>
                <w:rFonts w:hint="default" w:ascii="Times New Roman" w:hAnsi="Times New Roman" w:eastAsia="宋体" w:cs="Times New Roman"/>
                <w:b/>
                <w:bCs/>
                <w:snapToGrid w:val="0"/>
                <w:color w:val="auto"/>
                <w:sz w:val="21"/>
                <w:szCs w:val="21"/>
                <w:highlight w:val="none"/>
                <w:lang w:val="en-US" w:eastAsia="zh-CN"/>
              </w:rPr>
              <w:t>原辅材料统计</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本项目</w:t>
            </w:r>
            <w:r>
              <w:rPr>
                <w:rFonts w:hint="eastAsia" w:cs="Times New Roman"/>
                <w:snapToGrid w:val="0"/>
                <w:color w:val="auto"/>
                <w:sz w:val="21"/>
                <w:szCs w:val="21"/>
                <w:highlight w:val="none"/>
                <w:lang w:val="en-US" w:eastAsia="zh-CN"/>
              </w:rPr>
              <w:t>施工期</w:t>
            </w:r>
            <w:r>
              <w:rPr>
                <w:rFonts w:hint="default" w:ascii="Times New Roman" w:hAnsi="Times New Roman" w:eastAsia="宋体" w:cs="Times New Roman"/>
                <w:snapToGrid w:val="0"/>
                <w:color w:val="auto"/>
                <w:sz w:val="21"/>
                <w:szCs w:val="21"/>
                <w:highlight w:val="none"/>
                <w:lang w:val="en-US" w:eastAsia="zh-CN"/>
              </w:rPr>
              <w:t>原辅材料统计见下表所示。</w:t>
            </w:r>
          </w:p>
          <w:p>
            <w:pPr>
              <w:pStyle w:val="99"/>
              <w:spacing w:line="240" w:lineRule="auto"/>
              <w:ind w:firstLine="422"/>
              <w:jc w:val="center"/>
              <w:rPr>
                <w:rFonts w:hint="default" w:ascii="Times New Roman" w:hAnsi="Times New Roman" w:eastAsia="宋体" w:cs="Times New Roman"/>
                <w:b/>
                <w:bCs/>
                <w:snapToGrid w:val="0"/>
                <w:color w:val="auto"/>
                <w:sz w:val="21"/>
                <w:szCs w:val="21"/>
                <w:highlight w:val="none"/>
                <w:lang w:val="en-US" w:eastAsia="zh-CN"/>
              </w:rPr>
            </w:pPr>
            <w:r>
              <w:rPr>
                <w:rFonts w:hint="default" w:ascii="Times New Roman" w:hAnsi="Times New Roman" w:eastAsia="宋体" w:cs="Times New Roman"/>
                <w:b/>
                <w:bCs/>
                <w:snapToGrid w:val="0"/>
                <w:color w:val="auto"/>
                <w:sz w:val="21"/>
                <w:szCs w:val="21"/>
                <w:highlight w:val="none"/>
                <w:lang w:val="en-US" w:eastAsia="zh-CN"/>
              </w:rPr>
              <w:t>表2</w:t>
            </w:r>
            <w:r>
              <w:rPr>
                <w:rFonts w:hint="default" w:ascii="Times New Roman" w:hAnsi="Times New Roman" w:cs="Times New Roman"/>
                <w:b/>
                <w:bCs/>
                <w:snapToGrid w:val="0"/>
                <w:color w:val="auto"/>
                <w:sz w:val="21"/>
                <w:szCs w:val="21"/>
                <w:highlight w:val="none"/>
                <w:lang w:val="en-US" w:eastAsia="zh-CN"/>
              </w:rPr>
              <w:t>.6</w:t>
            </w:r>
            <w:r>
              <w:rPr>
                <w:rFonts w:hint="default" w:ascii="Times New Roman" w:hAnsi="Times New Roman" w:eastAsia="宋体" w:cs="Times New Roman"/>
                <w:b/>
                <w:bCs/>
                <w:snapToGrid w:val="0"/>
                <w:color w:val="auto"/>
                <w:sz w:val="21"/>
                <w:szCs w:val="21"/>
                <w:highlight w:val="none"/>
                <w:lang w:val="en-US" w:eastAsia="zh-CN"/>
              </w:rPr>
              <w:t>-</w:t>
            </w:r>
            <w:r>
              <w:rPr>
                <w:rFonts w:hint="default" w:ascii="Times New Roman" w:hAnsi="Times New Roman" w:cs="Times New Roman"/>
                <w:b/>
                <w:bCs/>
                <w:snapToGrid w:val="0"/>
                <w:color w:val="auto"/>
                <w:sz w:val="21"/>
                <w:szCs w:val="21"/>
                <w:highlight w:val="none"/>
                <w:lang w:val="en-US" w:eastAsia="zh-CN"/>
              </w:rPr>
              <w:t>1</w:t>
            </w:r>
            <w:r>
              <w:rPr>
                <w:rFonts w:hint="default" w:ascii="Times New Roman" w:hAnsi="Times New Roman" w:eastAsia="宋体" w:cs="Times New Roman"/>
                <w:b/>
                <w:bCs/>
                <w:snapToGrid w:val="0"/>
                <w:color w:val="auto"/>
                <w:sz w:val="21"/>
                <w:szCs w:val="21"/>
                <w:highlight w:val="none"/>
                <w:lang w:val="en-US" w:eastAsia="zh-CN"/>
              </w:rPr>
              <w:t xml:space="preserve">  枢纽主要建筑材料分年度供应量表</w:t>
            </w:r>
          </w:p>
          <w:tbl>
            <w:tblPr>
              <w:tblStyle w:val="29"/>
              <w:tblW w:w="5000" w:type="pct"/>
              <w:tblInd w:w="0" w:type="dxa"/>
              <w:tblLayout w:type="fixed"/>
              <w:tblCellMar>
                <w:top w:w="0" w:type="dxa"/>
                <w:left w:w="108" w:type="dxa"/>
                <w:bottom w:w="0" w:type="dxa"/>
                <w:right w:w="108" w:type="dxa"/>
              </w:tblCellMar>
            </w:tblPr>
            <w:tblGrid>
              <w:gridCol w:w="1159"/>
              <w:gridCol w:w="1449"/>
              <w:gridCol w:w="670"/>
              <w:gridCol w:w="1264"/>
              <w:gridCol w:w="1266"/>
              <w:gridCol w:w="1264"/>
              <w:gridCol w:w="1267"/>
            </w:tblGrid>
            <w:tr>
              <w:tblPrEx>
                <w:tblCellMar>
                  <w:top w:w="0" w:type="dxa"/>
                  <w:left w:w="108" w:type="dxa"/>
                  <w:bottom w:w="0" w:type="dxa"/>
                  <w:right w:w="108" w:type="dxa"/>
                </w:tblCellMar>
              </w:tblPrEx>
              <w:trPr>
                <w:trHeight w:val="320" w:hRule="atLeast"/>
              </w:trPr>
              <w:tc>
                <w:tcPr>
                  <w:tcW w:w="69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序号</w:t>
                  </w:r>
                </w:p>
              </w:tc>
              <w:tc>
                <w:tcPr>
                  <w:tcW w:w="869"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材料名称</w:t>
                  </w:r>
                </w:p>
              </w:tc>
              <w:tc>
                <w:tcPr>
                  <w:tcW w:w="402"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单位</w:t>
                  </w:r>
                </w:p>
              </w:tc>
              <w:tc>
                <w:tcPr>
                  <w:tcW w:w="758"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数量</w:t>
                  </w:r>
                </w:p>
              </w:tc>
              <w:tc>
                <w:tcPr>
                  <w:tcW w:w="759"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第一年</w:t>
                  </w:r>
                </w:p>
              </w:tc>
              <w:tc>
                <w:tcPr>
                  <w:tcW w:w="758"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第二年</w:t>
                  </w:r>
                </w:p>
              </w:tc>
              <w:tc>
                <w:tcPr>
                  <w:tcW w:w="759"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第三年</w:t>
                  </w:r>
                </w:p>
              </w:tc>
            </w:tr>
            <w:tr>
              <w:tblPrEx>
                <w:tblCellMar>
                  <w:top w:w="0" w:type="dxa"/>
                  <w:left w:w="108" w:type="dxa"/>
                  <w:bottom w:w="0" w:type="dxa"/>
                  <w:right w:w="108" w:type="dxa"/>
                </w:tblCellMar>
              </w:tblPrEx>
              <w:trPr>
                <w:trHeight w:val="320" w:hRule="atLeast"/>
              </w:trPr>
              <w:tc>
                <w:tcPr>
                  <w:tcW w:w="695"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hint="eastAsia"/>
                      <w:color w:val="auto"/>
                      <w:kern w:val="0"/>
                      <w:sz w:val="21"/>
                      <w:szCs w:val="21"/>
                      <w:highlight w:val="none"/>
                    </w:rPr>
                  </w:pPr>
                  <w:r>
                    <w:rPr>
                      <w:color w:val="auto"/>
                      <w:kern w:val="0"/>
                      <w:sz w:val="21"/>
                      <w:szCs w:val="21"/>
                      <w:highlight w:val="none"/>
                    </w:rPr>
                    <w:t>1</w:t>
                  </w:r>
                </w:p>
              </w:tc>
              <w:tc>
                <w:tcPr>
                  <w:tcW w:w="869"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水泥</w:t>
                  </w:r>
                </w:p>
              </w:tc>
              <w:tc>
                <w:tcPr>
                  <w:tcW w:w="402"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hint="eastAsia"/>
                      <w:color w:val="auto"/>
                      <w:kern w:val="0"/>
                      <w:sz w:val="21"/>
                      <w:szCs w:val="21"/>
                      <w:highlight w:val="none"/>
                    </w:rPr>
                  </w:pPr>
                  <w:r>
                    <w:rPr>
                      <w:color w:val="auto"/>
                      <w:kern w:val="0"/>
                      <w:sz w:val="21"/>
                      <w:szCs w:val="21"/>
                      <w:highlight w:val="none"/>
                    </w:rPr>
                    <w:t>t</w:t>
                  </w:r>
                </w:p>
              </w:tc>
              <w:tc>
                <w:tcPr>
                  <w:tcW w:w="758"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color w:val="auto"/>
                      <w:kern w:val="0"/>
                      <w:sz w:val="21"/>
                      <w:szCs w:val="21"/>
                      <w:highlight w:val="none"/>
                    </w:rPr>
                  </w:pPr>
                  <w:r>
                    <w:rPr>
                      <w:color w:val="auto"/>
                      <w:sz w:val="21"/>
                      <w:szCs w:val="21"/>
                      <w:highlight w:val="none"/>
                    </w:rPr>
                    <w:t>14752</w:t>
                  </w:r>
                </w:p>
              </w:tc>
              <w:tc>
                <w:tcPr>
                  <w:tcW w:w="759"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color w:val="auto"/>
                      <w:kern w:val="0"/>
                      <w:sz w:val="21"/>
                      <w:szCs w:val="21"/>
                      <w:highlight w:val="none"/>
                    </w:rPr>
                  </w:pPr>
                  <w:r>
                    <w:rPr>
                      <w:color w:val="auto"/>
                      <w:sz w:val="21"/>
                      <w:szCs w:val="21"/>
                      <w:highlight w:val="none"/>
                    </w:rPr>
                    <w:t>/</w:t>
                  </w:r>
                </w:p>
              </w:tc>
              <w:tc>
                <w:tcPr>
                  <w:tcW w:w="758"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color w:val="auto"/>
                      <w:kern w:val="0"/>
                      <w:sz w:val="21"/>
                      <w:szCs w:val="21"/>
                      <w:highlight w:val="none"/>
                    </w:rPr>
                  </w:pPr>
                  <w:r>
                    <w:rPr>
                      <w:color w:val="auto"/>
                      <w:sz w:val="21"/>
                      <w:szCs w:val="21"/>
                      <w:highlight w:val="none"/>
                    </w:rPr>
                    <w:t>8851</w:t>
                  </w:r>
                </w:p>
              </w:tc>
              <w:tc>
                <w:tcPr>
                  <w:tcW w:w="759"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color w:val="auto"/>
                      <w:kern w:val="0"/>
                      <w:sz w:val="21"/>
                      <w:szCs w:val="21"/>
                      <w:highlight w:val="none"/>
                    </w:rPr>
                  </w:pPr>
                  <w:r>
                    <w:rPr>
                      <w:color w:val="auto"/>
                      <w:sz w:val="21"/>
                      <w:szCs w:val="21"/>
                      <w:highlight w:val="none"/>
                    </w:rPr>
                    <w:t>5901</w:t>
                  </w:r>
                </w:p>
              </w:tc>
            </w:tr>
            <w:tr>
              <w:tblPrEx>
                <w:tblCellMar>
                  <w:top w:w="0" w:type="dxa"/>
                  <w:left w:w="108" w:type="dxa"/>
                  <w:bottom w:w="0" w:type="dxa"/>
                  <w:right w:w="108" w:type="dxa"/>
                </w:tblCellMar>
              </w:tblPrEx>
              <w:trPr>
                <w:trHeight w:val="320" w:hRule="atLeast"/>
              </w:trPr>
              <w:tc>
                <w:tcPr>
                  <w:tcW w:w="695"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color w:val="auto"/>
                      <w:kern w:val="0"/>
                      <w:sz w:val="21"/>
                      <w:szCs w:val="21"/>
                      <w:highlight w:val="none"/>
                    </w:rPr>
                  </w:pPr>
                  <w:r>
                    <w:rPr>
                      <w:color w:val="auto"/>
                      <w:kern w:val="0"/>
                      <w:sz w:val="21"/>
                      <w:szCs w:val="21"/>
                      <w:highlight w:val="none"/>
                    </w:rPr>
                    <w:t>2</w:t>
                  </w:r>
                </w:p>
              </w:tc>
              <w:tc>
                <w:tcPr>
                  <w:tcW w:w="869"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钢筋</w:t>
                  </w:r>
                </w:p>
              </w:tc>
              <w:tc>
                <w:tcPr>
                  <w:tcW w:w="402"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hint="eastAsia"/>
                      <w:color w:val="auto"/>
                      <w:kern w:val="0"/>
                      <w:sz w:val="21"/>
                      <w:szCs w:val="21"/>
                      <w:highlight w:val="none"/>
                    </w:rPr>
                  </w:pPr>
                  <w:r>
                    <w:rPr>
                      <w:color w:val="auto"/>
                      <w:kern w:val="0"/>
                      <w:sz w:val="21"/>
                      <w:szCs w:val="21"/>
                      <w:highlight w:val="none"/>
                    </w:rPr>
                    <w:t>t</w:t>
                  </w:r>
                </w:p>
              </w:tc>
              <w:tc>
                <w:tcPr>
                  <w:tcW w:w="758"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color w:val="auto"/>
                      <w:kern w:val="0"/>
                      <w:sz w:val="21"/>
                      <w:szCs w:val="21"/>
                      <w:highlight w:val="none"/>
                    </w:rPr>
                  </w:pPr>
                  <w:r>
                    <w:rPr>
                      <w:color w:val="auto"/>
                      <w:sz w:val="21"/>
                      <w:szCs w:val="21"/>
                      <w:highlight w:val="none"/>
                    </w:rPr>
                    <w:t>535</w:t>
                  </w:r>
                </w:p>
              </w:tc>
              <w:tc>
                <w:tcPr>
                  <w:tcW w:w="759"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color w:val="auto"/>
                      <w:kern w:val="0"/>
                      <w:sz w:val="21"/>
                      <w:szCs w:val="21"/>
                      <w:highlight w:val="none"/>
                    </w:rPr>
                  </w:pPr>
                  <w:r>
                    <w:rPr>
                      <w:color w:val="auto"/>
                      <w:sz w:val="21"/>
                      <w:szCs w:val="21"/>
                      <w:highlight w:val="none"/>
                    </w:rPr>
                    <w:t>/</w:t>
                  </w:r>
                </w:p>
              </w:tc>
              <w:tc>
                <w:tcPr>
                  <w:tcW w:w="758"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color w:val="auto"/>
                      <w:kern w:val="0"/>
                      <w:sz w:val="21"/>
                      <w:szCs w:val="21"/>
                      <w:highlight w:val="none"/>
                    </w:rPr>
                  </w:pPr>
                  <w:r>
                    <w:rPr>
                      <w:color w:val="auto"/>
                      <w:sz w:val="21"/>
                      <w:szCs w:val="21"/>
                      <w:highlight w:val="none"/>
                    </w:rPr>
                    <w:t>321</w:t>
                  </w:r>
                </w:p>
              </w:tc>
              <w:tc>
                <w:tcPr>
                  <w:tcW w:w="759"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color w:val="auto"/>
                      <w:kern w:val="0"/>
                      <w:sz w:val="21"/>
                      <w:szCs w:val="21"/>
                      <w:highlight w:val="none"/>
                    </w:rPr>
                  </w:pPr>
                  <w:r>
                    <w:rPr>
                      <w:color w:val="auto"/>
                      <w:sz w:val="21"/>
                      <w:szCs w:val="21"/>
                      <w:highlight w:val="none"/>
                    </w:rPr>
                    <w:t>214</w:t>
                  </w:r>
                </w:p>
              </w:tc>
            </w:tr>
            <w:tr>
              <w:tblPrEx>
                <w:tblCellMar>
                  <w:top w:w="0" w:type="dxa"/>
                  <w:left w:w="108" w:type="dxa"/>
                  <w:bottom w:w="0" w:type="dxa"/>
                  <w:right w:w="108" w:type="dxa"/>
                </w:tblCellMar>
              </w:tblPrEx>
              <w:trPr>
                <w:trHeight w:val="280" w:hRule="atLeast"/>
              </w:trPr>
              <w:tc>
                <w:tcPr>
                  <w:tcW w:w="695"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color w:val="auto"/>
                      <w:kern w:val="0"/>
                      <w:sz w:val="21"/>
                      <w:szCs w:val="21"/>
                      <w:highlight w:val="none"/>
                    </w:rPr>
                  </w:pPr>
                  <w:r>
                    <w:rPr>
                      <w:color w:val="auto"/>
                      <w:kern w:val="0"/>
                      <w:sz w:val="21"/>
                      <w:szCs w:val="21"/>
                      <w:highlight w:val="none"/>
                    </w:rPr>
                    <w:t>3</w:t>
                  </w:r>
                </w:p>
              </w:tc>
              <w:tc>
                <w:tcPr>
                  <w:tcW w:w="869"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汽</w:t>
                  </w:r>
                  <w:r>
                    <w:rPr>
                      <w:color w:val="auto"/>
                      <w:kern w:val="0"/>
                      <w:sz w:val="21"/>
                      <w:szCs w:val="21"/>
                      <w:highlight w:val="none"/>
                    </w:rPr>
                    <w:t>/</w:t>
                  </w:r>
                  <w:r>
                    <w:rPr>
                      <w:rFonts w:hint="eastAsia" w:ascii="宋体" w:hAnsi="宋体" w:cs="宋体"/>
                      <w:color w:val="auto"/>
                      <w:kern w:val="0"/>
                      <w:sz w:val="21"/>
                      <w:szCs w:val="21"/>
                      <w:highlight w:val="none"/>
                    </w:rPr>
                    <w:t>柴油</w:t>
                  </w:r>
                </w:p>
              </w:tc>
              <w:tc>
                <w:tcPr>
                  <w:tcW w:w="402"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hint="eastAsia"/>
                      <w:color w:val="auto"/>
                      <w:kern w:val="0"/>
                      <w:sz w:val="21"/>
                      <w:szCs w:val="21"/>
                      <w:highlight w:val="none"/>
                    </w:rPr>
                  </w:pPr>
                  <w:r>
                    <w:rPr>
                      <w:color w:val="auto"/>
                      <w:kern w:val="0"/>
                      <w:sz w:val="21"/>
                      <w:szCs w:val="21"/>
                      <w:highlight w:val="none"/>
                    </w:rPr>
                    <w:t>t</w:t>
                  </w:r>
                </w:p>
              </w:tc>
              <w:tc>
                <w:tcPr>
                  <w:tcW w:w="758"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color w:val="auto"/>
                      <w:kern w:val="0"/>
                      <w:sz w:val="21"/>
                      <w:szCs w:val="21"/>
                      <w:highlight w:val="none"/>
                    </w:rPr>
                  </w:pPr>
                  <w:r>
                    <w:rPr>
                      <w:color w:val="auto"/>
                      <w:sz w:val="21"/>
                      <w:szCs w:val="21"/>
                      <w:highlight w:val="none"/>
                    </w:rPr>
                    <w:t>243</w:t>
                  </w:r>
                </w:p>
              </w:tc>
              <w:tc>
                <w:tcPr>
                  <w:tcW w:w="759"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color w:val="auto"/>
                      <w:kern w:val="0"/>
                      <w:sz w:val="21"/>
                      <w:szCs w:val="21"/>
                      <w:highlight w:val="none"/>
                    </w:rPr>
                  </w:pPr>
                  <w:r>
                    <w:rPr>
                      <w:color w:val="auto"/>
                      <w:sz w:val="21"/>
                      <w:szCs w:val="21"/>
                      <w:highlight w:val="none"/>
                    </w:rPr>
                    <w:t>12</w:t>
                  </w:r>
                </w:p>
              </w:tc>
              <w:tc>
                <w:tcPr>
                  <w:tcW w:w="758"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color w:val="auto"/>
                      <w:kern w:val="0"/>
                      <w:sz w:val="21"/>
                      <w:szCs w:val="21"/>
                      <w:highlight w:val="none"/>
                    </w:rPr>
                  </w:pPr>
                  <w:r>
                    <w:rPr>
                      <w:color w:val="auto"/>
                      <w:sz w:val="21"/>
                      <w:szCs w:val="21"/>
                      <w:highlight w:val="none"/>
                    </w:rPr>
                    <w:t>139</w:t>
                  </w:r>
                </w:p>
              </w:tc>
              <w:tc>
                <w:tcPr>
                  <w:tcW w:w="759"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color w:val="auto"/>
                      <w:kern w:val="0"/>
                      <w:sz w:val="21"/>
                      <w:szCs w:val="21"/>
                      <w:highlight w:val="none"/>
                    </w:rPr>
                  </w:pPr>
                  <w:r>
                    <w:rPr>
                      <w:color w:val="auto"/>
                      <w:sz w:val="21"/>
                      <w:szCs w:val="21"/>
                      <w:highlight w:val="none"/>
                    </w:rPr>
                    <w:t>92</w:t>
                  </w:r>
                </w:p>
              </w:tc>
            </w:tr>
            <w:tr>
              <w:tblPrEx>
                <w:tblCellMar>
                  <w:top w:w="0" w:type="dxa"/>
                  <w:left w:w="108" w:type="dxa"/>
                  <w:bottom w:w="0" w:type="dxa"/>
                  <w:right w:w="108" w:type="dxa"/>
                </w:tblCellMar>
              </w:tblPrEx>
              <w:trPr>
                <w:trHeight w:val="280" w:hRule="atLeast"/>
              </w:trPr>
              <w:tc>
                <w:tcPr>
                  <w:tcW w:w="695"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color w:val="auto"/>
                      <w:kern w:val="0"/>
                      <w:sz w:val="21"/>
                      <w:szCs w:val="21"/>
                      <w:highlight w:val="none"/>
                    </w:rPr>
                  </w:pPr>
                  <w:r>
                    <w:rPr>
                      <w:color w:val="auto"/>
                      <w:kern w:val="0"/>
                      <w:sz w:val="21"/>
                      <w:szCs w:val="21"/>
                      <w:highlight w:val="none"/>
                    </w:rPr>
                    <w:t>4</w:t>
                  </w:r>
                </w:p>
              </w:tc>
              <w:tc>
                <w:tcPr>
                  <w:tcW w:w="869"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炸药</w:t>
                  </w:r>
                </w:p>
              </w:tc>
              <w:tc>
                <w:tcPr>
                  <w:tcW w:w="402"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rFonts w:hint="eastAsia"/>
                      <w:color w:val="auto"/>
                      <w:kern w:val="0"/>
                      <w:sz w:val="21"/>
                      <w:szCs w:val="21"/>
                      <w:highlight w:val="none"/>
                    </w:rPr>
                  </w:pPr>
                  <w:r>
                    <w:rPr>
                      <w:color w:val="auto"/>
                      <w:kern w:val="0"/>
                      <w:sz w:val="21"/>
                      <w:szCs w:val="21"/>
                      <w:highlight w:val="none"/>
                    </w:rPr>
                    <w:t>t</w:t>
                  </w:r>
                </w:p>
              </w:tc>
              <w:tc>
                <w:tcPr>
                  <w:tcW w:w="758"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color w:val="auto"/>
                      <w:kern w:val="0"/>
                      <w:sz w:val="21"/>
                      <w:szCs w:val="21"/>
                      <w:highlight w:val="none"/>
                    </w:rPr>
                  </w:pPr>
                  <w:r>
                    <w:rPr>
                      <w:color w:val="auto"/>
                      <w:sz w:val="21"/>
                      <w:szCs w:val="21"/>
                      <w:highlight w:val="none"/>
                    </w:rPr>
                    <w:t>24</w:t>
                  </w:r>
                </w:p>
              </w:tc>
              <w:tc>
                <w:tcPr>
                  <w:tcW w:w="759"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color w:val="auto"/>
                      <w:kern w:val="0"/>
                      <w:sz w:val="21"/>
                      <w:szCs w:val="21"/>
                      <w:highlight w:val="none"/>
                    </w:rPr>
                  </w:pPr>
                  <w:r>
                    <w:rPr>
                      <w:color w:val="auto"/>
                      <w:sz w:val="21"/>
                      <w:szCs w:val="21"/>
                      <w:highlight w:val="none"/>
                    </w:rPr>
                    <w:t>/</w:t>
                  </w:r>
                </w:p>
              </w:tc>
              <w:tc>
                <w:tcPr>
                  <w:tcW w:w="758"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color w:val="auto"/>
                      <w:kern w:val="0"/>
                      <w:sz w:val="21"/>
                      <w:szCs w:val="21"/>
                      <w:highlight w:val="none"/>
                    </w:rPr>
                  </w:pPr>
                  <w:r>
                    <w:rPr>
                      <w:color w:val="auto"/>
                      <w:sz w:val="21"/>
                      <w:szCs w:val="21"/>
                      <w:highlight w:val="none"/>
                    </w:rPr>
                    <w:t>14</w:t>
                  </w:r>
                </w:p>
              </w:tc>
              <w:tc>
                <w:tcPr>
                  <w:tcW w:w="759" w:type="pct"/>
                  <w:tcBorders>
                    <w:top w:val="nil"/>
                    <w:left w:val="nil"/>
                    <w:bottom w:val="single" w:color="auto" w:sz="4" w:space="0"/>
                    <w:right w:val="single" w:color="auto" w:sz="4" w:space="0"/>
                  </w:tcBorders>
                  <w:shd w:val="clear" w:color="auto" w:fill="auto"/>
                  <w:noWrap/>
                  <w:vAlign w:val="center"/>
                </w:tcPr>
                <w:p>
                  <w:pPr>
                    <w:widowControl/>
                    <w:spacing w:line="240" w:lineRule="auto"/>
                    <w:jc w:val="center"/>
                    <w:rPr>
                      <w:color w:val="auto"/>
                      <w:kern w:val="0"/>
                      <w:sz w:val="21"/>
                      <w:szCs w:val="21"/>
                      <w:highlight w:val="none"/>
                    </w:rPr>
                  </w:pPr>
                  <w:r>
                    <w:rPr>
                      <w:color w:val="auto"/>
                      <w:sz w:val="21"/>
                      <w:szCs w:val="21"/>
                      <w:highlight w:val="none"/>
                    </w:rPr>
                    <w:t>10</w:t>
                  </w:r>
                </w:p>
              </w:tc>
            </w:tr>
          </w:tbl>
          <w:p>
            <w:pPr>
              <w:pStyle w:val="99"/>
              <w:spacing w:line="240" w:lineRule="auto"/>
              <w:ind w:firstLine="422"/>
              <w:jc w:val="center"/>
              <w:rPr>
                <w:rFonts w:hint="default" w:ascii="Times New Roman" w:hAnsi="Times New Roman" w:eastAsia="宋体" w:cs="Times New Roman"/>
                <w:b/>
                <w:bCs/>
                <w:snapToGrid w:val="0"/>
                <w:color w:val="auto"/>
                <w:sz w:val="21"/>
                <w:szCs w:val="21"/>
                <w:highlight w:val="none"/>
                <w:lang w:val="en-US" w:eastAsia="zh-CN"/>
              </w:rPr>
            </w:pPr>
            <w:r>
              <w:rPr>
                <w:rFonts w:hint="default" w:ascii="Times New Roman" w:hAnsi="Times New Roman" w:eastAsia="宋体" w:cs="Times New Roman"/>
                <w:b/>
                <w:bCs/>
                <w:snapToGrid w:val="0"/>
                <w:color w:val="auto"/>
                <w:sz w:val="21"/>
                <w:szCs w:val="21"/>
                <w:highlight w:val="none"/>
                <w:lang w:val="en-US" w:eastAsia="zh-CN"/>
              </w:rPr>
              <w:t>表2</w:t>
            </w:r>
            <w:r>
              <w:rPr>
                <w:rFonts w:hint="default" w:ascii="Times New Roman" w:hAnsi="Times New Roman" w:cs="Times New Roman"/>
                <w:b/>
                <w:bCs/>
                <w:snapToGrid w:val="0"/>
                <w:color w:val="auto"/>
                <w:sz w:val="21"/>
                <w:szCs w:val="21"/>
                <w:highlight w:val="none"/>
                <w:lang w:val="en-US" w:eastAsia="zh-CN"/>
              </w:rPr>
              <w:t>.6</w:t>
            </w:r>
            <w:r>
              <w:rPr>
                <w:rFonts w:hint="eastAsia" w:ascii="Times New Roman" w:hAnsi="Times New Roman" w:eastAsia="宋体" w:cs="Times New Roman"/>
                <w:b/>
                <w:bCs/>
                <w:snapToGrid w:val="0"/>
                <w:color w:val="auto"/>
                <w:sz w:val="21"/>
                <w:szCs w:val="21"/>
                <w:highlight w:val="none"/>
                <w:lang w:val="en-US" w:eastAsia="zh-CN"/>
              </w:rPr>
              <w:t>-2</w:t>
            </w:r>
            <w:r>
              <w:rPr>
                <w:rFonts w:hint="default" w:ascii="Times New Roman" w:hAnsi="Times New Roman" w:eastAsia="宋体" w:cs="Times New Roman"/>
                <w:b/>
                <w:bCs/>
                <w:snapToGrid w:val="0"/>
                <w:color w:val="auto"/>
                <w:sz w:val="21"/>
                <w:szCs w:val="21"/>
                <w:highlight w:val="none"/>
                <w:lang w:val="en-US" w:eastAsia="zh-CN"/>
              </w:rPr>
              <w:t xml:space="preserve">  </w:t>
            </w:r>
            <w:r>
              <w:rPr>
                <w:rFonts w:hint="eastAsia" w:ascii="Times New Roman" w:hAnsi="Times New Roman" w:eastAsia="宋体" w:cs="Times New Roman"/>
                <w:b/>
                <w:bCs/>
                <w:snapToGrid w:val="0"/>
                <w:color w:val="auto"/>
                <w:sz w:val="21"/>
                <w:szCs w:val="21"/>
                <w:highlight w:val="none"/>
                <w:lang w:val="en-US" w:eastAsia="zh-CN"/>
              </w:rPr>
              <w:t>灌</w:t>
            </w:r>
            <w:r>
              <w:rPr>
                <w:rFonts w:hint="default" w:ascii="Times New Roman" w:hAnsi="Times New Roman" w:eastAsia="宋体" w:cs="Times New Roman"/>
                <w:b/>
                <w:bCs/>
                <w:snapToGrid w:val="0"/>
                <w:color w:val="auto"/>
                <w:sz w:val="21"/>
                <w:szCs w:val="21"/>
                <w:highlight w:val="none"/>
                <w:lang w:val="en-US" w:eastAsia="zh-CN"/>
              </w:rPr>
              <w:t>区主要建筑材料供应量表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524"/>
              <w:gridCol w:w="1018"/>
              <w:gridCol w:w="1599"/>
              <w:gridCol w:w="1599"/>
              <w:gridCol w:w="1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93" w:type="pct"/>
                  <w:shd w:val="clear" w:color="auto" w:fill="auto"/>
                  <w:noWrap/>
                  <w:vAlign w:val="center"/>
                </w:tcPr>
                <w:p>
                  <w:pPr>
                    <w:widowControl/>
                    <w:spacing w:line="240" w:lineRule="auto"/>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序号</w:t>
                  </w:r>
                </w:p>
              </w:tc>
              <w:tc>
                <w:tcPr>
                  <w:tcW w:w="915" w:type="pct"/>
                  <w:shd w:val="clear" w:color="auto" w:fill="auto"/>
                  <w:noWrap/>
                  <w:vAlign w:val="center"/>
                </w:tcPr>
                <w:p>
                  <w:pPr>
                    <w:widowControl/>
                    <w:spacing w:line="240" w:lineRule="auto"/>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材料名称</w:t>
                  </w:r>
                </w:p>
              </w:tc>
              <w:tc>
                <w:tcPr>
                  <w:tcW w:w="611" w:type="pct"/>
                  <w:shd w:val="clear" w:color="auto" w:fill="auto"/>
                  <w:noWrap/>
                  <w:vAlign w:val="center"/>
                </w:tcPr>
                <w:p>
                  <w:pPr>
                    <w:widowControl/>
                    <w:spacing w:line="240" w:lineRule="auto"/>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单位</w:t>
                  </w:r>
                </w:p>
              </w:tc>
              <w:tc>
                <w:tcPr>
                  <w:tcW w:w="960" w:type="pct"/>
                  <w:shd w:val="clear" w:color="auto" w:fill="auto"/>
                  <w:noWrap/>
                  <w:vAlign w:val="center"/>
                </w:tcPr>
                <w:p>
                  <w:pPr>
                    <w:widowControl/>
                    <w:spacing w:line="240" w:lineRule="auto"/>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数量</w:t>
                  </w:r>
                </w:p>
              </w:tc>
              <w:tc>
                <w:tcPr>
                  <w:tcW w:w="960" w:type="pct"/>
                  <w:shd w:val="clear" w:color="auto" w:fill="auto"/>
                  <w:noWrap/>
                  <w:vAlign w:val="center"/>
                </w:tcPr>
                <w:p>
                  <w:pPr>
                    <w:widowControl/>
                    <w:spacing w:line="240" w:lineRule="auto"/>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第一年</w:t>
                  </w:r>
                </w:p>
              </w:tc>
              <w:tc>
                <w:tcPr>
                  <w:tcW w:w="961" w:type="pct"/>
                  <w:shd w:val="clear" w:color="auto" w:fill="auto"/>
                  <w:noWrap/>
                  <w:vAlign w:val="center"/>
                </w:tcPr>
                <w:p>
                  <w:pPr>
                    <w:widowControl/>
                    <w:spacing w:line="240" w:lineRule="auto"/>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第二年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93" w:type="pct"/>
                  <w:shd w:val="clear" w:color="auto" w:fill="auto"/>
                  <w:noWrap/>
                  <w:vAlign w:val="center"/>
                </w:tcPr>
                <w:p>
                  <w:pPr>
                    <w:widowControl/>
                    <w:spacing w:line="240" w:lineRule="auto"/>
                    <w:jc w:val="center"/>
                    <w:rPr>
                      <w:rFonts w:hint="eastAsia"/>
                      <w:color w:val="auto"/>
                      <w:kern w:val="0"/>
                      <w:sz w:val="21"/>
                      <w:szCs w:val="21"/>
                      <w:highlight w:val="none"/>
                    </w:rPr>
                  </w:pPr>
                  <w:r>
                    <w:rPr>
                      <w:color w:val="auto"/>
                      <w:kern w:val="0"/>
                      <w:sz w:val="21"/>
                      <w:szCs w:val="21"/>
                      <w:highlight w:val="none"/>
                    </w:rPr>
                    <w:t>1</w:t>
                  </w:r>
                </w:p>
              </w:tc>
              <w:tc>
                <w:tcPr>
                  <w:tcW w:w="915" w:type="pct"/>
                  <w:shd w:val="clear" w:color="auto" w:fill="auto"/>
                  <w:noWrap/>
                  <w:vAlign w:val="center"/>
                </w:tcPr>
                <w:p>
                  <w:pPr>
                    <w:widowControl/>
                    <w:spacing w:line="240" w:lineRule="auto"/>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水泥</w:t>
                  </w:r>
                </w:p>
              </w:tc>
              <w:tc>
                <w:tcPr>
                  <w:tcW w:w="611" w:type="pct"/>
                  <w:shd w:val="clear" w:color="auto" w:fill="auto"/>
                  <w:noWrap/>
                  <w:vAlign w:val="center"/>
                </w:tcPr>
                <w:p>
                  <w:pPr>
                    <w:widowControl/>
                    <w:spacing w:line="240" w:lineRule="auto"/>
                    <w:jc w:val="center"/>
                    <w:rPr>
                      <w:rFonts w:hint="eastAsia"/>
                      <w:color w:val="auto"/>
                      <w:kern w:val="0"/>
                      <w:sz w:val="21"/>
                      <w:szCs w:val="21"/>
                      <w:highlight w:val="none"/>
                    </w:rPr>
                  </w:pPr>
                  <w:r>
                    <w:rPr>
                      <w:color w:val="auto"/>
                      <w:kern w:val="0"/>
                      <w:sz w:val="21"/>
                      <w:szCs w:val="21"/>
                      <w:highlight w:val="none"/>
                    </w:rPr>
                    <w:t>t</w:t>
                  </w:r>
                </w:p>
              </w:tc>
              <w:tc>
                <w:tcPr>
                  <w:tcW w:w="960" w:type="pct"/>
                  <w:shd w:val="clear" w:color="auto" w:fill="auto"/>
                  <w:noWrap/>
                  <w:vAlign w:val="center"/>
                </w:tcPr>
                <w:p>
                  <w:pPr>
                    <w:widowControl/>
                    <w:spacing w:line="240" w:lineRule="auto"/>
                    <w:jc w:val="center"/>
                    <w:rPr>
                      <w:color w:val="auto"/>
                      <w:kern w:val="0"/>
                      <w:sz w:val="21"/>
                      <w:szCs w:val="21"/>
                      <w:highlight w:val="none"/>
                    </w:rPr>
                  </w:pPr>
                  <w:r>
                    <w:rPr>
                      <w:color w:val="auto"/>
                      <w:kern w:val="0"/>
                      <w:sz w:val="21"/>
                      <w:szCs w:val="21"/>
                      <w:highlight w:val="none"/>
                    </w:rPr>
                    <w:t>1923</w:t>
                  </w:r>
                </w:p>
              </w:tc>
              <w:tc>
                <w:tcPr>
                  <w:tcW w:w="960" w:type="pct"/>
                  <w:shd w:val="clear" w:color="auto" w:fill="auto"/>
                  <w:noWrap/>
                  <w:vAlign w:val="center"/>
                </w:tcPr>
                <w:p>
                  <w:pPr>
                    <w:widowControl/>
                    <w:spacing w:line="240" w:lineRule="auto"/>
                    <w:jc w:val="center"/>
                    <w:rPr>
                      <w:color w:val="auto"/>
                      <w:kern w:val="0"/>
                      <w:sz w:val="21"/>
                      <w:szCs w:val="21"/>
                      <w:highlight w:val="none"/>
                    </w:rPr>
                  </w:pPr>
                  <w:r>
                    <w:rPr>
                      <w:color w:val="auto"/>
                      <w:kern w:val="0"/>
                      <w:sz w:val="21"/>
                      <w:szCs w:val="21"/>
                      <w:highlight w:val="none"/>
                    </w:rPr>
                    <w:t>385</w:t>
                  </w:r>
                </w:p>
              </w:tc>
              <w:tc>
                <w:tcPr>
                  <w:tcW w:w="961" w:type="pct"/>
                  <w:shd w:val="clear" w:color="auto" w:fill="auto"/>
                  <w:noWrap/>
                  <w:vAlign w:val="center"/>
                </w:tcPr>
                <w:p>
                  <w:pPr>
                    <w:widowControl/>
                    <w:spacing w:line="240" w:lineRule="auto"/>
                    <w:jc w:val="center"/>
                    <w:rPr>
                      <w:color w:val="auto"/>
                      <w:kern w:val="0"/>
                      <w:sz w:val="21"/>
                      <w:szCs w:val="21"/>
                      <w:highlight w:val="none"/>
                    </w:rPr>
                  </w:pPr>
                  <w:r>
                    <w:rPr>
                      <w:color w:val="auto"/>
                      <w:kern w:val="0"/>
                      <w:sz w:val="21"/>
                      <w:szCs w:val="21"/>
                      <w:highlight w:val="none"/>
                    </w:rPr>
                    <w:t>1538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93" w:type="pct"/>
                  <w:shd w:val="clear" w:color="auto" w:fill="auto"/>
                  <w:noWrap/>
                  <w:vAlign w:val="center"/>
                </w:tcPr>
                <w:p>
                  <w:pPr>
                    <w:widowControl/>
                    <w:spacing w:line="240" w:lineRule="auto"/>
                    <w:jc w:val="center"/>
                    <w:rPr>
                      <w:color w:val="auto"/>
                      <w:kern w:val="0"/>
                      <w:sz w:val="21"/>
                      <w:szCs w:val="21"/>
                      <w:highlight w:val="none"/>
                    </w:rPr>
                  </w:pPr>
                  <w:r>
                    <w:rPr>
                      <w:color w:val="auto"/>
                      <w:kern w:val="0"/>
                      <w:sz w:val="21"/>
                      <w:szCs w:val="21"/>
                      <w:highlight w:val="none"/>
                    </w:rPr>
                    <w:t>2</w:t>
                  </w:r>
                </w:p>
              </w:tc>
              <w:tc>
                <w:tcPr>
                  <w:tcW w:w="915" w:type="pct"/>
                  <w:shd w:val="clear" w:color="auto" w:fill="auto"/>
                  <w:noWrap/>
                  <w:vAlign w:val="center"/>
                </w:tcPr>
                <w:p>
                  <w:pPr>
                    <w:widowControl/>
                    <w:spacing w:line="240" w:lineRule="auto"/>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钢筋</w:t>
                  </w:r>
                </w:p>
              </w:tc>
              <w:tc>
                <w:tcPr>
                  <w:tcW w:w="611" w:type="pct"/>
                  <w:shd w:val="clear" w:color="auto" w:fill="auto"/>
                  <w:noWrap/>
                  <w:vAlign w:val="center"/>
                </w:tcPr>
                <w:p>
                  <w:pPr>
                    <w:widowControl/>
                    <w:spacing w:line="240" w:lineRule="auto"/>
                    <w:jc w:val="center"/>
                    <w:rPr>
                      <w:rFonts w:hint="eastAsia"/>
                      <w:color w:val="auto"/>
                      <w:kern w:val="0"/>
                      <w:sz w:val="21"/>
                      <w:szCs w:val="21"/>
                      <w:highlight w:val="none"/>
                    </w:rPr>
                  </w:pPr>
                  <w:r>
                    <w:rPr>
                      <w:color w:val="auto"/>
                      <w:kern w:val="0"/>
                      <w:sz w:val="21"/>
                      <w:szCs w:val="21"/>
                      <w:highlight w:val="none"/>
                    </w:rPr>
                    <w:t>t</w:t>
                  </w:r>
                </w:p>
              </w:tc>
              <w:tc>
                <w:tcPr>
                  <w:tcW w:w="960" w:type="pct"/>
                  <w:shd w:val="clear" w:color="auto" w:fill="auto"/>
                  <w:noWrap/>
                  <w:vAlign w:val="center"/>
                </w:tcPr>
                <w:p>
                  <w:pPr>
                    <w:widowControl/>
                    <w:spacing w:line="240" w:lineRule="auto"/>
                    <w:jc w:val="center"/>
                    <w:rPr>
                      <w:color w:val="auto"/>
                      <w:kern w:val="0"/>
                      <w:sz w:val="21"/>
                      <w:szCs w:val="21"/>
                      <w:highlight w:val="none"/>
                    </w:rPr>
                  </w:pPr>
                  <w:r>
                    <w:rPr>
                      <w:color w:val="auto"/>
                      <w:sz w:val="21"/>
                      <w:szCs w:val="21"/>
                      <w:highlight w:val="none"/>
                    </w:rPr>
                    <w:t>270</w:t>
                  </w:r>
                </w:p>
              </w:tc>
              <w:tc>
                <w:tcPr>
                  <w:tcW w:w="960" w:type="pct"/>
                  <w:shd w:val="clear" w:color="auto" w:fill="auto"/>
                  <w:noWrap/>
                  <w:vAlign w:val="center"/>
                </w:tcPr>
                <w:p>
                  <w:pPr>
                    <w:widowControl/>
                    <w:spacing w:line="240" w:lineRule="auto"/>
                    <w:jc w:val="center"/>
                    <w:rPr>
                      <w:color w:val="auto"/>
                      <w:kern w:val="0"/>
                      <w:sz w:val="21"/>
                      <w:szCs w:val="21"/>
                      <w:highlight w:val="none"/>
                    </w:rPr>
                  </w:pPr>
                  <w:r>
                    <w:rPr>
                      <w:color w:val="auto"/>
                      <w:sz w:val="21"/>
                      <w:szCs w:val="21"/>
                      <w:highlight w:val="none"/>
                    </w:rPr>
                    <w:t>54</w:t>
                  </w:r>
                </w:p>
              </w:tc>
              <w:tc>
                <w:tcPr>
                  <w:tcW w:w="961" w:type="pct"/>
                  <w:shd w:val="clear" w:color="auto" w:fill="auto"/>
                  <w:noWrap/>
                  <w:vAlign w:val="center"/>
                </w:tcPr>
                <w:p>
                  <w:pPr>
                    <w:widowControl/>
                    <w:spacing w:line="240" w:lineRule="auto"/>
                    <w:jc w:val="center"/>
                    <w:rPr>
                      <w:color w:val="auto"/>
                      <w:kern w:val="0"/>
                      <w:sz w:val="21"/>
                      <w:szCs w:val="21"/>
                      <w:highlight w:val="none"/>
                    </w:rPr>
                  </w:pPr>
                  <w:r>
                    <w:rPr>
                      <w:color w:val="auto"/>
                      <w:sz w:val="21"/>
                      <w:szCs w:val="21"/>
                      <w:highlight w:val="none"/>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93" w:type="pct"/>
                  <w:shd w:val="clear" w:color="auto" w:fill="auto"/>
                  <w:noWrap/>
                  <w:vAlign w:val="center"/>
                </w:tcPr>
                <w:p>
                  <w:pPr>
                    <w:widowControl/>
                    <w:spacing w:line="240" w:lineRule="auto"/>
                    <w:jc w:val="center"/>
                    <w:rPr>
                      <w:color w:val="auto"/>
                      <w:kern w:val="0"/>
                      <w:sz w:val="21"/>
                      <w:szCs w:val="21"/>
                      <w:highlight w:val="none"/>
                    </w:rPr>
                  </w:pPr>
                  <w:r>
                    <w:rPr>
                      <w:color w:val="auto"/>
                      <w:kern w:val="0"/>
                      <w:sz w:val="21"/>
                      <w:szCs w:val="21"/>
                      <w:highlight w:val="none"/>
                    </w:rPr>
                    <w:t>3</w:t>
                  </w:r>
                </w:p>
              </w:tc>
              <w:tc>
                <w:tcPr>
                  <w:tcW w:w="915" w:type="pct"/>
                  <w:shd w:val="clear" w:color="auto" w:fill="auto"/>
                  <w:noWrap/>
                  <w:vAlign w:val="center"/>
                </w:tcPr>
                <w:p>
                  <w:pPr>
                    <w:widowControl/>
                    <w:spacing w:line="240" w:lineRule="auto"/>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汽</w:t>
                  </w:r>
                  <w:r>
                    <w:rPr>
                      <w:color w:val="auto"/>
                      <w:kern w:val="0"/>
                      <w:sz w:val="21"/>
                      <w:szCs w:val="21"/>
                      <w:highlight w:val="none"/>
                    </w:rPr>
                    <w:t>/</w:t>
                  </w:r>
                  <w:r>
                    <w:rPr>
                      <w:rFonts w:hint="eastAsia" w:ascii="宋体" w:hAnsi="宋体" w:cs="宋体"/>
                      <w:color w:val="auto"/>
                      <w:kern w:val="0"/>
                      <w:sz w:val="21"/>
                      <w:szCs w:val="21"/>
                      <w:highlight w:val="none"/>
                    </w:rPr>
                    <w:t>柴油</w:t>
                  </w:r>
                </w:p>
              </w:tc>
              <w:tc>
                <w:tcPr>
                  <w:tcW w:w="611" w:type="pct"/>
                  <w:shd w:val="clear" w:color="auto" w:fill="auto"/>
                  <w:noWrap/>
                  <w:vAlign w:val="center"/>
                </w:tcPr>
                <w:p>
                  <w:pPr>
                    <w:widowControl/>
                    <w:spacing w:line="240" w:lineRule="auto"/>
                    <w:jc w:val="center"/>
                    <w:rPr>
                      <w:rFonts w:hint="eastAsia"/>
                      <w:color w:val="auto"/>
                      <w:kern w:val="0"/>
                      <w:sz w:val="21"/>
                      <w:szCs w:val="21"/>
                      <w:highlight w:val="none"/>
                    </w:rPr>
                  </w:pPr>
                  <w:r>
                    <w:rPr>
                      <w:color w:val="auto"/>
                      <w:kern w:val="0"/>
                      <w:sz w:val="21"/>
                      <w:szCs w:val="21"/>
                      <w:highlight w:val="none"/>
                    </w:rPr>
                    <w:t>t</w:t>
                  </w:r>
                </w:p>
              </w:tc>
              <w:tc>
                <w:tcPr>
                  <w:tcW w:w="960" w:type="pct"/>
                  <w:shd w:val="clear" w:color="auto" w:fill="auto"/>
                  <w:noWrap/>
                  <w:vAlign w:val="center"/>
                </w:tcPr>
                <w:p>
                  <w:pPr>
                    <w:widowControl/>
                    <w:spacing w:line="240" w:lineRule="auto"/>
                    <w:jc w:val="center"/>
                    <w:rPr>
                      <w:color w:val="auto"/>
                      <w:kern w:val="0"/>
                      <w:sz w:val="21"/>
                      <w:szCs w:val="21"/>
                      <w:highlight w:val="none"/>
                    </w:rPr>
                  </w:pPr>
                  <w:r>
                    <w:rPr>
                      <w:color w:val="auto"/>
                      <w:kern w:val="0"/>
                      <w:sz w:val="21"/>
                      <w:szCs w:val="21"/>
                      <w:highlight w:val="none"/>
                    </w:rPr>
                    <w:t>74</w:t>
                  </w:r>
                </w:p>
              </w:tc>
              <w:tc>
                <w:tcPr>
                  <w:tcW w:w="960" w:type="pct"/>
                  <w:shd w:val="clear" w:color="auto" w:fill="auto"/>
                  <w:noWrap/>
                  <w:vAlign w:val="center"/>
                </w:tcPr>
                <w:p>
                  <w:pPr>
                    <w:widowControl/>
                    <w:spacing w:line="240" w:lineRule="auto"/>
                    <w:jc w:val="center"/>
                    <w:rPr>
                      <w:color w:val="auto"/>
                      <w:kern w:val="0"/>
                      <w:sz w:val="21"/>
                      <w:szCs w:val="21"/>
                      <w:highlight w:val="none"/>
                    </w:rPr>
                  </w:pPr>
                  <w:r>
                    <w:rPr>
                      <w:color w:val="auto"/>
                      <w:kern w:val="0"/>
                      <w:sz w:val="21"/>
                      <w:szCs w:val="21"/>
                      <w:highlight w:val="none"/>
                    </w:rPr>
                    <w:t>15</w:t>
                  </w:r>
                </w:p>
              </w:tc>
              <w:tc>
                <w:tcPr>
                  <w:tcW w:w="961" w:type="pct"/>
                  <w:shd w:val="clear" w:color="auto" w:fill="auto"/>
                  <w:noWrap/>
                  <w:vAlign w:val="center"/>
                </w:tcPr>
                <w:p>
                  <w:pPr>
                    <w:widowControl/>
                    <w:spacing w:line="240" w:lineRule="auto"/>
                    <w:jc w:val="center"/>
                    <w:rPr>
                      <w:color w:val="auto"/>
                      <w:kern w:val="0"/>
                      <w:sz w:val="21"/>
                      <w:szCs w:val="21"/>
                      <w:highlight w:val="none"/>
                    </w:rPr>
                  </w:pPr>
                  <w:r>
                    <w:rPr>
                      <w:color w:val="auto"/>
                      <w:kern w:val="0"/>
                      <w:sz w:val="21"/>
                      <w:szCs w:val="21"/>
                      <w:highlight w:val="none"/>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93" w:type="pct"/>
                  <w:shd w:val="clear" w:color="auto" w:fill="auto"/>
                  <w:noWrap/>
                  <w:vAlign w:val="center"/>
                </w:tcPr>
                <w:p>
                  <w:pPr>
                    <w:widowControl/>
                    <w:spacing w:line="240" w:lineRule="auto"/>
                    <w:jc w:val="center"/>
                    <w:rPr>
                      <w:color w:val="auto"/>
                      <w:kern w:val="0"/>
                      <w:sz w:val="21"/>
                      <w:szCs w:val="21"/>
                      <w:highlight w:val="none"/>
                    </w:rPr>
                  </w:pPr>
                  <w:r>
                    <w:rPr>
                      <w:color w:val="auto"/>
                      <w:kern w:val="0"/>
                      <w:sz w:val="21"/>
                      <w:szCs w:val="21"/>
                      <w:highlight w:val="none"/>
                    </w:rPr>
                    <w:t>4</w:t>
                  </w:r>
                </w:p>
              </w:tc>
              <w:tc>
                <w:tcPr>
                  <w:tcW w:w="915" w:type="pct"/>
                  <w:shd w:val="clear" w:color="auto" w:fill="auto"/>
                  <w:noWrap/>
                  <w:vAlign w:val="center"/>
                </w:tcPr>
                <w:p>
                  <w:pPr>
                    <w:widowControl/>
                    <w:spacing w:line="240" w:lineRule="auto"/>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炸药</w:t>
                  </w:r>
                </w:p>
              </w:tc>
              <w:tc>
                <w:tcPr>
                  <w:tcW w:w="611" w:type="pct"/>
                  <w:shd w:val="clear" w:color="auto" w:fill="auto"/>
                  <w:noWrap/>
                  <w:vAlign w:val="center"/>
                </w:tcPr>
                <w:p>
                  <w:pPr>
                    <w:widowControl/>
                    <w:spacing w:line="240" w:lineRule="auto"/>
                    <w:jc w:val="center"/>
                    <w:rPr>
                      <w:rFonts w:hint="eastAsia"/>
                      <w:color w:val="auto"/>
                      <w:kern w:val="0"/>
                      <w:sz w:val="21"/>
                      <w:szCs w:val="21"/>
                      <w:highlight w:val="none"/>
                    </w:rPr>
                  </w:pPr>
                  <w:r>
                    <w:rPr>
                      <w:color w:val="auto"/>
                      <w:kern w:val="0"/>
                      <w:sz w:val="21"/>
                      <w:szCs w:val="21"/>
                      <w:highlight w:val="none"/>
                    </w:rPr>
                    <w:t>t</w:t>
                  </w:r>
                </w:p>
              </w:tc>
              <w:tc>
                <w:tcPr>
                  <w:tcW w:w="960" w:type="pct"/>
                  <w:shd w:val="clear" w:color="auto" w:fill="auto"/>
                  <w:noWrap/>
                  <w:vAlign w:val="center"/>
                </w:tcPr>
                <w:p>
                  <w:pPr>
                    <w:widowControl/>
                    <w:spacing w:line="240" w:lineRule="auto"/>
                    <w:jc w:val="center"/>
                    <w:rPr>
                      <w:color w:val="auto"/>
                      <w:kern w:val="0"/>
                      <w:sz w:val="21"/>
                      <w:szCs w:val="21"/>
                      <w:highlight w:val="none"/>
                    </w:rPr>
                  </w:pPr>
                  <w:r>
                    <w:rPr>
                      <w:color w:val="auto"/>
                      <w:kern w:val="0"/>
                      <w:sz w:val="21"/>
                      <w:szCs w:val="21"/>
                      <w:highlight w:val="none"/>
                    </w:rPr>
                    <w:t>13</w:t>
                  </w:r>
                </w:p>
              </w:tc>
              <w:tc>
                <w:tcPr>
                  <w:tcW w:w="960" w:type="pct"/>
                  <w:shd w:val="clear" w:color="auto" w:fill="auto"/>
                  <w:noWrap/>
                  <w:vAlign w:val="center"/>
                </w:tcPr>
                <w:p>
                  <w:pPr>
                    <w:widowControl/>
                    <w:spacing w:line="240" w:lineRule="auto"/>
                    <w:jc w:val="center"/>
                    <w:rPr>
                      <w:color w:val="auto"/>
                      <w:kern w:val="0"/>
                      <w:sz w:val="21"/>
                      <w:szCs w:val="21"/>
                      <w:highlight w:val="none"/>
                    </w:rPr>
                  </w:pPr>
                  <w:r>
                    <w:rPr>
                      <w:color w:val="auto"/>
                      <w:kern w:val="0"/>
                      <w:sz w:val="21"/>
                      <w:szCs w:val="21"/>
                      <w:highlight w:val="none"/>
                    </w:rPr>
                    <w:t>3</w:t>
                  </w:r>
                </w:p>
              </w:tc>
              <w:tc>
                <w:tcPr>
                  <w:tcW w:w="961" w:type="pct"/>
                  <w:shd w:val="clear" w:color="auto" w:fill="auto"/>
                  <w:noWrap/>
                  <w:vAlign w:val="center"/>
                </w:tcPr>
                <w:p>
                  <w:pPr>
                    <w:widowControl/>
                    <w:spacing w:line="240" w:lineRule="auto"/>
                    <w:jc w:val="center"/>
                    <w:rPr>
                      <w:color w:val="auto"/>
                      <w:kern w:val="0"/>
                      <w:sz w:val="21"/>
                      <w:szCs w:val="21"/>
                      <w:highlight w:val="none"/>
                    </w:rPr>
                  </w:pPr>
                  <w:r>
                    <w:rPr>
                      <w:color w:val="auto"/>
                      <w:kern w:val="0"/>
                      <w:sz w:val="21"/>
                      <w:szCs w:val="21"/>
                      <w:highlight w:val="none"/>
                    </w:rPr>
                    <w:t>10</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snapToGrid w:val="0"/>
                <w:color w:val="auto"/>
                <w:sz w:val="21"/>
                <w:szCs w:val="21"/>
                <w:highlight w:val="none"/>
                <w:lang w:val="en-US" w:eastAsia="zh-CN"/>
              </w:rPr>
            </w:pPr>
            <w:r>
              <w:rPr>
                <w:rFonts w:hint="default" w:ascii="Times New Roman" w:hAnsi="Times New Roman" w:eastAsia="宋体" w:cs="Times New Roman"/>
                <w:b/>
                <w:bCs/>
                <w:snapToGrid w:val="0"/>
                <w:color w:val="auto"/>
                <w:sz w:val="21"/>
                <w:szCs w:val="21"/>
                <w:highlight w:val="none"/>
                <w:lang w:val="en-US" w:eastAsia="zh-CN"/>
              </w:rPr>
              <w:t>2.</w:t>
            </w:r>
            <w:r>
              <w:rPr>
                <w:rFonts w:hint="default" w:ascii="Times New Roman" w:hAnsi="Times New Roman" w:cs="Times New Roman"/>
                <w:b/>
                <w:bCs/>
                <w:snapToGrid w:val="0"/>
                <w:color w:val="auto"/>
                <w:sz w:val="21"/>
                <w:szCs w:val="21"/>
                <w:highlight w:val="none"/>
                <w:lang w:val="en-US" w:eastAsia="zh-CN"/>
              </w:rPr>
              <w:t>7</w:t>
            </w:r>
            <w:r>
              <w:rPr>
                <w:rFonts w:hint="default" w:ascii="Times New Roman" w:hAnsi="Times New Roman" w:eastAsia="宋体" w:cs="Times New Roman"/>
                <w:b/>
                <w:bCs/>
                <w:snapToGrid w:val="0"/>
                <w:color w:val="auto"/>
                <w:sz w:val="21"/>
                <w:szCs w:val="21"/>
                <w:highlight w:val="none"/>
                <w:lang w:val="en-US" w:eastAsia="zh-CN"/>
              </w:rPr>
              <w:t>项目设备</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本项目所用设备主要为施工期施工设备，</w:t>
            </w:r>
            <w:r>
              <w:rPr>
                <w:rFonts w:hint="default" w:ascii="Times New Roman" w:hAnsi="Times New Roman" w:cs="Times New Roman"/>
                <w:color w:val="auto"/>
                <w:szCs w:val="24"/>
                <w:highlight w:val="none"/>
              </w:rPr>
              <w:t>施工主要机械设备见表</w:t>
            </w:r>
            <w:r>
              <w:rPr>
                <w:rFonts w:hint="default" w:ascii="Times New Roman" w:hAnsi="Times New Roman" w:cs="Times New Roman"/>
                <w:color w:val="auto"/>
                <w:szCs w:val="24"/>
                <w:highlight w:val="none"/>
                <w:lang w:val="en-US" w:eastAsia="zh-CN"/>
              </w:rPr>
              <w:t>2.7-1。</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b/>
                <w:bCs/>
                <w:snapToGrid w:val="0"/>
                <w:color w:val="auto"/>
                <w:sz w:val="21"/>
                <w:szCs w:val="21"/>
                <w:highlight w:val="none"/>
                <w:lang w:val="en-US" w:eastAsia="zh-CN"/>
              </w:rPr>
              <w:t>表2</w:t>
            </w:r>
            <w:r>
              <w:rPr>
                <w:rFonts w:hint="default" w:ascii="Times New Roman" w:hAnsi="Times New Roman" w:cs="Times New Roman"/>
                <w:b/>
                <w:bCs/>
                <w:snapToGrid w:val="0"/>
                <w:color w:val="auto"/>
                <w:sz w:val="21"/>
                <w:szCs w:val="21"/>
                <w:highlight w:val="none"/>
                <w:lang w:val="en-US" w:eastAsia="zh-CN"/>
              </w:rPr>
              <w:t>.7</w:t>
            </w:r>
            <w:r>
              <w:rPr>
                <w:rFonts w:hint="default" w:ascii="Times New Roman" w:hAnsi="Times New Roman" w:eastAsia="宋体" w:cs="Times New Roman"/>
                <w:b/>
                <w:bCs/>
                <w:snapToGrid w:val="0"/>
                <w:color w:val="auto"/>
                <w:sz w:val="21"/>
                <w:szCs w:val="21"/>
                <w:highlight w:val="none"/>
                <w:lang w:val="en-US" w:eastAsia="zh-CN"/>
              </w:rPr>
              <w:t>-</w:t>
            </w:r>
            <w:r>
              <w:rPr>
                <w:rFonts w:hint="default" w:ascii="Times New Roman" w:hAnsi="Times New Roman" w:cs="Times New Roman"/>
                <w:b/>
                <w:bCs/>
                <w:snapToGrid w:val="0"/>
                <w:color w:val="auto"/>
                <w:sz w:val="21"/>
                <w:szCs w:val="21"/>
                <w:highlight w:val="none"/>
                <w:lang w:val="en-US" w:eastAsia="zh-CN"/>
              </w:rPr>
              <w:t>1</w:t>
            </w:r>
            <w:r>
              <w:rPr>
                <w:rFonts w:hint="default" w:ascii="Times New Roman" w:hAnsi="Times New Roman" w:eastAsia="宋体" w:cs="Times New Roman"/>
                <w:b/>
                <w:bCs/>
                <w:snapToGrid w:val="0"/>
                <w:color w:val="auto"/>
                <w:sz w:val="21"/>
                <w:szCs w:val="21"/>
                <w:highlight w:val="none"/>
                <w:lang w:val="en-US" w:eastAsia="zh-CN"/>
              </w:rPr>
              <w:t xml:space="preserve"> 主要施工机械设备一览表</w:t>
            </w:r>
          </w:p>
          <w:tbl>
            <w:tblPr>
              <w:tblStyle w:val="29"/>
              <w:tblW w:w="5000" w:type="pct"/>
              <w:tblInd w:w="0" w:type="dxa"/>
              <w:tblLayout w:type="fixed"/>
              <w:tblCellMar>
                <w:top w:w="0" w:type="dxa"/>
                <w:left w:w="108" w:type="dxa"/>
                <w:bottom w:w="0" w:type="dxa"/>
                <w:right w:w="108" w:type="dxa"/>
              </w:tblCellMar>
            </w:tblPr>
            <w:tblGrid>
              <w:gridCol w:w="1020"/>
              <w:gridCol w:w="2128"/>
              <w:gridCol w:w="2128"/>
              <w:gridCol w:w="1021"/>
              <w:gridCol w:w="1021"/>
              <w:gridCol w:w="1021"/>
            </w:tblGrid>
            <w:tr>
              <w:tblPrEx>
                <w:tblCellMar>
                  <w:top w:w="0" w:type="dxa"/>
                  <w:left w:w="108" w:type="dxa"/>
                  <w:bottom w:w="0" w:type="dxa"/>
                  <w:right w:w="108" w:type="dxa"/>
                </w:tblCellMar>
              </w:tblPrEx>
              <w:trPr>
                <w:trHeight w:val="20" w:hRule="atLeast"/>
                <w:tblHeader/>
              </w:trPr>
              <w:tc>
                <w:tcPr>
                  <w:tcW w:w="612"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序号</w:t>
                  </w:r>
                </w:p>
              </w:tc>
              <w:tc>
                <w:tcPr>
                  <w:tcW w:w="1276" w:type="pct"/>
                  <w:tcBorders>
                    <w:top w:val="single" w:color="auto" w:sz="4" w:space="0"/>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设备名称</w:t>
                  </w:r>
                </w:p>
              </w:tc>
              <w:tc>
                <w:tcPr>
                  <w:tcW w:w="1276" w:type="pct"/>
                  <w:tcBorders>
                    <w:top w:val="single" w:color="auto" w:sz="4" w:space="0"/>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规格型号</w:t>
                  </w:r>
                </w:p>
              </w:tc>
              <w:tc>
                <w:tcPr>
                  <w:tcW w:w="612" w:type="pct"/>
                  <w:tcBorders>
                    <w:top w:val="single" w:color="auto" w:sz="4" w:space="0"/>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单位</w:t>
                  </w:r>
                </w:p>
              </w:tc>
              <w:tc>
                <w:tcPr>
                  <w:tcW w:w="612" w:type="pct"/>
                  <w:tcBorders>
                    <w:top w:val="single" w:color="auto" w:sz="4" w:space="0"/>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数量</w:t>
                  </w:r>
                </w:p>
              </w:tc>
              <w:tc>
                <w:tcPr>
                  <w:tcW w:w="612" w:type="pct"/>
                  <w:tcBorders>
                    <w:top w:val="single" w:color="auto" w:sz="4" w:space="0"/>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备注</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一</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土石方施工机械</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1</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液压反铲</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1m</w:t>
                  </w:r>
                  <w:r>
                    <w:rPr>
                      <w:color w:val="auto"/>
                      <w:kern w:val="0"/>
                      <w:sz w:val="21"/>
                      <w:szCs w:val="21"/>
                      <w:highlight w:val="none"/>
                      <w:vertAlign w:val="superscript"/>
                    </w:rPr>
                    <w:t>3</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台</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6</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2</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挖掘机</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0.5m</w:t>
                  </w:r>
                  <w:r>
                    <w:rPr>
                      <w:color w:val="auto"/>
                      <w:kern w:val="0"/>
                      <w:sz w:val="21"/>
                      <w:szCs w:val="21"/>
                      <w:highlight w:val="none"/>
                      <w:vertAlign w:val="superscript"/>
                    </w:rPr>
                    <w:t>3</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台</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6</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3</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推土机</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220HP</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辆</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8</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4</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装载机</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2</w:t>
                  </w:r>
                  <w:r>
                    <w:rPr>
                      <w:rFonts w:hint="eastAsia" w:ascii="宋体" w:hAnsi="宋体"/>
                      <w:color w:val="auto"/>
                      <w:kern w:val="0"/>
                      <w:sz w:val="21"/>
                      <w:szCs w:val="21"/>
                      <w:highlight w:val="none"/>
                    </w:rPr>
                    <w:t>～</w:t>
                  </w:r>
                  <w:r>
                    <w:rPr>
                      <w:color w:val="auto"/>
                      <w:kern w:val="0"/>
                      <w:sz w:val="21"/>
                      <w:szCs w:val="21"/>
                      <w:highlight w:val="none"/>
                    </w:rPr>
                    <w:t>3m</w:t>
                  </w:r>
                  <w:r>
                    <w:rPr>
                      <w:color w:val="auto"/>
                      <w:kern w:val="0"/>
                      <w:sz w:val="21"/>
                      <w:szCs w:val="21"/>
                      <w:highlight w:val="none"/>
                      <w:vertAlign w:val="superscript"/>
                    </w:rPr>
                    <w:t>3</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台</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3</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5</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振动碾</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12t</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台</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4</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6</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振动碾</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0.75t</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台</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2</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6</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蛙式夯机</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HW60</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台</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6</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7</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潜孔钻</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YQ-80</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台</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6</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8</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手风钻</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Y30</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台</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8</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9</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气腿钻</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YT28</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台</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6</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二</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混凝土施工机械</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1</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砼</w:t>
                  </w:r>
                  <w:r>
                    <w:rPr>
                      <w:rFonts w:hint="eastAsia" w:ascii="宋体" w:hAnsi="宋体" w:cs="宋体"/>
                      <w:color w:val="auto"/>
                      <w:kern w:val="0"/>
                      <w:sz w:val="21"/>
                      <w:szCs w:val="21"/>
                      <w:highlight w:val="none"/>
                      <w:lang w:eastAsia="zh-CN"/>
                    </w:rPr>
                    <w:t>拌和机</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0.75m</w:t>
                  </w:r>
                  <w:r>
                    <w:rPr>
                      <w:color w:val="auto"/>
                      <w:kern w:val="0"/>
                      <w:sz w:val="21"/>
                      <w:szCs w:val="21"/>
                      <w:highlight w:val="none"/>
                      <w:vertAlign w:val="superscript"/>
                    </w:rPr>
                    <w:t>3</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台</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4</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2</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砼</w:t>
                  </w:r>
                  <w:r>
                    <w:rPr>
                      <w:rFonts w:hint="eastAsia" w:ascii="宋体" w:hAnsi="宋体" w:cs="宋体"/>
                      <w:color w:val="auto"/>
                      <w:kern w:val="0"/>
                      <w:sz w:val="21"/>
                      <w:szCs w:val="21"/>
                      <w:highlight w:val="none"/>
                      <w:lang w:eastAsia="zh-CN"/>
                    </w:rPr>
                    <w:t>拌和机</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0.4m</w:t>
                  </w:r>
                  <w:r>
                    <w:rPr>
                      <w:color w:val="auto"/>
                      <w:kern w:val="0"/>
                      <w:sz w:val="21"/>
                      <w:szCs w:val="21"/>
                      <w:highlight w:val="none"/>
                      <w:vertAlign w:val="superscript"/>
                    </w:rPr>
                    <w:t>3</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台</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6</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3</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砂浆搅拌机</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JD250</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台</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6</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4</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灌浆泵</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BW-250/50</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台</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4</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5</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插入式振捣器</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ZP50</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台</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10</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6</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平板振捣器</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ZF20</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台</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4</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7</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砼罐车</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3m</w:t>
                  </w:r>
                  <w:r>
                    <w:rPr>
                      <w:color w:val="auto"/>
                      <w:kern w:val="0"/>
                      <w:sz w:val="21"/>
                      <w:szCs w:val="21"/>
                      <w:highlight w:val="none"/>
                      <w:vertAlign w:val="superscript"/>
                    </w:rPr>
                    <w:t>3</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辆</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2</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8</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砼吊罐</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3m</w:t>
                  </w:r>
                  <w:r>
                    <w:rPr>
                      <w:color w:val="auto"/>
                      <w:kern w:val="0"/>
                      <w:sz w:val="21"/>
                      <w:szCs w:val="21"/>
                      <w:highlight w:val="none"/>
                      <w:vertAlign w:val="superscript"/>
                    </w:rPr>
                    <w:t>3</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个</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2</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9</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砼喷射机</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QPJ</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台</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3</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10</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混凝土泵</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HB-30</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台</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3</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三</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起重运输设备</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1</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自卸汽车</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5t</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辆</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16</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2</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自卸汽车</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10t</w:t>
                  </w:r>
                  <w:r>
                    <w:rPr>
                      <w:rFonts w:hint="eastAsia" w:ascii="宋体" w:hAnsi="宋体"/>
                      <w:color w:val="auto"/>
                      <w:kern w:val="0"/>
                      <w:sz w:val="21"/>
                      <w:szCs w:val="21"/>
                      <w:highlight w:val="none"/>
                    </w:rPr>
                    <w:t>～</w:t>
                  </w:r>
                  <w:r>
                    <w:rPr>
                      <w:color w:val="auto"/>
                      <w:kern w:val="0"/>
                      <w:sz w:val="21"/>
                      <w:szCs w:val="21"/>
                      <w:highlight w:val="none"/>
                    </w:rPr>
                    <w:t>15t</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辆</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10</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3</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载重汽车</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10t</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辆</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1</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4</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洒水车</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　</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辆</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2</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color w:val="auto"/>
                      <w:kern w:val="0"/>
                      <w:sz w:val="21"/>
                      <w:szCs w:val="21"/>
                      <w:highlight w:val="none"/>
                    </w:rPr>
                  </w:pPr>
                  <w:r>
                    <w:rPr>
                      <w:color w:val="auto"/>
                      <w:kern w:val="0"/>
                      <w:sz w:val="21"/>
                      <w:szCs w:val="21"/>
                      <w:highlight w:val="none"/>
                    </w:rPr>
                    <w:t>5</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汽车吊</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10t</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辆</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1</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6</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胶轮车</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0.2m</w:t>
                  </w:r>
                  <w:r>
                    <w:rPr>
                      <w:color w:val="auto"/>
                      <w:kern w:val="0"/>
                      <w:sz w:val="21"/>
                      <w:szCs w:val="21"/>
                      <w:highlight w:val="none"/>
                      <w:vertAlign w:val="superscript"/>
                    </w:rPr>
                    <w:t>3</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辆</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20</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7</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油罐车</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4t</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辆</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2</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8</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井架卷扬机</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台</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3</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四</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施工动力机械</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1</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空压机</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4L-20/8</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台</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6</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2</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空压机</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YV-6/7</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台</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8</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3</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空压机</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DVY-12/7</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台</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4</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color w:val="auto"/>
                      <w:kern w:val="0"/>
                      <w:sz w:val="21"/>
                      <w:szCs w:val="21"/>
                      <w:highlight w:val="none"/>
                    </w:rPr>
                  </w:pPr>
                  <w:r>
                    <w:rPr>
                      <w:color w:val="auto"/>
                      <w:kern w:val="0"/>
                      <w:sz w:val="21"/>
                      <w:szCs w:val="21"/>
                      <w:highlight w:val="none"/>
                    </w:rPr>
                    <w:t>4</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变压器</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S7-300/10</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台</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3</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5</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变压器</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S7-200/10</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台</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1</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6</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变压器</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S7-100/10</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台</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3</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五</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修理加工设备</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1</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修钎机</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421-90</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台</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2</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2</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断筋机</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GQ40</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台</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2</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3</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弯筋机</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GW40</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台</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2</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4</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调直机</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台</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2</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5</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对焊机</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台</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2</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6</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点焊机</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台</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2</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7</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圆盘锯</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台</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1</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8</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普通车床</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台</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1</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9</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钻床</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台</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1</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六</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eastAsia="zh-CN"/>
                    </w:rPr>
                    <w:t>其他机械</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1</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抽水泵</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IS80-50-250B</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台</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3</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2</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抽水泵</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IS80-65-160A</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台</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1</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color w:val="auto"/>
                      <w:kern w:val="0"/>
                      <w:sz w:val="21"/>
                      <w:szCs w:val="21"/>
                      <w:highlight w:val="none"/>
                    </w:rPr>
                  </w:pPr>
                  <w:r>
                    <w:rPr>
                      <w:color w:val="auto"/>
                      <w:kern w:val="0"/>
                      <w:sz w:val="21"/>
                      <w:szCs w:val="21"/>
                      <w:highlight w:val="none"/>
                    </w:rPr>
                    <w:t>3</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离心泵</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2.2~3kW</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台</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8</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4</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离心泵</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0.75kW</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台</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4</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612" w:type="pct"/>
                  <w:tcBorders>
                    <w:top w:val="nil"/>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4</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通风机</w:t>
                  </w:r>
                </w:p>
              </w:tc>
              <w:tc>
                <w:tcPr>
                  <w:tcW w:w="1276"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台</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hint="eastAsia"/>
                      <w:color w:val="auto"/>
                      <w:kern w:val="0"/>
                      <w:sz w:val="21"/>
                      <w:szCs w:val="21"/>
                      <w:highlight w:val="none"/>
                    </w:rPr>
                  </w:pPr>
                  <w:r>
                    <w:rPr>
                      <w:color w:val="auto"/>
                      <w:kern w:val="0"/>
                      <w:sz w:val="21"/>
                      <w:szCs w:val="21"/>
                      <w:highlight w:val="none"/>
                    </w:rPr>
                    <w:t>2</w:t>
                  </w:r>
                </w:p>
              </w:tc>
              <w:tc>
                <w:tcPr>
                  <w:tcW w:w="612" w:type="pct"/>
                  <w:tcBorders>
                    <w:top w:val="nil"/>
                    <w:left w:val="nil"/>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　</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snapToGrid w:val="0"/>
                <w:color w:val="auto"/>
                <w:sz w:val="21"/>
                <w:szCs w:val="21"/>
                <w:highlight w:val="none"/>
                <w:lang w:val="en-US" w:eastAsia="zh-CN"/>
              </w:rPr>
            </w:pPr>
            <w:r>
              <w:rPr>
                <w:rFonts w:hint="default" w:ascii="Times New Roman" w:hAnsi="Times New Roman" w:eastAsia="宋体" w:cs="Times New Roman"/>
                <w:b/>
                <w:bCs/>
                <w:snapToGrid w:val="0"/>
                <w:color w:val="auto"/>
                <w:sz w:val="21"/>
                <w:szCs w:val="21"/>
                <w:highlight w:val="none"/>
                <w:lang w:val="en-US" w:eastAsia="zh-CN"/>
              </w:rPr>
              <w:t>2.</w:t>
            </w:r>
            <w:r>
              <w:rPr>
                <w:rFonts w:hint="default" w:ascii="Times New Roman" w:hAnsi="Times New Roman" w:cs="Times New Roman"/>
                <w:b/>
                <w:bCs/>
                <w:snapToGrid w:val="0"/>
                <w:color w:val="auto"/>
                <w:sz w:val="21"/>
                <w:szCs w:val="21"/>
                <w:highlight w:val="none"/>
                <w:lang w:val="en-US" w:eastAsia="zh-CN"/>
              </w:rPr>
              <w:t>8</w:t>
            </w:r>
            <w:r>
              <w:rPr>
                <w:rFonts w:hint="default" w:ascii="Times New Roman" w:hAnsi="Times New Roman" w:eastAsia="宋体" w:cs="Times New Roman"/>
                <w:b/>
                <w:bCs/>
                <w:snapToGrid w:val="0"/>
                <w:color w:val="auto"/>
                <w:sz w:val="21"/>
                <w:szCs w:val="21"/>
                <w:highlight w:val="none"/>
                <w:lang w:val="en-US" w:eastAsia="zh-CN"/>
              </w:rPr>
              <w:t>主要技术经济指标</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本项目主要技术经济指标见表2</w:t>
            </w:r>
            <w:r>
              <w:rPr>
                <w:rFonts w:hint="eastAsia" w:cs="Times New Roman"/>
                <w:snapToGrid w:val="0"/>
                <w:color w:val="auto"/>
                <w:sz w:val="21"/>
                <w:szCs w:val="21"/>
                <w:highlight w:val="none"/>
                <w:lang w:val="en-US" w:eastAsia="zh-CN"/>
              </w:rPr>
              <w:t>.8-1</w:t>
            </w:r>
            <w:r>
              <w:rPr>
                <w:rFonts w:hint="default" w:ascii="Times New Roman" w:hAnsi="Times New Roman" w:eastAsia="宋体" w:cs="Times New Roman"/>
                <w:snapToGrid w:val="0"/>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b/>
                <w:bCs/>
                <w:snapToGrid w:val="0"/>
                <w:color w:val="auto"/>
                <w:sz w:val="21"/>
                <w:szCs w:val="21"/>
                <w:highlight w:val="none"/>
                <w:lang w:val="en-US" w:eastAsia="zh-CN"/>
              </w:rPr>
              <w:t>表2.8-1 主要技术经济指标一览表</w:t>
            </w:r>
          </w:p>
          <w:tbl>
            <w:tblPr>
              <w:tblStyle w:val="29"/>
              <w:tblW w:w="5000" w:type="pct"/>
              <w:tblInd w:w="0" w:type="dxa"/>
              <w:tblLayout w:type="fixed"/>
              <w:tblCellMar>
                <w:top w:w="0" w:type="dxa"/>
                <w:left w:w="108" w:type="dxa"/>
                <w:bottom w:w="0" w:type="dxa"/>
                <w:right w:w="108" w:type="dxa"/>
              </w:tblCellMar>
            </w:tblPr>
            <w:tblGrid>
              <w:gridCol w:w="625"/>
              <w:gridCol w:w="3262"/>
              <w:gridCol w:w="781"/>
              <w:gridCol w:w="1081"/>
              <w:gridCol w:w="1386"/>
              <w:gridCol w:w="1204"/>
            </w:tblGrid>
            <w:tr>
              <w:tblPrEx>
                <w:tblCellMar>
                  <w:top w:w="0" w:type="dxa"/>
                  <w:left w:w="108" w:type="dxa"/>
                  <w:bottom w:w="0" w:type="dxa"/>
                  <w:right w:w="108" w:type="dxa"/>
                </w:tblCellMar>
              </w:tblPrEx>
              <w:trPr>
                <w:trHeight w:val="270" w:hRule="atLeast"/>
                <w:tblHeader/>
              </w:trPr>
              <w:tc>
                <w:tcPr>
                  <w:tcW w:w="375" w:type="pct"/>
                  <w:tcBorders>
                    <w:top w:val="single" w:color="auto" w:sz="4" w:space="0"/>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序号</w:t>
                  </w:r>
                </w:p>
              </w:tc>
              <w:tc>
                <w:tcPr>
                  <w:tcW w:w="1956" w:type="pct"/>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名</w:t>
                  </w:r>
                  <w:r>
                    <w:rPr>
                      <w:color w:val="auto"/>
                      <w:kern w:val="0"/>
                      <w:sz w:val="21"/>
                      <w:szCs w:val="21"/>
                      <w:highlight w:val="none"/>
                    </w:rPr>
                    <w:t xml:space="preserve">    </w:t>
                  </w:r>
                  <w:r>
                    <w:rPr>
                      <w:rFonts w:hint="eastAsia" w:ascii="宋体" w:hAnsi="宋体"/>
                      <w:color w:val="auto"/>
                      <w:kern w:val="0"/>
                      <w:sz w:val="21"/>
                      <w:szCs w:val="21"/>
                      <w:highlight w:val="none"/>
                    </w:rPr>
                    <w:t>称</w:t>
                  </w:r>
                </w:p>
              </w:tc>
              <w:tc>
                <w:tcPr>
                  <w:tcW w:w="468" w:type="pct"/>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单位</w:t>
                  </w:r>
                </w:p>
              </w:tc>
              <w:tc>
                <w:tcPr>
                  <w:tcW w:w="648" w:type="pct"/>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数量</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备</w:t>
                  </w:r>
                  <w:r>
                    <w:rPr>
                      <w:color w:val="auto"/>
                      <w:kern w:val="0"/>
                      <w:sz w:val="21"/>
                      <w:szCs w:val="21"/>
                      <w:highlight w:val="none"/>
                    </w:rPr>
                    <w:t xml:space="preserve">   </w:t>
                  </w:r>
                  <w:r>
                    <w:rPr>
                      <w:rFonts w:hint="eastAsia" w:ascii="宋体" w:hAnsi="宋体"/>
                      <w:color w:val="auto"/>
                      <w:kern w:val="0"/>
                      <w:sz w:val="21"/>
                      <w:szCs w:val="21"/>
                      <w:highlight w:val="none"/>
                    </w:rPr>
                    <w:t>注</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一</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水文</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1</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流域面积</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32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右支沟</w:t>
                  </w:r>
                  <w:r>
                    <w:rPr>
                      <w:color w:val="auto"/>
                      <w:kern w:val="0"/>
                      <w:sz w:val="21"/>
                      <w:szCs w:val="21"/>
                      <w:highlight w:val="none"/>
                    </w:rPr>
                    <w:t xml:space="preserve"> </w:t>
                  </w:r>
                  <w:r>
                    <w:rPr>
                      <w:rFonts w:hint="eastAsia" w:ascii="宋体" w:hAnsi="宋体"/>
                      <w:color w:val="auto"/>
                      <w:kern w:val="0"/>
                      <w:sz w:val="21"/>
                      <w:szCs w:val="21"/>
                      <w:highlight w:val="none"/>
                    </w:rPr>
                    <w:t>水库坝址以上</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km</w:t>
                  </w:r>
                  <w:r>
                    <w:rPr>
                      <w:color w:val="auto"/>
                      <w:kern w:val="0"/>
                      <w:sz w:val="21"/>
                      <w:szCs w:val="21"/>
                      <w:highlight w:val="none"/>
                      <w:vertAlign w:val="superscript"/>
                    </w:rPr>
                    <w:t>2</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1.57</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32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主沟</w:t>
                  </w:r>
                  <w:r>
                    <w:rPr>
                      <w:color w:val="auto"/>
                      <w:kern w:val="0"/>
                      <w:sz w:val="21"/>
                      <w:szCs w:val="21"/>
                      <w:highlight w:val="none"/>
                    </w:rPr>
                    <w:t xml:space="preserve"> </w:t>
                  </w:r>
                  <w:r>
                    <w:rPr>
                      <w:rFonts w:hint="eastAsia" w:ascii="宋体" w:hAnsi="宋体"/>
                      <w:color w:val="auto"/>
                      <w:kern w:val="0"/>
                      <w:sz w:val="21"/>
                      <w:szCs w:val="21"/>
                      <w:highlight w:val="none"/>
                    </w:rPr>
                    <w:t>补水坝址以上</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km</w:t>
                  </w:r>
                  <w:r>
                    <w:rPr>
                      <w:color w:val="auto"/>
                      <w:kern w:val="0"/>
                      <w:sz w:val="21"/>
                      <w:szCs w:val="21"/>
                      <w:highlight w:val="none"/>
                      <w:vertAlign w:val="superscript"/>
                    </w:rPr>
                    <w:t>2</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5.78</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堰沟正源</w:t>
                  </w:r>
                </w:p>
              </w:tc>
            </w:tr>
            <w:tr>
              <w:tblPrEx>
                <w:tblCellMar>
                  <w:top w:w="0" w:type="dxa"/>
                  <w:left w:w="108" w:type="dxa"/>
                  <w:bottom w:w="0" w:type="dxa"/>
                  <w:right w:w="108" w:type="dxa"/>
                </w:tblCellMar>
              </w:tblPrEx>
              <w:trPr>
                <w:trHeight w:val="32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2</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利用的水文系列年限</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年</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43</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永红站</w:t>
                  </w:r>
                  <w:r>
                    <w:rPr>
                      <w:color w:val="auto"/>
                      <w:kern w:val="0"/>
                      <w:sz w:val="21"/>
                      <w:szCs w:val="21"/>
                      <w:highlight w:val="none"/>
                    </w:rPr>
                    <w:t>1971</w:t>
                  </w:r>
                  <w:r>
                    <w:rPr>
                      <w:rFonts w:hint="eastAsia" w:ascii="宋体" w:hAnsi="宋体"/>
                      <w:color w:val="auto"/>
                      <w:kern w:val="0"/>
                      <w:sz w:val="21"/>
                      <w:szCs w:val="21"/>
                      <w:highlight w:val="none"/>
                    </w:rPr>
                    <w:t>～</w:t>
                  </w:r>
                  <w:r>
                    <w:rPr>
                      <w:color w:val="auto"/>
                      <w:kern w:val="0"/>
                      <w:sz w:val="21"/>
                      <w:szCs w:val="21"/>
                      <w:highlight w:val="none"/>
                    </w:rPr>
                    <w:t>2013</w:t>
                  </w:r>
                  <w:r>
                    <w:rPr>
                      <w:rFonts w:hint="eastAsia" w:ascii="宋体" w:hAnsi="宋体"/>
                      <w:color w:val="auto"/>
                      <w:kern w:val="0"/>
                      <w:sz w:val="21"/>
                      <w:szCs w:val="21"/>
                      <w:highlight w:val="none"/>
                    </w:rPr>
                    <w:t>年</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3</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代表性流量</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32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水库坝址多年平均流量</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r>
                    <w:rPr>
                      <w:color w:val="auto"/>
                      <w:kern w:val="0"/>
                      <w:sz w:val="21"/>
                      <w:szCs w:val="21"/>
                      <w:highlight w:val="none"/>
                    </w:rPr>
                    <w:t>/s</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0.028</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径流深</w:t>
                  </w:r>
                  <w:r>
                    <w:rPr>
                      <w:color w:val="auto"/>
                      <w:kern w:val="0"/>
                      <w:sz w:val="21"/>
                      <w:szCs w:val="21"/>
                      <w:highlight w:val="none"/>
                    </w:rPr>
                    <w:t>565mm</w:t>
                  </w:r>
                </w:p>
              </w:tc>
            </w:tr>
            <w:tr>
              <w:tblPrEx>
                <w:tblCellMar>
                  <w:top w:w="0" w:type="dxa"/>
                  <w:left w:w="108" w:type="dxa"/>
                  <w:bottom w:w="0" w:type="dxa"/>
                  <w:right w:w="108" w:type="dxa"/>
                </w:tblCellMar>
              </w:tblPrEx>
              <w:trPr>
                <w:trHeight w:val="32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水库坝址多年平均年径流量</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万</w:t>
                  </w:r>
                  <w:r>
                    <w:rPr>
                      <w:color w:val="auto"/>
                      <w:kern w:val="0"/>
                      <w:sz w:val="21"/>
                      <w:szCs w:val="21"/>
                      <w:highlight w:val="none"/>
                    </w:rPr>
                    <w:t>m</w:t>
                  </w:r>
                  <w:r>
                    <w:rPr>
                      <w:color w:val="auto"/>
                      <w:kern w:val="0"/>
                      <w:sz w:val="21"/>
                      <w:szCs w:val="21"/>
                      <w:highlight w:val="none"/>
                      <w:vertAlign w:val="superscript"/>
                    </w:rPr>
                    <w:t>3</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89.4</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水利年</w:t>
                  </w:r>
                </w:p>
              </w:tc>
            </w:tr>
            <w:tr>
              <w:tblPrEx>
                <w:tblCellMar>
                  <w:top w:w="0" w:type="dxa"/>
                  <w:left w:w="108" w:type="dxa"/>
                  <w:bottom w:w="0" w:type="dxa"/>
                  <w:right w:w="108" w:type="dxa"/>
                </w:tblCellMar>
              </w:tblPrEx>
              <w:trPr>
                <w:trHeight w:val="32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水库坝址校核洪峰流量（</w:t>
                  </w:r>
                  <w:r>
                    <w:rPr>
                      <w:color w:val="auto"/>
                      <w:kern w:val="0"/>
                      <w:sz w:val="21"/>
                      <w:szCs w:val="21"/>
                      <w:highlight w:val="none"/>
                    </w:rPr>
                    <w:t>P=0.5%</w:t>
                  </w:r>
                  <w:r>
                    <w:rPr>
                      <w:rFonts w:hint="eastAsia" w:ascii="宋体" w:hAnsi="宋体"/>
                      <w:color w:val="auto"/>
                      <w:kern w:val="0"/>
                      <w:sz w:val="21"/>
                      <w:szCs w:val="21"/>
                      <w:highlight w:val="none"/>
                    </w:rPr>
                    <w:t>）</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r>
                    <w:rPr>
                      <w:color w:val="auto"/>
                      <w:kern w:val="0"/>
                      <w:sz w:val="21"/>
                      <w:szCs w:val="21"/>
                      <w:highlight w:val="none"/>
                    </w:rPr>
                    <w:t>/s</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xml:space="preserve">37.2 </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叠加最大充水流量</w:t>
                  </w:r>
                  <w:r>
                    <w:rPr>
                      <w:color w:val="auto"/>
                      <w:kern w:val="0"/>
                      <w:sz w:val="21"/>
                      <w:szCs w:val="21"/>
                      <w:highlight w:val="none"/>
                    </w:rPr>
                    <w:t>4m</w:t>
                  </w:r>
                  <w:r>
                    <w:rPr>
                      <w:color w:val="auto"/>
                      <w:kern w:val="0"/>
                      <w:sz w:val="21"/>
                      <w:szCs w:val="21"/>
                      <w:highlight w:val="none"/>
                      <w:vertAlign w:val="superscript"/>
                    </w:rPr>
                    <w:t>3</w:t>
                  </w:r>
                  <w:r>
                    <w:rPr>
                      <w:color w:val="auto"/>
                      <w:kern w:val="0"/>
                      <w:sz w:val="21"/>
                      <w:szCs w:val="21"/>
                      <w:highlight w:val="none"/>
                    </w:rPr>
                    <w:t>/s</w:t>
                  </w:r>
                </w:p>
              </w:tc>
            </w:tr>
            <w:tr>
              <w:tblPrEx>
                <w:tblCellMar>
                  <w:top w:w="0" w:type="dxa"/>
                  <w:left w:w="108" w:type="dxa"/>
                  <w:bottom w:w="0" w:type="dxa"/>
                  <w:right w:w="108" w:type="dxa"/>
                </w:tblCellMar>
              </w:tblPrEx>
              <w:trPr>
                <w:trHeight w:val="32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水库坝址设计洪峰流量（</w:t>
                  </w:r>
                  <w:r>
                    <w:rPr>
                      <w:color w:val="auto"/>
                      <w:kern w:val="0"/>
                      <w:sz w:val="21"/>
                      <w:szCs w:val="21"/>
                      <w:highlight w:val="none"/>
                    </w:rPr>
                    <w:t>P=3.33%</w:t>
                  </w:r>
                  <w:r>
                    <w:rPr>
                      <w:rFonts w:hint="eastAsia" w:ascii="宋体" w:hAnsi="宋体"/>
                      <w:color w:val="auto"/>
                      <w:kern w:val="0"/>
                      <w:sz w:val="21"/>
                      <w:szCs w:val="21"/>
                      <w:highlight w:val="none"/>
                    </w:rPr>
                    <w:t>）</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r>
                    <w:rPr>
                      <w:color w:val="auto"/>
                      <w:kern w:val="0"/>
                      <w:sz w:val="21"/>
                      <w:szCs w:val="21"/>
                      <w:highlight w:val="none"/>
                    </w:rPr>
                    <w:t>/s</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xml:space="preserve">27.0 </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叠加最大充水流量</w:t>
                  </w:r>
                  <w:r>
                    <w:rPr>
                      <w:color w:val="auto"/>
                      <w:kern w:val="0"/>
                      <w:sz w:val="21"/>
                      <w:szCs w:val="21"/>
                      <w:highlight w:val="none"/>
                    </w:rPr>
                    <w:t>4m</w:t>
                  </w:r>
                  <w:r>
                    <w:rPr>
                      <w:color w:val="auto"/>
                      <w:kern w:val="0"/>
                      <w:sz w:val="21"/>
                      <w:szCs w:val="21"/>
                      <w:highlight w:val="none"/>
                      <w:vertAlign w:val="superscript"/>
                    </w:rPr>
                    <w:t>3</w:t>
                  </w:r>
                  <w:r>
                    <w:rPr>
                      <w:color w:val="auto"/>
                      <w:kern w:val="0"/>
                      <w:sz w:val="21"/>
                      <w:szCs w:val="21"/>
                      <w:highlight w:val="none"/>
                    </w:rPr>
                    <w:t>/s</w:t>
                  </w:r>
                </w:p>
              </w:tc>
            </w:tr>
            <w:tr>
              <w:tblPrEx>
                <w:tblCellMar>
                  <w:top w:w="0" w:type="dxa"/>
                  <w:left w:w="108" w:type="dxa"/>
                  <w:bottom w:w="0" w:type="dxa"/>
                  <w:right w:w="108" w:type="dxa"/>
                </w:tblCellMar>
              </w:tblPrEx>
              <w:trPr>
                <w:trHeight w:val="32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水库坝址消能洪峰流量（</w:t>
                  </w:r>
                  <w:r>
                    <w:rPr>
                      <w:color w:val="auto"/>
                      <w:kern w:val="0"/>
                      <w:sz w:val="21"/>
                      <w:szCs w:val="21"/>
                      <w:highlight w:val="none"/>
                    </w:rPr>
                    <w:t>P=5%</w:t>
                  </w:r>
                  <w:r>
                    <w:rPr>
                      <w:rFonts w:hint="eastAsia" w:ascii="宋体" w:hAnsi="宋体"/>
                      <w:color w:val="auto"/>
                      <w:kern w:val="0"/>
                      <w:sz w:val="21"/>
                      <w:szCs w:val="21"/>
                      <w:highlight w:val="none"/>
                    </w:rPr>
                    <w:t>）</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r>
                    <w:rPr>
                      <w:color w:val="auto"/>
                      <w:kern w:val="0"/>
                      <w:sz w:val="21"/>
                      <w:szCs w:val="21"/>
                      <w:highlight w:val="none"/>
                    </w:rPr>
                    <w:t>/s</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24.8</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叠加最大充水流量</w:t>
                  </w:r>
                  <w:r>
                    <w:rPr>
                      <w:color w:val="auto"/>
                      <w:kern w:val="0"/>
                      <w:sz w:val="21"/>
                      <w:szCs w:val="21"/>
                      <w:highlight w:val="none"/>
                    </w:rPr>
                    <w:t>4m</w:t>
                  </w:r>
                  <w:r>
                    <w:rPr>
                      <w:color w:val="auto"/>
                      <w:kern w:val="0"/>
                      <w:sz w:val="21"/>
                      <w:szCs w:val="21"/>
                      <w:highlight w:val="none"/>
                      <w:vertAlign w:val="superscript"/>
                    </w:rPr>
                    <w:t>3</w:t>
                  </w:r>
                  <w:r>
                    <w:rPr>
                      <w:color w:val="auto"/>
                      <w:kern w:val="0"/>
                      <w:sz w:val="21"/>
                      <w:szCs w:val="21"/>
                      <w:highlight w:val="none"/>
                    </w:rPr>
                    <w:t>/s</w:t>
                  </w:r>
                </w:p>
              </w:tc>
            </w:tr>
            <w:tr>
              <w:tblPrEx>
                <w:tblCellMar>
                  <w:top w:w="0" w:type="dxa"/>
                  <w:left w:w="108" w:type="dxa"/>
                  <w:bottom w:w="0" w:type="dxa"/>
                  <w:right w:w="108" w:type="dxa"/>
                </w:tblCellMar>
              </w:tblPrEx>
              <w:trPr>
                <w:trHeight w:val="32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补水坝址多年平均流量</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r>
                    <w:rPr>
                      <w:color w:val="auto"/>
                      <w:kern w:val="0"/>
                      <w:sz w:val="21"/>
                      <w:szCs w:val="21"/>
                      <w:highlight w:val="none"/>
                    </w:rPr>
                    <w:t>/s</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0.104</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32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补水坝址多年平均径流总量</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万</w:t>
                  </w:r>
                  <w:r>
                    <w:rPr>
                      <w:color w:val="auto"/>
                      <w:kern w:val="0"/>
                      <w:sz w:val="21"/>
                      <w:szCs w:val="21"/>
                      <w:highlight w:val="none"/>
                    </w:rPr>
                    <w:t>m</w:t>
                  </w:r>
                  <w:r>
                    <w:rPr>
                      <w:color w:val="auto"/>
                      <w:kern w:val="0"/>
                      <w:sz w:val="21"/>
                      <w:szCs w:val="21"/>
                      <w:highlight w:val="none"/>
                      <w:vertAlign w:val="superscript"/>
                    </w:rPr>
                    <w:t>3</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329.1</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水利年</w:t>
                  </w:r>
                </w:p>
              </w:tc>
            </w:tr>
            <w:tr>
              <w:tblPrEx>
                <w:tblCellMar>
                  <w:top w:w="0" w:type="dxa"/>
                  <w:left w:w="108" w:type="dxa"/>
                  <w:bottom w:w="0" w:type="dxa"/>
                  <w:right w:w="108" w:type="dxa"/>
                </w:tblCellMar>
              </w:tblPrEx>
              <w:trPr>
                <w:trHeight w:val="32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补水坝址校核洪峰流量（</w:t>
                  </w:r>
                  <w:r>
                    <w:rPr>
                      <w:color w:val="auto"/>
                      <w:kern w:val="0"/>
                      <w:sz w:val="21"/>
                      <w:szCs w:val="21"/>
                      <w:highlight w:val="none"/>
                    </w:rPr>
                    <w:t>P=2%</w:t>
                  </w:r>
                  <w:r>
                    <w:rPr>
                      <w:rFonts w:hint="eastAsia" w:ascii="宋体" w:hAnsi="宋体"/>
                      <w:color w:val="auto"/>
                      <w:kern w:val="0"/>
                      <w:sz w:val="21"/>
                      <w:szCs w:val="21"/>
                      <w:highlight w:val="none"/>
                    </w:rPr>
                    <w:t>）</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r>
                    <w:rPr>
                      <w:color w:val="auto"/>
                      <w:kern w:val="0"/>
                      <w:sz w:val="21"/>
                      <w:szCs w:val="21"/>
                      <w:highlight w:val="none"/>
                    </w:rPr>
                    <w:t>/s</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126</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32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补水坝址设计洪峰流量（</w:t>
                  </w:r>
                  <w:r>
                    <w:rPr>
                      <w:color w:val="auto"/>
                      <w:kern w:val="0"/>
                      <w:sz w:val="21"/>
                      <w:szCs w:val="21"/>
                      <w:highlight w:val="none"/>
                    </w:rPr>
                    <w:t>P=10%</w:t>
                  </w:r>
                  <w:r>
                    <w:rPr>
                      <w:rFonts w:hint="eastAsia" w:ascii="宋体" w:hAnsi="宋体"/>
                      <w:color w:val="auto"/>
                      <w:kern w:val="0"/>
                      <w:sz w:val="21"/>
                      <w:szCs w:val="21"/>
                      <w:highlight w:val="none"/>
                    </w:rPr>
                    <w:t>）</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r>
                    <w:rPr>
                      <w:color w:val="auto"/>
                      <w:kern w:val="0"/>
                      <w:sz w:val="21"/>
                      <w:szCs w:val="21"/>
                      <w:highlight w:val="none"/>
                    </w:rPr>
                    <w:t>/s</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86.9</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4</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洪量</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32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水库坝址校核洪水总量（</w:t>
                  </w:r>
                  <w:r>
                    <w:rPr>
                      <w:color w:val="auto"/>
                      <w:kern w:val="0"/>
                      <w:sz w:val="21"/>
                      <w:szCs w:val="21"/>
                      <w:highlight w:val="none"/>
                    </w:rPr>
                    <w:t>P=0.5%</w:t>
                  </w:r>
                  <w:r>
                    <w:rPr>
                      <w:rFonts w:hint="eastAsia" w:ascii="宋体" w:hAnsi="宋体"/>
                      <w:color w:val="auto"/>
                      <w:kern w:val="0"/>
                      <w:sz w:val="21"/>
                      <w:szCs w:val="21"/>
                      <w:highlight w:val="none"/>
                    </w:rPr>
                    <w:t>）</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万</w:t>
                  </w:r>
                  <w:r>
                    <w:rPr>
                      <w:color w:val="auto"/>
                      <w:kern w:val="0"/>
                      <w:sz w:val="21"/>
                      <w:szCs w:val="21"/>
                      <w:highlight w:val="none"/>
                    </w:rPr>
                    <w:t>m</w:t>
                  </w:r>
                  <w:r>
                    <w:rPr>
                      <w:color w:val="auto"/>
                      <w:kern w:val="0"/>
                      <w:sz w:val="21"/>
                      <w:szCs w:val="21"/>
                      <w:highlight w:val="none"/>
                      <w:vertAlign w:val="superscript"/>
                    </w:rPr>
                    <w:t>3</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69.3</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32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水库坝址设计洪水总量（</w:t>
                  </w:r>
                  <w:r>
                    <w:rPr>
                      <w:color w:val="auto"/>
                      <w:kern w:val="0"/>
                      <w:sz w:val="21"/>
                      <w:szCs w:val="21"/>
                      <w:highlight w:val="none"/>
                    </w:rPr>
                    <w:t>P=3.33%</w:t>
                  </w:r>
                  <w:r>
                    <w:rPr>
                      <w:rFonts w:hint="eastAsia" w:ascii="宋体" w:hAnsi="宋体"/>
                      <w:color w:val="auto"/>
                      <w:kern w:val="0"/>
                      <w:sz w:val="21"/>
                      <w:szCs w:val="21"/>
                      <w:highlight w:val="none"/>
                    </w:rPr>
                    <w:t>）</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万</w:t>
                  </w:r>
                  <w:r>
                    <w:rPr>
                      <w:color w:val="auto"/>
                      <w:kern w:val="0"/>
                      <w:sz w:val="21"/>
                      <w:szCs w:val="21"/>
                      <w:highlight w:val="none"/>
                    </w:rPr>
                    <w:t>m</w:t>
                  </w:r>
                  <w:r>
                    <w:rPr>
                      <w:color w:val="auto"/>
                      <w:kern w:val="0"/>
                      <w:sz w:val="21"/>
                      <w:szCs w:val="21"/>
                      <w:highlight w:val="none"/>
                      <w:vertAlign w:val="superscript"/>
                    </w:rPr>
                    <w:t>3</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56.5</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5</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泥沙</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多年平均悬移质年输沙量</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万</w:t>
                  </w:r>
                  <w:r>
                    <w:rPr>
                      <w:color w:val="auto"/>
                      <w:kern w:val="0"/>
                      <w:sz w:val="21"/>
                      <w:szCs w:val="21"/>
                      <w:highlight w:val="none"/>
                    </w:rPr>
                    <w:t>t</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0.11</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多年平均推移质输沙量</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万</w:t>
                  </w:r>
                  <w:r>
                    <w:rPr>
                      <w:color w:val="auto"/>
                      <w:kern w:val="0"/>
                      <w:sz w:val="21"/>
                      <w:szCs w:val="21"/>
                      <w:highlight w:val="none"/>
                    </w:rPr>
                    <w:t>t</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0.03</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多年平均输沙总量</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万</w:t>
                  </w:r>
                  <w:r>
                    <w:rPr>
                      <w:color w:val="auto"/>
                      <w:kern w:val="0"/>
                      <w:sz w:val="21"/>
                      <w:szCs w:val="21"/>
                      <w:highlight w:val="none"/>
                    </w:rPr>
                    <w:t>t</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0.14</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二</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工程规模</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1</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水库特征参数</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正常蓄水位</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xml:space="preserve">609.00 </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设计洪水位（</w:t>
                  </w:r>
                  <w:r>
                    <w:rPr>
                      <w:color w:val="auto"/>
                      <w:kern w:val="0"/>
                      <w:sz w:val="21"/>
                      <w:szCs w:val="21"/>
                      <w:highlight w:val="none"/>
                    </w:rPr>
                    <w:t>P=3.33%</w:t>
                  </w:r>
                  <w:r>
                    <w:rPr>
                      <w:rFonts w:hint="eastAsia" w:ascii="宋体" w:hAnsi="宋体"/>
                      <w:color w:val="auto"/>
                      <w:kern w:val="0"/>
                      <w:sz w:val="21"/>
                      <w:szCs w:val="21"/>
                      <w:highlight w:val="none"/>
                    </w:rPr>
                    <w:t>、重力坝）</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609.87</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校核洪水位（</w:t>
                  </w:r>
                  <w:r>
                    <w:rPr>
                      <w:color w:val="auto"/>
                      <w:kern w:val="0"/>
                      <w:sz w:val="21"/>
                      <w:szCs w:val="21"/>
                      <w:highlight w:val="none"/>
                    </w:rPr>
                    <w:t>P=0.5%</w:t>
                  </w:r>
                  <w:r>
                    <w:rPr>
                      <w:rFonts w:hint="eastAsia" w:ascii="宋体" w:hAnsi="宋体"/>
                      <w:color w:val="auto"/>
                      <w:kern w:val="0"/>
                      <w:sz w:val="21"/>
                      <w:szCs w:val="21"/>
                      <w:highlight w:val="none"/>
                    </w:rPr>
                    <w:t>、重力坝）</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610.09</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死水位</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xml:space="preserve">591.00 </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32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总库容</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万</w:t>
                  </w:r>
                  <w:r>
                    <w:rPr>
                      <w:color w:val="auto"/>
                      <w:kern w:val="0"/>
                      <w:sz w:val="21"/>
                      <w:szCs w:val="21"/>
                      <w:highlight w:val="none"/>
                    </w:rPr>
                    <w:t>m</w:t>
                  </w:r>
                  <w:r>
                    <w:rPr>
                      <w:color w:val="auto"/>
                      <w:kern w:val="0"/>
                      <w:sz w:val="21"/>
                      <w:szCs w:val="21"/>
                      <w:highlight w:val="none"/>
                      <w:vertAlign w:val="superscript"/>
                    </w:rPr>
                    <w:t>3</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216.82</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32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正常蓄水位对应库容</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万</w:t>
                  </w:r>
                  <w:r>
                    <w:rPr>
                      <w:color w:val="auto"/>
                      <w:kern w:val="0"/>
                      <w:sz w:val="21"/>
                      <w:szCs w:val="21"/>
                      <w:highlight w:val="none"/>
                    </w:rPr>
                    <w:t>m</w:t>
                  </w:r>
                  <w:r>
                    <w:rPr>
                      <w:color w:val="auto"/>
                      <w:kern w:val="0"/>
                      <w:sz w:val="21"/>
                      <w:szCs w:val="21"/>
                      <w:highlight w:val="none"/>
                      <w:vertAlign w:val="superscript"/>
                    </w:rPr>
                    <w:t>3</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193.74</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32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死库容</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万</w:t>
                  </w:r>
                  <w:r>
                    <w:rPr>
                      <w:color w:val="auto"/>
                      <w:kern w:val="0"/>
                      <w:sz w:val="21"/>
                      <w:szCs w:val="21"/>
                      <w:highlight w:val="none"/>
                    </w:rPr>
                    <w:t>m</w:t>
                  </w:r>
                  <w:r>
                    <w:rPr>
                      <w:color w:val="auto"/>
                      <w:kern w:val="0"/>
                      <w:sz w:val="21"/>
                      <w:szCs w:val="21"/>
                      <w:highlight w:val="none"/>
                      <w:vertAlign w:val="superscript"/>
                    </w:rPr>
                    <w:t>3</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xml:space="preserve">5.44 </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32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兴利库容</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万</w:t>
                  </w:r>
                  <w:r>
                    <w:rPr>
                      <w:color w:val="auto"/>
                      <w:kern w:val="0"/>
                      <w:sz w:val="21"/>
                      <w:szCs w:val="21"/>
                      <w:highlight w:val="none"/>
                    </w:rPr>
                    <w:t>m</w:t>
                  </w:r>
                  <w:r>
                    <w:rPr>
                      <w:color w:val="auto"/>
                      <w:kern w:val="0"/>
                      <w:sz w:val="21"/>
                      <w:szCs w:val="21"/>
                      <w:highlight w:val="none"/>
                      <w:vertAlign w:val="superscript"/>
                    </w:rPr>
                    <w:t>3</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xml:space="preserve">188.30 </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32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正常蓄水位时水库面积</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km</w:t>
                  </w:r>
                  <w:r>
                    <w:rPr>
                      <w:color w:val="auto"/>
                      <w:kern w:val="0"/>
                      <w:sz w:val="21"/>
                      <w:szCs w:val="21"/>
                      <w:highlight w:val="none"/>
                      <w:vertAlign w:val="superscript"/>
                    </w:rPr>
                    <w:t>2</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xml:space="preserve">0.2056 </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回水长度</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km</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1.02</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库容系数</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xml:space="preserve">2.11 </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32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补水工程多年平均补水总量</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万</w:t>
                  </w:r>
                  <w:r>
                    <w:rPr>
                      <w:color w:val="auto"/>
                      <w:kern w:val="0"/>
                      <w:sz w:val="21"/>
                      <w:szCs w:val="21"/>
                      <w:highlight w:val="none"/>
                    </w:rPr>
                    <w:t>m</w:t>
                  </w:r>
                  <w:r>
                    <w:rPr>
                      <w:color w:val="auto"/>
                      <w:kern w:val="0"/>
                      <w:sz w:val="21"/>
                      <w:szCs w:val="21"/>
                      <w:highlight w:val="none"/>
                      <w:vertAlign w:val="superscript"/>
                    </w:rPr>
                    <w:t>3</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147</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2</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供水</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供水人口</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万人</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xml:space="preserve">5.20 </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胡家场镇、花池社区</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供水保证率</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95</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灌溉面积</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亩</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5600</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灌溉保证率</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75</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32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水库多年平均供水量</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万</w:t>
                  </w:r>
                  <w:r>
                    <w:rPr>
                      <w:color w:val="auto"/>
                      <w:kern w:val="0"/>
                      <w:sz w:val="21"/>
                      <w:szCs w:val="21"/>
                      <w:highlight w:val="none"/>
                    </w:rPr>
                    <w:t>m</w:t>
                  </w:r>
                  <w:r>
                    <w:rPr>
                      <w:color w:val="auto"/>
                      <w:kern w:val="0"/>
                      <w:sz w:val="21"/>
                      <w:szCs w:val="21"/>
                      <w:highlight w:val="none"/>
                      <w:vertAlign w:val="superscript"/>
                    </w:rPr>
                    <w:t>3</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204</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生活</w:t>
                  </w:r>
                  <w:r>
                    <w:rPr>
                      <w:color w:val="auto"/>
                      <w:kern w:val="0"/>
                      <w:sz w:val="21"/>
                      <w:szCs w:val="21"/>
                      <w:highlight w:val="none"/>
                    </w:rPr>
                    <w:t>121</w:t>
                  </w:r>
                  <w:r>
                    <w:rPr>
                      <w:rFonts w:hint="eastAsia" w:ascii="宋体" w:hAnsi="宋体"/>
                      <w:color w:val="auto"/>
                      <w:kern w:val="0"/>
                      <w:sz w:val="21"/>
                      <w:szCs w:val="21"/>
                      <w:highlight w:val="none"/>
                    </w:rPr>
                    <w:t>万</w:t>
                  </w:r>
                  <w:r>
                    <w:rPr>
                      <w:color w:val="auto"/>
                      <w:kern w:val="0"/>
                      <w:sz w:val="21"/>
                      <w:szCs w:val="21"/>
                      <w:highlight w:val="none"/>
                    </w:rPr>
                    <w:t>m</w:t>
                  </w:r>
                  <w:r>
                    <w:rPr>
                      <w:color w:val="auto"/>
                      <w:kern w:val="0"/>
                      <w:sz w:val="21"/>
                      <w:szCs w:val="21"/>
                      <w:highlight w:val="none"/>
                      <w:vertAlign w:val="superscript"/>
                    </w:rPr>
                    <w:t>3</w:t>
                  </w:r>
                  <w:r>
                    <w:rPr>
                      <w:rFonts w:hint="eastAsia" w:ascii="宋体" w:hAnsi="宋体"/>
                      <w:color w:val="auto"/>
                      <w:kern w:val="0"/>
                      <w:sz w:val="21"/>
                      <w:szCs w:val="21"/>
                      <w:highlight w:val="none"/>
                    </w:rPr>
                    <w:t>、灌溉</w:t>
                  </w:r>
                  <w:r>
                    <w:rPr>
                      <w:color w:val="auto"/>
                      <w:kern w:val="0"/>
                      <w:sz w:val="21"/>
                      <w:szCs w:val="21"/>
                      <w:highlight w:val="none"/>
                    </w:rPr>
                    <w:t>83</w:t>
                  </w:r>
                  <w:r>
                    <w:rPr>
                      <w:rFonts w:hint="eastAsia" w:ascii="宋体" w:hAnsi="宋体"/>
                      <w:color w:val="auto"/>
                      <w:kern w:val="0"/>
                      <w:sz w:val="21"/>
                      <w:szCs w:val="21"/>
                      <w:highlight w:val="none"/>
                    </w:rPr>
                    <w:t>万</w:t>
                  </w:r>
                  <w:r>
                    <w:rPr>
                      <w:color w:val="auto"/>
                      <w:kern w:val="0"/>
                      <w:sz w:val="21"/>
                      <w:szCs w:val="21"/>
                      <w:highlight w:val="none"/>
                    </w:rPr>
                    <w:t>m</w:t>
                  </w:r>
                  <w:r>
                    <w:rPr>
                      <w:color w:val="auto"/>
                      <w:kern w:val="0"/>
                      <w:sz w:val="21"/>
                      <w:szCs w:val="21"/>
                      <w:highlight w:val="none"/>
                      <w:vertAlign w:val="superscript"/>
                    </w:rPr>
                    <w:t>3</w:t>
                  </w:r>
                </w:p>
              </w:tc>
            </w:tr>
            <w:tr>
              <w:tblPrEx>
                <w:tblCellMar>
                  <w:top w:w="0" w:type="dxa"/>
                  <w:left w:w="108" w:type="dxa"/>
                  <w:bottom w:w="0" w:type="dxa"/>
                  <w:right w:w="108" w:type="dxa"/>
                </w:tblCellMar>
              </w:tblPrEx>
              <w:trPr>
                <w:trHeight w:val="32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设计引用流量</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r>
                    <w:rPr>
                      <w:color w:val="auto"/>
                      <w:kern w:val="0"/>
                      <w:sz w:val="21"/>
                      <w:szCs w:val="21"/>
                      <w:highlight w:val="none"/>
                    </w:rPr>
                    <w:t>/s</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0.24</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三</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淹没损失及工程占地</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1</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水库淹没影响区</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淹没影响土地</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亩</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295.26</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耕地</w:t>
                  </w:r>
                  <w:r>
                    <w:rPr>
                      <w:color w:val="auto"/>
                      <w:kern w:val="0"/>
                      <w:sz w:val="21"/>
                      <w:szCs w:val="21"/>
                      <w:highlight w:val="none"/>
                    </w:rPr>
                    <w:t>194.70</w:t>
                  </w:r>
                  <w:r>
                    <w:rPr>
                      <w:rFonts w:hint="eastAsia" w:ascii="宋体" w:hAnsi="宋体"/>
                      <w:color w:val="auto"/>
                      <w:kern w:val="0"/>
                      <w:sz w:val="21"/>
                      <w:szCs w:val="21"/>
                      <w:highlight w:val="none"/>
                    </w:rPr>
                    <w:t>亩</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搬迁人口</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人</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90</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32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搬迁房屋</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2</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7222</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8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2</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枢纽工程建设区</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8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工程永久占地</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亩</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51.41</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耕地</w:t>
                  </w:r>
                  <w:r>
                    <w:rPr>
                      <w:color w:val="auto"/>
                      <w:kern w:val="0"/>
                      <w:sz w:val="21"/>
                      <w:szCs w:val="21"/>
                      <w:highlight w:val="none"/>
                    </w:rPr>
                    <w:t>20.68</w:t>
                  </w:r>
                  <w:r>
                    <w:rPr>
                      <w:rFonts w:hint="eastAsia" w:ascii="宋体" w:hAnsi="宋体"/>
                      <w:color w:val="auto"/>
                      <w:kern w:val="0"/>
                      <w:sz w:val="21"/>
                      <w:szCs w:val="21"/>
                      <w:highlight w:val="none"/>
                    </w:rPr>
                    <w:t>亩</w:t>
                  </w:r>
                </w:p>
              </w:tc>
            </w:tr>
            <w:tr>
              <w:tblPrEx>
                <w:tblCellMar>
                  <w:top w:w="0" w:type="dxa"/>
                  <w:left w:w="108" w:type="dxa"/>
                  <w:bottom w:w="0" w:type="dxa"/>
                  <w:right w:w="108" w:type="dxa"/>
                </w:tblCellMar>
              </w:tblPrEx>
              <w:trPr>
                <w:trHeight w:val="28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施工临时占地</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亩</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96.82</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3</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灌区工程建设区</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工程永久占地</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亩</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0.67</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耕地</w:t>
                  </w:r>
                  <w:r>
                    <w:rPr>
                      <w:color w:val="auto"/>
                      <w:kern w:val="0"/>
                      <w:sz w:val="21"/>
                      <w:szCs w:val="21"/>
                      <w:highlight w:val="none"/>
                    </w:rPr>
                    <w:t>0.07</w:t>
                  </w:r>
                  <w:r>
                    <w:rPr>
                      <w:rFonts w:hint="eastAsia" w:ascii="宋体" w:hAnsi="宋体"/>
                      <w:color w:val="auto"/>
                      <w:kern w:val="0"/>
                      <w:sz w:val="21"/>
                      <w:szCs w:val="21"/>
                      <w:highlight w:val="none"/>
                    </w:rPr>
                    <w:t>亩</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施工临时占地</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亩</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96.59</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四</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主要建筑物及设备</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1</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枢纽工程</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rFonts w:hint="eastAsia"/>
                      <w:color w:val="auto"/>
                      <w:kern w:val="0"/>
                      <w:sz w:val="21"/>
                      <w:szCs w:val="21"/>
                      <w:highlight w:val="none"/>
                    </w:rPr>
                  </w:pPr>
                  <w:r>
                    <w:rPr>
                      <w:color w:val="auto"/>
                      <w:kern w:val="0"/>
                      <w:sz w:val="21"/>
                      <w:szCs w:val="21"/>
                      <w:highlight w:val="none"/>
                    </w:rPr>
                    <w:t>　</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w:t>
                  </w:r>
                  <w:r>
                    <w:rPr>
                      <w:color w:val="auto"/>
                      <w:kern w:val="0"/>
                      <w:sz w:val="21"/>
                      <w:szCs w:val="21"/>
                      <w:highlight w:val="none"/>
                    </w:rPr>
                    <w:t>1</w:t>
                  </w:r>
                  <w:r>
                    <w:rPr>
                      <w:rFonts w:hint="eastAsia" w:ascii="宋体" w:hAnsi="宋体"/>
                      <w:color w:val="auto"/>
                      <w:kern w:val="0"/>
                      <w:sz w:val="21"/>
                      <w:szCs w:val="21"/>
                      <w:highlight w:val="none"/>
                    </w:rPr>
                    <w:t>）</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大坝</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坝型</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w:t>
                  </w:r>
                </w:p>
              </w:tc>
              <w:tc>
                <w:tcPr>
                  <w:tcW w:w="2201" w:type="pct"/>
                  <w:gridSpan w:val="3"/>
                  <w:tcBorders>
                    <w:top w:val="single" w:color="auto" w:sz="4" w:space="0"/>
                    <w:left w:val="nil"/>
                    <w:bottom w:val="single" w:color="auto" w:sz="4" w:space="0"/>
                    <w:right w:val="single" w:color="000000" w:sz="4" w:space="0"/>
                  </w:tcBorders>
                  <w:noWrap/>
                  <w:tcMar>
                    <w:left w:w="28" w:type="dxa"/>
                    <w:right w:w="28" w:type="dxa"/>
                  </w:tcMar>
                  <w:vAlign w:val="center"/>
                </w:tcPr>
                <w:p>
                  <w:pPr>
                    <w:widowControl/>
                    <w:spacing w:line="24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埋石混凝土重力坝</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rFonts w:hint="eastAsia"/>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地基特性</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w:t>
                  </w:r>
                </w:p>
              </w:tc>
              <w:tc>
                <w:tcPr>
                  <w:tcW w:w="2201" w:type="pct"/>
                  <w:gridSpan w:val="3"/>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泥岩、砂质泥岩、砂岩</w:t>
                  </w: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地震基本烈度</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度</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Ⅵ</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坝顶轴线长</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150</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①</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溢流坝段</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rFonts w:hint="eastAsia"/>
                      <w:color w:val="auto"/>
                      <w:kern w:val="0"/>
                      <w:sz w:val="21"/>
                      <w:szCs w:val="21"/>
                      <w:highlight w:val="none"/>
                    </w:rPr>
                  </w:pPr>
                  <w:r>
                    <w:rPr>
                      <w:color w:val="auto"/>
                      <w:kern w:val="0"/>
                      <w:sz w:val="21"/>
                      <w:szCs w:val="21"/>
                      <w:highlight w:val="none"/>
                    </w:rPr>
                    <w:t>　</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大坝桩号</w:t>
                  </w:r>
                  <w:r>
                    <w:rPr>
                      <w:color w:val="auto"/>
                      <w:kern w:val="0"/>
                      <w:sz w:val="21"/>
                      <w:szCs w:val="21"/>
                      <w:highlight w:val="none"/>
                    </w:rPr>
                    <w:t>0+046~0+052</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溢流坝段长度</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rFonts w:hint="eastAsia"/>
                      <w:color w:val="auto"/>
                      <w:kern w:val="0"/>
                      <w:sz w:val="21"/>
                      <w:szCs w:val="21"/>
                      <w:highlight w:val="none"/>
                    </w:rPr>
                  </w:pPr>
                  <w:r>
                    <w:rPr>
                      <w:color w:val="auto"/>
                      <w:kern w:val="0"/>
                      <w:sz w:val="21"/>
                      <w:szCs w:val="21"/>
                      <w:highlight w:val="none"/>
                    </w:rPr>
                    <w:t>m</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6</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堰顶高程</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rFonts w:hint="eastAsia"/>
                      <w:color w:val="auto"/>
                      <w:kern w:val="0"/>
                      <w:sz w:val="21"/>
                      <w:szCs w:val="21"/>
                      <w:highlight w:val="none"/>
                    </w:rPr>
                  </w:pPr>
                  <w:r>
                    <w:rPr>
                      <w:color w:val="auto"/>
                      <w:kern w:val="0"/>
                      <w:sz w:val="21"/>
                      <w:szCs w:val="21"/>
                      <w:highlight w:val="none"/>
                    </w:rPr>
                    <w:t>m</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xml:space="preserve">609.00 </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溢流坝段高度</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rFonts w:hint="eastAsia"/>
                      <w:color w:val="auto"/>
                      <w:kern w:val="0"/>
                      <w:sz w:val="21"/>
                      <w:szCs w:val="21"/>
                      <w:highlight w:val="none"/>
                    </w:rPr>
                  </w:pPr>
                  <w:r>
                    <w:rPr>
                      <w:color w:val="auto"/>
                      <w:kern w:val="0"/>
                      <w:sz w:val="21"/>
                      <w:szCs w:val="21"/>
                      <w:highlight w:val="none"/>
                    </w:rPr>
                    <w:t>m</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xml:space="preserve">31.00 </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堰型</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rFonts w:hint="eastAsia"/>
                      <w:color w:val="auto"/>
                      <w:kern w:val="0"/>
                      <w:sz w:val="21"/>
                      <w:szCs w:val="21"/>
                      <w:highlight w:val="none"/>
                    </w:rPr>
                  </w:pPr>
                  <w:r>
                    <w:rPr>
                      <w:color w:val="auto"/>
                      <w:kern w:val="0"/>
                      <w:sz w:val="21"/>
                      <w:szCs w:val="21"/>
                      <w:highlight w:val="none"/>
                    </w:rPr>
                    <w:t>-</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WES</w:t>
                  </w:r>
                  <w:r>
                    <w:rPr>
                      <w:rFonts w:hint="eastAsia" w:ascii="宋体" w:hAnsi="宋体"/>
                      <w:color w:val="auto"/>
                      <w:kern w:val="0"/>
                      <w:sz w:val="21"/>
                      <w:szCs w:val="21"/>
                      <w:highlight w:val="none"/>
                    </w:rPr>
                    <w:t>实用堰</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32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设计洪水时最大泄量（</w:t>
                  </w:r>
                  <w:r>
                    <w:rPr>
                      <w:color w:val="auto"/>
                      <w:kern w:val="0"/>
                      <w:sz w:val="21"/>
                      <w:szCs w:val="21"/>
                      <w:highlight w:val="none"/>
                    </w:rPr>
                    <w:t>P=3.33%</w:t>
                  </w:r>
                  <w:r>
                    <w:rPr>
                      <w:rFonts w:hint="eastAsia" w:ascii="宋体" w:hAnsi="宋体"/>
                      <w:color w:val="auto"/>
                      <w:kern w:val="0"/>
                      <w:sz w:val="21"/>
                      <w:szCs w:val="21"/>
                      <w:highlight w:val="none"/>
                    </w:rPr>
                    <w:t>）</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r>
                    <w:rPr>
                      <w:color w:val="auto"/>
                      <w:kern w:val="0"/>
                      <w:sz w:val="21"/>
                      <w:szCs w:val="21"/>
                      <w:highlight w:val="none"/>
                    </w:rPr>
                    <w:t>/s</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11.72</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32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校核洪水时最大泄量（</w:t>
                  </w:r>
                  <w:r>
                    <w:rPr>
                      <w:color w:val="auto"/>
                      <w:kern w:val="0"/>
                      <w:sz w:val="21"/>
                      <w:szCs w:val="21"/>
                      <w:highlight w:val="none"/>
                    </w:rPr>
                    <w:t>P=0.5%</w:t>
                  </w:r>
                  <w:r>
                    <w:rPr>
                      <w:rFonts w:hint="eastAsia" w:ascii="宋体" w:hAnsi="宋体"/>
                      <w:color w:val="auto"/>
                      <w:kern w:val="0"/>
                      <w:sz w:val="21"/>
                      <w:szCs w:val="21"/>
                      <w:highlight w:val="none"/>
                    </w:rPr>
                    <w:t>）</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r>
                    <w:rPr>
                      <w:color w:val="auto"/>
                      <w:kern w:val="0"/>
                      <w:sz w:val="21"/>
                      <w:szCs w:val="21"/>
                      <w:highlight w:val="none"/>
                    </w:rPr>
                    <w:t>/s</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16.59</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32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消能防冲泄流量（</w:t>
                  </w:r>
                  <w:r>
                    <w:rPr>
                      <w:color w:val="auto"/>
                      <w:kern w:val="0"/>
                      <w:sz w:val="21"/>
                      <w:szCs w:val="21"/>
                      <w:highlight w:val="none"/>
                    </w:rPr>
                    <w:t>P=5%</w:t>
                  </w:r>
                  <w:r>
                    <w:rPr>
                      <w:rFonts w:hint="eastAsia" w:ascii="宋体" w:hAnsi="宋体"/>
                      <w:color w:val="auto"/>
                      <w:kern w:val="0"/>
                      <w:sz w:val="21"/>
                      <w:szCs w:val="21"/>
                      <w:highlight w:val="none"/>
                    </w:rPr>
                    <w:t>）</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r>
                    <w:rPr>
                      <w:color w:val="auto"/>
                      <w:kern w:val="0"/>
                      <w:sz w:val="21"/>
                      <w:szCs w:val="21"/>
                      <w:highlight w:val="none"/>
                    </w:rPr>
                    <w:t>/s</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10.72</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32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②</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非溢流坝段</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rFonts w:hint="eastAsia"/>
                      <w:color w:val="auto"/>
                      <w:kern w:val="0"/>
                      <w:sz w:val="21"/>
                      <w:szCs w:val="21"/>
                      <w:highlight w:val="none"/>
                    </w:rPr>
                  </w:pPr>
                  <w:r>
                    <w:rPr>
                      <w:color w:val="auto"/>
                      <w:kern w:val="0"/>
                      <w:sz w:val="21"/>
                      <w:szCs w:val="21"/>
                      <w:highlight w:val="none"/>
                    </w:rPr>
                    <w:t>　</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非溢流坝段长度</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rFonts w:hint="eastAsia"/>
                      <w:color w:val="auto"/>
                      <w:kern w:val="0"/>
                      <w:sz w:val="21"/>
                      <w:szCs w:val="21"/>
                      <w:highlight w:val="none"/>
                    </w:rPr>
                  </w:pPr>
                  <w:r>
                    <w:rPr>
                      <w:color w:val="auto"/>
                      <w:kern w:val="0"/>
                      <w:sz w:val="21"/>
                      <w:szCs w:val="21"/>
                      <w:highlight w:val="none"/>
                    </w:rPr>
                    <w:t>m</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144</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坝顶高程</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xml:space="preserve">611.00 </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最大坝高</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xml:space="preserve">33.00 </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32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坝顶宽度</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rFonts w:hint="eastAsia"/>
                      <w:color w:val="auto"/>
                      <w:kern w:val="0"/>
                      <w:sz w:val="21"/>
                      <w:szCs w:val="21"/>
                      <w:highlight w:val="none"/>
                    </w:rPr>
                  </w:pPr>
                  <w:r>
                    <w:rPr>
                      <w:color w:val="auto"/>
                      <w:kern w:val="0"/>
                      <w:sz w:val="21"/>
                      <w:szCs w:val="21"/>
                      <w:highlight w:val="none"/>
                    </w:rPr>
                    <w:t>m</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6.5</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32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ascii="宋体" w:hAnsi="宋体" w:cs="宋体"/>
                      <w:color w:val="auto"/>
                      <w:kern w:val="0"/>
                      <w:sz w:val="21"/>
                      <w:szCs w:val="21"/>
                      <w:highlight w:val="none"/>
                    </w:rPr>
                    <w:t>③</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取水管</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rFonts w:hint="eastAsia"/>
                      <w:color w:val="auto"/>
                      <w:kern w:val="0"/>
                      <w:sz w:val="21"/>
                      <w:szCs w:val="21"/>
                      <w:highlight w:val="none"/>
                    </w:rPr>
                  </w:pPr>
                  <w:r>
                    <w:rPr>
                      <w:color w:val="auto"/>
                      <w:kern w:val="0"/>
                      <w:sz w:val="21"/>
                      <w:szCs w:val="21"/>
                      <w:highlight w:val="none"/>
                    </w:rPr>
                    <w:t>　</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32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设计取水流量</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rFonts w:hint="eastAsia"/>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r>
                    <w:rPr>
                      <w:color w:val="auto"/>
                      <w:kern w:val="0"/>
                      <w:sz w:val="21"/>
                      <w:szCs w:val="21"/>
                      <w:highlight w:val="none"/>
                    </w:rPr>
                    <w:t>/s</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0.24</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大坝桩号</w:t>
                  </w:r>
                  <w:r>
                    <w:rPr>
                      <w:color w:val="auto"/>
                      <w:kern w:val="0"/>
                      <w:sz w:val="21"/>
                      <w:szCs w:val="21"/>
                      <w:highlight w:val="none"/>
                    </w:rPr>
                    <w:t>0+039.5</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取水管中心高程</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rFonts w:hint="eastAsia"/>
                      <w:color w:val="auto"/>
                      <w:kern w:val="0"/>
                      <w:sz w:val="21"/>
                      <w:szCs w:val="21"/>
                      <w:highlight w:val="none"/>
                    </w:rPr>
                  </w:pPr>
                  <w:r>
                    <w:rPr>
                      <w:color w:val="auto"/>
                      <w:kern w:val="0"/>
                      <w:sz w:val="21"/>
                      <w:szCs w:val="21"/>
                      <w:highlight w:val="none"/>
                    </w:rPr>
                    <w:t>m</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589.50</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管长</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rFonts w:hint="eastAsia"/>
                      <w:color w:val="auto"/>
                      <w:kern w:val="0"/>
                      <w:sz w:val="21"/>
                      <w:szCs w:val="21"/>
                      <w:highlight w:val="none"/>
                    </w:rPr>
                  </w:pPr>
                  <w:r>
                    <w:rPr>
                      <w:color w:val="auto"/>
                      <w:kern w:val="0"/>
                      <w:sz w:val="21"/>
                      <w:szCs w:val="21"/>
                      <w:highlight w:val="none"/>
                    </w:rPr>
                    <w:t>m</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32.00</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取水管径</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rFonts w:hint="eastAsia"/>
                      <w:color w:val="auto"/>
                      <w:kern w:val="0"/>
                      <w:sz w:val="21"/>
                      <w:szCs w:val="21"/>
                      <w:highlight w:val="none"/>
                    </w:rPr>
                  </w:pPr>
                  <w:r>
                    <w:rPr>
                      <w:color w:val="auto"/>
                      <w:kern w:val="0"/>
                      <w:sz w:val="21"/>
                      <w:szCs w:val="21"/>
                      <w:highlight w:val="none"/>
                    </w:rPr>
                    <w:t>mm</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DN500</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34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rFonts w:ascii="Segoe UI Symbol" w:hAnsi="Segoe UI Symbol" w:cs="宋体"/>
                      <w:color w:val="auto"/>
                      <w:kern w:val="0"/>
                      <w:sz w:val="21"/>
                      <w:szCs w:val="21"/>
                      <w:highlight w:val="none"/>
                    </w:rPr>
                  </w:pPr>
                  <w:r>
                    <w:rPr>
                      <w:rFonts w:ascii="Segoe UI Symbol" w:hAnsi="Segoe UI Symbol" w:cs="宋体"/>
                      <w:color w:val="auto"/>
                      <w:kern w:val="0"/>
                      <w:sz w:val="21"/>
                      <w:szCs w:val="21"/>
                      <w:highlight w:val="none"/>
                    </w:rPr>
                    <w:t>④</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放空管</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rFonts w:hint="eastAsia"/>
                      <w:color w:val="auto"/>
                      <w:kern w:val="0"/>
                      <w:sz w:val="21"/>
                      <w:szCs w:val="21"/>
                      <w:highlight w:val="none"/>
                    </w:rPr>
                  </w:pPr>
                  <w:r>
                    <w:rPr>
                      <w:color w:val="auto"/>
                      <w:kern w:val="0"/>
                      <w:sz w:val="21"/>
                      <w:szCs w:val="21"/>
                      <w:highlight w:val="none"/>
                    </w:rPr>
                    <w:t>　</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大坝桩号</w:t>
                  </w:r>
                  <w:r>
                    <w:rPr>
                      <w:color w:val="auto"/>
                      <w:kern w:val="0"/>
                      <w:sz w:val="21"/>
                      <w:szCs w:val="21"/>
                      <w:highlight w:val="none"/>
                    </w:rPr>
                    <w:t>0+042.5</w:t>
                  </w:r>
                </w:p>
              </w:tc>
            </w:tr>
            <w:tr>
              <w:tblPrEx>
                <w:tblCellMar>
                  <w:top w:w="0" w:type="dxa"/>
                  <w:left w:w="108" w:type="dxa"/>
                  <w:bottom w:w="0" w:type="dxa"/>
                  <w:right w:w="108" w:type="dxa"/>
                </w:tblCellMar>
              </w:tblPrEx>
              <w:trPr>
                <w:trHeight w:val="32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最大放空流量</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rFonts w:hint="eastAsia"/>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r>
                    <w:rPr>
                      <w:color w:val="auto"/>
                      <w:kern w:val="0"/>
                      <w:sz w:val="21"/>
                      <w:szCs w:val="21"/>
                      <w:highlight w:val="none"/>
                    </w:rPr>
                    <w:t>/s</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xml:space="preserve">2.67 </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管长</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rFonts w:hint="eastAsia"/>
                      <w:color w:val="auto"/>
                      <w:kern w:val="0"/>
                      <w:sz w:val="21"/>
                      <w:szCs w:val="21"/>
                      <w:highlight w:val="none"/>
                    </w:rPr>
                  </w:pPr>
                  <w:r>
                    <w:rPr>
                      <w:color w:val="auto"/>
                      <w:kern w:val="0"/>
                      <w:sz w:val="21"/>
                      <w:szCs w:val="21"/>
                      <w:highlight w:val="none"/>
                    </w:rPr>
                    <w:t>m</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30.00</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放空管中心高程</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rFonts w:hint="eastAsia"/>
                      <w:color w:val="auto"/>
                      <w:kern w:val="0"/>
                      <w:sz w:val="21"/>
                      <w:szCs w:val="21"/>
                      <w:highlight w:val="none"/>
                    </w:rPr>
                  </w:pPr>
                  <w:r>
                    <w:rPr>
                      <w:color w:val="auto"/>
                      <w:kern w:val="0"/>
                      <w:sz w:val="21"/>
                      <w:szCs w:val="21"/>
                      <w:highlight w:val="none"/>
                    </w:rPr>
                    <w:t>m</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588.00</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放空管径</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rFonts w:hint="eastAsia"/>
                      <w:color w:val="auto"/>
                      <w:kern w:val="0"/>
                      <w:sz w:val="21"/>
                      <w:szCs w:val="21"/>
                      <w:highlight w:val="none"/>
                    </w:rPr>
                  </w:pPr>
                  <w:r>
                    <w:rPr>
                      <w:color w:val="auto"/>
                      <w:kern w:val="0"/>
                      <w:sz w:val="21"/>
                      <w:szCs w:val="21"/>
                      <w:highlight w:val="none"/>
                    </w:rPr>
                    <w:t>mm</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DN600</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ascii="宋体" w:hAnsi="宋体" w:cs="宋体"/>
                      <w:color w:val="auto"/>
                      <w:kern w:val="0"/>
                      <w:sz w:val="21"/>
                      <w:szCs w:val="21"/>
                      <w:highlight w:val="none"/>
                    </w:rPr>
                    <w:t>⑤</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生态放水管</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rFonts w:hint="eastAsia"/>
                      <w:color w:val="auto"/>
                      <w:kern w:val="0"/>
                      <w:sz w:val="21"/>
                      <w:szCs w:val="21"/>
                      <w:highlight w:val="none"/>
                    </w:rPr>
                  </w:pPr>
                  <w:r>
                    <w:rPr>
                      <w:color w:val="auto"/>
                      <w:kern w:val="0"/>
                      <w:sz w:val="21"/>
                      <w:szCs w:val="21"/>
                      <w:highlight w:val="none"/>
                    </w:rPr>
                    <w:t>　</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32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下泄生态流量</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rFonts w:hint="eastAsia"/>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r>
                    <w:rPr>
                      <w:color w:val="auto"/>
                      <w:kern w:val="0"/>
                      <w:sz w:val="21"/>
                      <w:szCs w:val="21"/>
                      <w:highlight w:val="none"/>
                    </w:rPr>
                    <w:t>/s</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xml:space="preserve">0.004 </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生态管中心高程</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rFonts w:hint="eastAsia"/>
                      <w:color w:val="auto"/>
                      <w:kern w:val="0"/>
                      <w:sz w:val="21"/>
                      <w:szCs w:val="21"/>
                      <w:highlight w:val="none"/>
                    </w:rPr>
                  </w:pPr>
                  <w:r>
                    <w:rPr>
                      <w:color w:val="auto"/>
                      <w:kern w:val="0"/>
                      <w:sz w:val="21"/>
                      <w:szCs w:val="21"/>
                      <w:highlight w:val="none"/>
                    </w:rPr>
                    <w:t>m</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588.00</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生态管径</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rFonts w:hint="eastAsia"/>
                      <w:color w:val="auto"/>
                      <w:kern w:val="0"/>
                      <w:sz w:val="21"/>
                      <w:szCs w:val="21"/>
                      <w:highlight w:val="none"/>
                    </w:rPr>
                  </w:pPr>
                  <w:r>
                    <w:rPr>
                      <w:color w:val="auto"/>
                      <w:kern w:val="0"/>
                      <w:sz w:val="21"/>
                      <w:szCs w:val="21"/>
                      <w:highlight w:val="none"/>
                    </w:rPr>
                    <w:t>mm</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DN100</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w:t>
                  </w:r>
                  <w:r>
                    <w:rPr>
                      <w:color w:val="auto"/>
                      <w:kern w:val="0"/>
                      <w:sz w:val="21"/>
                      <w:szCs w:val="21"/>
                      <w:highlight w:val="none"/>
                    </w:rPr>
                    <w:t>2</w:t>
                  </w:r>
                  <w:r>
                    <w:rPr>
                      <w:rFonts w:hint="eastAsia" w:ascii="宋体" w:hAnsi="宋体"/>
                      <w:color w:val="auto"/>
                      <w:kern w:val="0"/>
                      <w:sz w:val="21"/>
                      <w:szCs w:val="21"/>
                      <w:highlight w:val="none"/>
                    </w:rPr>
                    <w:t>）</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补水建筑物</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①</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拦河堰</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rFonts w:hint="eastAsia"/>
                      <w:color w:val="auto"/>
                      <w:kern w:val="0"/>
                      <w:sz w:val="21"/>
                      <w:szCs w:val="21"/>
                      <w:highlight w:val="none"/>
                    </w:rPr>
                  </w:pPr>
                  <w:r>
                    <w:rPr>
                      <w:color w:val="auto"/>
                      <w:kern w:val="0"/>
                      <w:sz w:val="21"/>
                      <w:szCs w:val="21"/>
                      <w:highlight w:val="none"/>
                    </w:rPr>
                    <w:t>　</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32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最大取水流量</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r>
                    <w:rPr>
                      <w:color w:val="auto"/>
                      <w:kern w:val="0"/>
                      <w:sz w:val="21"/>
                      <w:szCs w:val="21"/>
                      <w:highlight w:val="none"/>
                    </w:rPr>
                    <w:t>/s</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xml:space="preserve">4.00 </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主沟</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坝顶高程</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rFonts w:hint="eastAsia"/>
                      <w:color w:val="auto"/>
                      <w:kern w:val="0"/>
                      <w:sz w:val="21"/>
                      <w:szCs w:val="21"/>
                      <w:highlight w:val="none"/>
                    </w:rPr>
                  </w:pPr>
                  <w:r>
                    <w:rPr>
                      <w:color w:val="auto"/>
                      <w:kern w:val="0"/>
                      <w:sz w:val="21"/>
                      <w:szCs w:val="21"/>
                      <w:highlight w:val="none"/>
                    </w:rPr>
                    <w:t>m</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629.00</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坝高</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rFonts w:hint="eastAsia"/>
                      <w:color w:val="auto"/>
                      <w:kern w:val="0"/>
                      <w:sz w:val="21"/>
                      <w:szCs w:val="21"/>
                      <w:highlight w:val="none"/>
                    </w:rPr>
                  </w:pPr>
                  <w:r>
                    <w:rPr>
                      <w:color w:val="auto"/>
                      <w:kern w:val="0"/>
                      <w:sz w:val="21"/>
                      <w:szCs w:val="21"/>
                      <w:highlight w:val="none"/>
                    </w:rPr>
                    <w:t>m</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xml:space="preserve">7.50 </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河床以上</w:t>
                  </w:r>
                  <w:r>
                    <w:rPr>
                      <w:color w:val="auto"/>
                      <w:kern w:val="0"/>
                      <w:sz w:val="21"/>
                      <w:szCs w:val="21"/>
                      <w:highlight w:val="none"/>
                    </w:rPr>
                    <w:t>4m</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坝长</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22.4</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溢流坝段长</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rFonts w:hint="eastAsia"/>
                      <w:color w:val="auto"/>
                      <w:kern w:val="0"/>
                      <w:sz w:val="21"/>
                      <w:szCs w:val="21"/>
                      <w:highlight w:val="none"/>
                    </w:rPr>
                  </w:pPr>
                  <w:r>
                    <w:rPr>
                      <w:color w:val="auto"/>
                      <w:kern w:val="0"/>
                      <w:sz w:val="21"/>
                      <w:szCs w:val="21"/>
                      <w:highlight w:val="none"/>
                    </w:rPr>
                    <w:t>m</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16</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取水闸孔口尺寸</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rFonts w:hint="eastAsia"/>
                      <w:color w:val="auto"/>
                      <w:kern w:val="0"/>
                      <w:sz w:val="21"/>
                      <w:szCs w:val="21"/>
                      <w:highlight w:val="none"/>
                    </w:rPr>
                  </w:pPr>
                  <w:r>
                    <w:rPr>
                      <w:color w:val="auto"/>
                      <w:kern w:val="0"/>
                      <w:sz w:val="21"/>
                      <w:szCs w:val="21"/>
                      <w:highlight w:val="none"/>
                    </w:rPr>
                    <w:t>m</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1.4×1.4</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闸底板高程</w:t>
                  </w:r>
                  <w:r>
                    <w:rPr>
                      <w:color w:val="auto"/>
                      <w:kern w:val="0"/>
                      <w:sz w:val="21"/>
                      <w:szCs w:val="21"/>
                      <w:highlight w:val="none"/>
                    </w:rPr>
                    <w:t>627.00</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冲沙闸孔口尺寸</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rFonts w:hint="eastAsia"/>
                      <w:color w:val="auto"/>
                      <w:kern w:val="0"/>
                      <w:sz w:val="21"/>
                      <w:szCs w:val="21"/>
                      <w:highlight w:val="none"/>
                    </w:rPr>
                  </w:pPr>
                  <w:r>
                    <w:rPr>
                      <w:color w:val="auto"/>
                      <w:kern w:val="0"/>
                      <w:sz w:val="21"/>
                      <w:szCs w:val="21"/>
                      <w:highlight w:val="none"/>
                    </w:rPr>
                    <w:t>m</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1.4×1.4</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闸底板高程</w:t>
                  </w:r>
                  <w:r>
                    <w:rPr>
                      <w:color w:val="auto"/>
                      <w:kern w:val="0"/>
                      <w:sz w:val="21"/>
                      <w:szCs w:val="21"/>
                      <w:highlight w:val="none"/>
                    </w:rPr>
                    <w:t>625.00</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②</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补水渠</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648" w:type="pct"/>
                  <w:tcBorders>
                    <w:top w:val="nil"/>
                    <w:left w:val="nil"/>
                    <w:bottom w:val="nil"/>
                    <w:right w:val="nil"/>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p>
              </w:tc>
              <w:tc>
                <w:tcPr>
                  <w:tcW w:w="1553" w:type="pct"/>
                  <w:gridSpan w:val="2"/>
                  <w:tcBorders>
                    <w:top w:val="single" w:color="auto" w:sz="4" w:space="0"/>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全长</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rFonts w:hint="eastAsia"/>
                      <w:color w:val="auto"/>
                      <w:kern w:val="0"/>
                      <w:sz w:val="21"/>
                      <w:szCs w:val="21"/>
                      <w:highlight w:val="none"/>
                    </w:rPr>
                  </w:pPr>
                  <w:r>
                    <w:rPr>
                      <w:color w:val="auto"/>
                      <w:kern w:val="0"/>
                      <w:sz w:val="21"/>
                      <w:szCs w:val="21"/>
                      <w:highlight w:val="none"/>
                    </w:rPr>
                    <w:t>km</w:t>
                  </w:r>
                </w:p>
              </w:tc>
              <w:tc>
                <w:tcPr>
                  <w:tcW w:w="648" w:type="pct"/>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1.435</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建筑物型式</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DN1400</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有压管道</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2</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灌区工程</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w:t>
                  </w:r>
                  <w:r>
                    <w:rPr>
                      <w:color w:val="auto"/>
                      <w:kern w:val="0"/>
                      <w:sz w:val="21"/>
                      <w:szCs w:val="21"/>
                      <w:highlight w:val="none"/>
                    </w:rPr>
                    <w:t>1</w:t>
                  </w:r>
                  <w:r>
                    <w:rPr>
                      <w:rFonts w:hint="eastAsia" w:ascii="宋体" w:hAnsi="宋体"/>
                      <w:color w:val="auto"/>
                      <w:kern w:val="0"/>
                      <w:sz w:val="21"/>
                      <w:szCs w:val="21"/>
                      <w:highlight w:val="none"/>
                    </w:rPr>
                    <w:t>）</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供水干管</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rFonts w:hint="eastAsia"/>
                      <w:color w:val="auto"/>
                      <w:kern w:val="0"/>
                      <w:sz w:val="21"/>
                      <w:szCs w:val="21"/>
                      <w:highlight w:val="none"/>
                    </w:rPr>
                  </w:pPr>
                  <w:r>
                    <w:rPr>
                      <w:color w:val="auto"/>
                      <w:kern w:val="0"/>
                      <w:sz w:val="21"/>
                      <w:szCs w:val="21"/>
                      <w:highlight w:val="none"/>
                    </w:rPr>
                    <w:t>km</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8.222</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32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引水流量</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r>
                    <w:rPr>
                      <w:color w:val="auto"/>
                      <w:kern w:val="0"/>
                      <w:sz w:val="21"/>
                      <w:szCs w:val="21"/>
                      <w:highlight w:val="none"/>
                    </w:rPr>
                    <w:t>/s</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0.10</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管道尺寸</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mm</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DN315~400</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w:t>
                  </w:r>
                  <w:r>
                    <w:rPr>
                      <w:color w:val="auto"/>
                      <w:kern w:val="0"/>
                      <w:sz w:val="21"/>
                      <w:szCs w:val="21"/>
                      <w:highlight w:val="none"/>
                    </w:rPr>
                    <w:t>2</w:t>
                  </w:r>
                  <w:r>
                    <w:rPr>
                      <w:rFonts w:hint="eastAsia" w:ascii="宋体" w:hAnsi="宋体"/>
                      <w:color w:val="auto"/>
                      <w:kern w:val="0"/>
                      <w:sz w:val="21"/>
                      <w:szCs w:val="21"/>
                      <w:highlight w:val="none"/>
                    </w:rPr>
                    <w:t>）</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灌溉干管</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rFonts w:hint="eastAsia"/>
                      <w:color w:val="auto"/>
                      <w:kern w:val="0"/>
                      <w:sz w:val="21"/>
                      <w:szCs w:val="21"/>
                      <w:highlight w:val="none"/>
                    </w:rPr>
                  </w:pPr>
                  <w:r>
                    <w:rPr>
                      <w:color w:val="auto"/>
                      <w:kern w:val="0"/>
                      <w:sz w:val="21"/>
                      <w:szCs w:val="21"/>
                      <w:highlight w:val="none"/>
                    </w:rPr>
                    <w:t>km</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7.168</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32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引水流量</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r>
                    <w:rPr>
                      <w:color w:val="auto"/>
                      <w:kern w:val="0"/>
                      <w:sz w:val="21"/>
                      <w:szCs w:val="21"/>
                      <w:highlight w:val="none"/>
                    </w:rPr>
                    <w:t>/s</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0.14</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管道尺寸</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mm</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DN315~450</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w:t>
                  </w:r>
                  <w:r>
                    <w:rPr>
                      <w:color w:val="auto"/>
                      <w:kern w:val="0"/>
                      <w:sz w:val="21"/>
                      <w:szCs w:val="21"/>
                      <w:highlight w:val="none"/>
                    </w:rPr>
                    <w:t>3</w:t>
                  </w:r>
                  <w:r>
                    <w:rPr>
                      <w:rFonts w:hint="eastAsia" w:ascii="宋体" w:hAnsi="宋体"/>
                      <w:color w:val="auto"/>
                      <w:kern w:val="0"/>
                      <w:sz w:val="21"/>
                      <w:szCs w:val="21"/>
                      <w:highlight w:val="none"/>
                    </w:rPr>
                    <w:t>）</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花池供水支管</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km</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0.340</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32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引水流量</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r>
                    <w:rPr>
                      <w:color w:val="auto"/>
                      <w:kern w:val="0"/>
                      <w:sz w:val="21"/>
                      <w:szCs w:val="21"/>
                      <w:highlight w:val="none"/>
                    </w:rPr>
                    <w:t>/s</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0.01</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管道尺寸</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mm</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DN110</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五</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施工主要指标</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1</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导流标准</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rFonts w:hint="eastAsia"/>
                      <w:color w:val="auto"/>
                      <w:kern w:val="0"/>
                      <w:sz w:val="21"/>
                      <w:szCs w:val="21"/>
                      <w:highlight w:val="none"/>
                    </w:rPr>
                  </w:pPr>
                  <w:r>
                    <w:rPr>
                      <w:color w:val="auto"/>
                      <w:kern w:val="0"/>
                      <w:sz w:val="21"/>
                      <w:szCs w:val="21"/>
                      <w:highlight w:val="none"/>
                    </w:rPr>
                    <w:t>-</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5</w:t>
                  </w:r>
                  <w:r>
                    <w:rPr>
                      <w:rFonts w:hint="eastAsia" w:ascii="宋体" w:hAnsi="宋体"/>
                      <w:color w:val="auto"/>
                      <w:kern w:val="0"/>
                      <w:sz w:val="21"/>
                      <w:szCs w:val="21"/>
                      <w:highlight w:val="none"/>
                    </w:rPr>
                    <w:t>年一遇</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分段围堰、明渠导流</w:t>
                  </w:r>
                </w:p>
              </w:tc>
            </w:tr>
            <w:tr>
              <w:tblPrEx>
                <w:tblCellMar>
                  <w:top w:w="0" w:type="dxa"/>
                  <w:left w:w="108" w:type="dxa"/>
                  <w:bottom w:w="0" w:type="dxa"/>
                  <w:right w:w="108" w:type="dxa"/>
                </w:tblCellMar>
              </w:tblPrEx>
              <w:trPr>
                <w:trHeight w:val="32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rFonts w:hint="eastAsia"/>
                      <w:color w:val="auto"/>
                      <w:kern w:val="0"/>
                      <w:sz w:val="21"/>
                      <w:szCs w:val="21"/>
                      <w:highlight w:val="none"/>
                    </w:rPr>
                  </w:pPr>
                  <w:r>
                    <w:rPr>
                      <w:color w:val="auto"/>
                      <w:kern w:val="0"/>
                      <w:sz w:val="21"/>
                      <w:szCs w:val="21"/>
                      <w:highlight w:val="none"/>
                    </w:rPr>
                    <w:t>2</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最大导流流量</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rFonts w:hint="eastAsia"/>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r>
                    <w:rPr>
                      <w:color w:val="auto"/>
                      <w:kern w:val="0"/>
                      <w:sz w:val="21"/>
                      <w:szCs w:val="21"/>
                      <w:highlight w:val="none"/>
                    </w:rPr>
                    <w:t>/s</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13.2</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3</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总工期</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月</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24</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第一年</w:t>
                  </w:r>
                  <w:r>
                    <w:rPr>
                      <w:color w:val="auto"/>
                      <w:kern w:val="0"/>
                      <w:sz w:val="21"/>
                      <w:szCs w:val="21"/>
                      <w:highlight w:val="none"/>
                    </w:rPr>
                    <w:t>11</w:t>
                  </w:r>
                  <w:r>
                    <w:rPr>
                      <w:rFonts w:hint="eastAsia" w:ascii="宋体" w:hAnsi="宋体"/>
                      <w:color w:val="auto"/>
                      <w:kern w:val="0"/>
                      <w:sz w:val="21"/>
                      <w:szCs w:val="21"/>
                      <w:highlight w:val="none"/>
                    </w:rPr>
                    <w:t>月～第三年</w:t>
                  </w:r>
                  <w:r>
                    <w:rPr>
                      <w:color w:val="auto"/>
                      <w:kern w:val="0"/>
                      <w:sz w:val="21"/>
                      <w:szCs w:val="21"/>
                      <w:highlight w:val="none"/>
                    </w:rPr>
                    <w:t>10</w:t>
                  </w:r>
                  <w:r>
                    <w:rPr>
                      <w:rFonts w:hint="eastAsia" w:ascii="宋体" w:hAnsi="宋体"/>
                      <w:color w:val="auto"/>
                      <w:kern w:val="0"/>
                      <w:sz w:val="21"/>
                      <w:szCs w:val="21"/>
                      <w:highlight w:val="none"/>
                    </w:rPr>
                    <w:t>月</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主体工程施工期</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月</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20</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第二年</w:t>
                  </w:r>
                  <w:r>
                    <w:rPr>
                      <w:color w:val="auto"/>
                      <w:kern w:val="0"/>
                      <w:sz w:val="21"/>
                      <w:szCs w:val="21"/>
                      <w:highlight w:val="none"/>
                    </w:rPr>
                    <w:t>1</w:t>
                  </w:r>
                  <w:r>
                    <w:rPr>
                      <w:rFonts w:hint="eastAsia" w:ascii="宋体" w:hAnsi="宋体"/>
                      <w:color w:val="auto"/>
                      <w:kern w:val="0"/>
                      <w:sz w:val="21"/>
                      <w:szCs w:val="21"/>
                      <w:highlight w:val="none"/>
                    </w:rPr>
                    <w:t>月～第三年</w:t>
                  </w:r>
                  <w:r>
                    <w:rPr>
                      <w:color w:val="auto"/>
                      <w:kern w:val="0"/>
                      <w:sz w:val="21"/>
                      <w:szCs w:val="21"/>
                      <w:highlight w:val="none"/>
                    </w:rPr>
                    <w:t>8</w:t>
                  </w:r>
                  <w:r>
                    <w:rPr>
                      <w:rFonts w:hint="eastAsia" w:ascii="宋体" w:hAnsi="宋体"/>
                      <w:color w:val="auto"/>
                      <w:kern w:val="0"/>
                      <w:sz w:val="21"/>
                      <w:szCs w:val="21"/>
                      <w:highlight w:val="none"/>
                    </w:rPr>
                    <w:t>月</w:t>
                  </w:r>
                </w:p>
              </w:tc>
            </w:tr>
            <w:tr>
              <w:tblPrEx>
                <w:tblCellMar>
                  <w:top w:w="0" w:type="dxa"/>
                  <w:left w:w="108" w:type="dxa"/>
                  <w:bottom w:w="0" w:type="dxa"/>
                  <w:right w:w="108" w:type="dxa"/>
                </w:tblCellMar>
              </w:tblPrEx>
              <w:trPr>
                <w:trHeight w:val="28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六</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投资</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831"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枢纽</w:t>
                  </w:r>
                </w:p>
              </w:tc>
              <w:tc>
                <w:tcPr>
                  <w:tcW w:w="722"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灌区</w:t>
                  </w:r>
                </w:p>
              </w:tc>
            </w:tr>
            <w:tr>
              <w:tblPrEx>
                <w:tblCellMar>
                  <w:top w:w="0" w:type="dxa"/>
                  <w:left w:w="108" w:type="dxa"/>
                  <w:bottom w:w="0" w:type="dxa"/>
                  <w:right w:w="108" w:type="dxa"/>
                </w:tblCellMar>
              </w:tblPrEx>
              <w:trPr>
                <w:trHeight w:val="28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1</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工程部分静态总投资</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万元</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sz w:val="21"/>
                      <w:szCs w:val="21"/>
                      <w:highlight w:val="none"/>
                    </w:rPr>
                    <w:t xml:space="preserve">10354.08 </w:t>
                  </w:r>
                </w:p>
              </w:tc>
              <w:tc>
                <w:tcPr>
                  <w:tcW w:w="831"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sz w:val="21"/>
                      <w:szCs w:val="21"/>
                      <w:highlight w:val="none"/>
                    </w:rPr>
                    <w:t xml:space="preserve">7344.06 </w:t>
                  </w:r>
                </w:p>
              </w:tc>
              <w:tc>
                <w:tcPr>
                  <w:tcW w:w="722"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sz w:val="21"/>
                      <w:szCs w:val="21"/>
                      <w:highlight w:val="none"/>
                    </w:rPr>
                    <w:t xml:space="preserve">3010.02 </w:t>
                  </w:r>
                </w:p>
              </w:tc>
            </w:tr>
            <w:tr>
              <w:tblPrEx>
                <w:tblCellMar>
                  <w:top w:w="0" w:type="dxa"/>
                  <w:left w:w="108" w:type="dxa"/>
                  <w:bottom w:w="0" w:type="dxa"/>
                  <w:right w:w="108" w:type="dxa"/>
                </w:tblCellMar>
              </w:tblPrEx>
              <w:trPr>
                <w:trHeight w:val="28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w:t>
                  </w:r>
                  <w:r>
                    <w:rPr>
                      <w:color w:val="auto"/>
                      <w:kern w:val="0"/>
                      <w:sz w:val="21"/>
                      <w:szCs w:val="21"/>
                      <w:highlight w:val="none"/>
                    </w:rPr>
                    <w:t>1</w:t>
                  </w:r>
                  <w:r>
                    <w:rPr>
                      <w:rFonts w:hint="eastAsia" w:ascii="宋体" w:hAnsi="宋体"/>
                      <w:color w:val="auto"/>
                      <w:kern w:val="0"/>
                      <w:sz w:val="21"/>
                      <w:szCs w:val="21"/>
                      <w:highlight w:val="none"/>
                    </w:rPr>
                    <w:t>）</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建筑工程投资</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万元</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sz w:val="21"/>
                      <w:szCs w:val="21"/>
                      <w:highlight w:val="none"/>
                    </w:rPr>
                    <w:t xml:space="preserve">5965.86 </w:t>
                  </w:r>
                </w:p>
              </w:tc>
              <w:tc>
                <w:tcPr>
                  <w:tcW w:w="831"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sz w:val="21"/>
                      <w:szCs w:val="21"/>
                      <w:highlight w:val="none"/>
                    </w:rPr>
                    <w:t xml:space="preserve">4707.01 </w:t>
                  </w:r>
                </w:p>
              </w:tc>
              <w:tc>
                <w:tcPr>
                  <w:tcW w:w="722"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sz w:val="21"/>
                      <w:szCs w:val="21"/>
                      <w:highlight w:val="none"/>
                    </w:rPr>
                    <w:t xml:space="preserve">1258.86 </w:t>
                  </w:r>
                </w:p>
              </w:tc>
            </w:tr>
            <w:tr>
              <w:tblPrEx>
                <w:tblCellMar>
                  <w:top w:w="0" w:type="dxa"/>
                  <w:left w:w="108" w:type="dxa"/>
                  <w:bottom w:w="0" w:type="dxa"/>
                  <w:right w:w="108" w:type="dxa"/>
                </w:tblCellMar>
              </w:tblPrEx>
              <w:trPr>
                <w:trHeight w:val="28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w:t>
                  </w:r>
                  <w:r>
                    <w:rPr>
                      <w:color w:val="auto"/>
                      <w:kern w:val="0"/>
                      <w:sz w:val="21"/>
                      <w:szCs w:val="21"/>
                      <w:highlight w:val="none"/>
                    </w:rPr>
                    <w:t>2</w:t>
                  </w:r>
                  <w:r>
                    <w:rPr>
                      <w:rFonts w:hint="eastAsia" w:ascii="宋体" w:hAnsi="宋体"/>
                      <w:color w:val="auto"/>
                      <w:kern w:val="0"/>
                      <w:sz w:val="21"/>
                      <w:szCs w:val="21"/>
                      <w:highlight w:val="none"/>
                    </w:rPr>
                    <w:t>）</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机电设备及安装工程</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万元</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sz w:val="21"/>
                      <w:szCs w:val="21"/>
                      <w:highlight w:val="none"/>
                    </w:rPr>
                    <w:t xml:space="preserve">457.70 </w:t>
                  </w:r>
                </w:p>
              </w:tc>
              <w:tc>
                <w:tcPr>
                  <w:tcW w:w="831"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sz w:val="21"/>
                      <w:szCs w:val="21"/>
                      <w:highlight w:val="none"/>
                    </w:rPr>
                    <w:t xml:space="preserve">354.97 </w:t>
                  </w:r>
                </w:p>
              </w:tc>
              <w:tc>
                <w:tcPr>
                  <w:tcW w:w="722"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sz w:val="21"/>
                      <w:szCs w:val="21"/>
                      <w:highlight w:val="none"/>
                    </w:rPr>
                    <w:t xml:space="preserve">102.72 </w:t>
                  </w:r>
                </w:p>
              </w:tc>
            </w:tr>
            <w:tr>
              <w:tblPrEx>
                <w:tblCellMar>
                  <w:top w:w="0" w:type="dxa"/>
                  <w:left w:w="108" w:type="dxa"/>
                  <w:bottom w:w="0" w:type="dxa"/>
                  <w:right w:w="108" w:type="dxa"/>
                </w:tblCellMar>
              </w:tblPrEx>
              <w:trPr>
                <w:trHeight w:val="28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w:t>
                  </w:r>
                  <w:r>
                    <w:rPr>
                      <w:color w:val="auto"/>
                      <w:kern w:val="0"/>
                      <w:sz w:val="21"/>
                      <w:szCs w:val="21"/>
                      <w:highlight w:val="none"/>
                    </w:rPr>
                    <w:t>3</w:t>
                  </w:r>
                  <w:r>
                    <w:rPr>
                      <w:rFonts w:hint="eastAsia" w:ascii="宋体" w:hAnsi="宋体"/>
                      <w:color w:val="auto"/>
                      <w:kern w:val="0"/>
                      <w:sz w:val="21"/>
                      <w:szCs w:val="21"/>
                      <w:highlight w:val="none"/>
                    </w:rPr>
                    <w:t>）</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金属结构及安装工程</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万元</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sz w:val="21"/>
                      <w:szCs w:val="21"/>
                      <w:highlight w:val="none"/>
                    </w:rPr>
                    <w:t xml:space="preserve">1487.55 </w:t>
                  </w:r>
                </w:p>
              </w:tc>
              <w:tc>
                <w:tcPr>
                  <w:tcW w:w="831"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sz w:val="21"/>
                      <w:szCs w:val="21"/>
                      <w:highlight w:val="none"/>
                    </w:rPr>
                    <w:t xml:space="preserve">571.06 </w:t>
                  </w:r>
                </w:p>
              </w:tc>
              <w:tc>
                <w:tcPr>
                  <w:tcW w:w="722"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sz w:val="21"/>
                      <w:szCs w:val="21"/>
                      <w:highlight w:val="none"/>
                    </w:rPr>
                    <w:t xml:space="preserve">916.49 </w:t>
                  </w:r>
                </w:p>
              </w:tc>
            </w:tr>
            <w:tr>
              <w:tblPrEx>
                <w:tblCellMar>
                  <w:top w:w="0" w:type="dxa"/>
                  <w:left w:w="108" w:type="dxa"/>
                  <w:bottom w:w="0" w:type="dxa"/>
                  <w:right w:w="108" w:type="dxa"/>
                </w:tblCellMar>
              </w:tblPrEx>
              <w:trPr>
                <w:trHeight w:val="28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w:t>
                  </w:r>
                  <w:r>
                    <w:rPr>
                      <w:color w:val="auto"/>
                      <w:kern w:val="0"/>
                      <w:sz w:val="21"/>
                      <w:szCs w:val="21"/>
                      <w:highlight w:val="none"/>
                    </w:rPr>
                    <w:t>4</w:t>
                  </w:r>
                  <w:r>
                    <w:rPr>
                      <w:rFonts w:hint="eastAsia" w:ascii="宋体" w:hAnsi="宋体"/>
                      <w:color w:val="auto"/>
                      <w:kern w:val="0"/>
                      <w:sz w:val="21"/>
                      <w:szCs w:val="21"/>
                      <w:highlight w:val="none"/>
                    </w:rPr>
                    <w:t>）</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临时工程</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万元</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sz w:val="21"/>
                      <w:szCs w:val="21"/>
                      <w:highlight w:val="none"/>
                    </w:rPr>
                    <w:t xml:space="preserve">592.72 </w:t>
                  </w:r>
                </w:p>
              </w:tc>
              <w:tc>
                <w:tcPr>
                  <w:tcW w:w="831"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sz w:val="21"/>
                      <w:szCs w:val="21"/>
                      <w:highlight w:val="none"/>
                    </w:rPr>
                    <w:t xml:space="preserve">374.82 </w:t>
                  </w:r>
                </w:p>
              </w:tc>
              <w:tc>
                <w:tcPr>
                  <w:tcW w:w="722"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sz w:val="21"/>
                      <w:szCs w:val="21"/>
                      <w:highlight w:val="none"/>
                    </w:rPr>
                    <w:t xml:space="preserve">217.90 </w:t>
                  </w:r>
                </w:p>
              </w:tc>
            </w:tr>
            <w:tr>
              <w:tblPrEx>
                <w:tblCellMar>
                  <w:top w:w="0" w:type="dxa"/>
                  <w:left w:w="108" w:type="dxa"/>
                  <w:bottom w:w="0" w:type="dxa"/>
                  <w:right w:w="108" w:type="dxa"/>
                </w:tblCellMar>
              </w:tblPrEx>
              <w:trPr>
                <w:trHeight w:val="28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w:t>
                  </w:r>
                  <w:r>
                    <w:rPr>
                      <w:color w:val="auto"/>
                      <w:kern w:val="0"/>
                      <w:sz w:val="21"/>
                      <w:szCs w:val="21"/>
                      <w:highlight w:val="none"/>
                    </w:rPr>
                    <w:t>5</w:t>
                  </w:r>
                  <w:r>
                    <w:rPr>
                      <w:rFonts w:hint="eastAsia" w:ascii="宋体" w:hAnsi="宋体"/>
                      <w:color w:val="auto"/>
                      <w:kern w:val="0"/>
                      <w:sz w:val="21"/>
                      <w:szCs w:val="21"/>
                      <w:highlight w:val="none"/>
                    </w:rPr>
                    <w:t>）</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独立费用</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万元</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sz w:val="21"/>
                      <w:szCs w:val="21"/>
                      <w:highlight w:val="none"/>
                    </w:rPr>
                    <w:t xml:space="preserve">1357.19 </w:t>
                  </w:r>
                </w:p>
              </w:tc>
              <w:tc>
                <w:tcPr>
                  <w:tcW w:w="831"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sz w:val="21"/>
                      <w:szCs w:val="21"/>
                      <w:highlight w:val="none"/>
                    </w:rPr>
                    <w:t xml:space="preserve">986.48 </w:t>
                  </w:r>
                </w:p>
              </w:tc>
              <w:tc>
                <w:tcPr>
                  <w:tcW w:w="722"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sz w:val="21"/>
                      <w:szCs w:val="21"/>
                      <w:highlight w:val="none"/>
                    </w:rPr>
                    <w:t xml:space="preserve">370.72 </w:t>
                  </w:r>
                </w:p>
              </w:tc>
            </w:tr>
            <w:tr>
              <w:tblPrEx>
                <w:tblCellMar>
                  <w:top w:w="0" w:type="dxa"/>
                  <w:left w:w="108" w:type="dxa"/>
                  <w:bottom w:w="0" w:type="dxa"/>
                  <w:right w:w="108" w:type="dxa"/>
                </w:tblCellMar>
              </w:tblPrEx>
              <w:trPr>
                <w:trHeight w:val="28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w:t>
                  </w:r>
                  <w:r>
                    <w:rPr>
                      <w:color w:val="auto"/>
                      <w:kern w:val="0"/>
                      <w:sz w:val="21"/>
                      <w:szCs w:val="21"/>
                      <w:highlight w:val="none"/>
                    </w:rPr>
                    <w:t>6</w:t>
                  </w:r>
                  <w:r>
                    <w:rPr>
                      <w:rFonts w:hint="eastAsia" w:ascii="宋体" w:hAnsi="宋体"/>
                      <w:color w:val="auto"/>
                      <w:kern w:val="0"/>
                      <w:sz w:val="21"/>
                      <w:szCs w:val="21"/>
                      <w:highlight w:val="none"/>
                    </w:rPr>
                    <w:t>）</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基本预备费</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万元</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sz w:val="21"/>
                      <w:szCs w:val="21"/>
                      <w:highlight w:val="none"/>
                    </w:rPr>
                    <w:t xml:space="preserve">493.05 </w:t>
                  </w:r>
                </w:p>
              </w:tc>
              <w:tc>
                <w:tcPr>
                  <w:tcW w:w="831"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sz w:val="21"/>
                      <w:szCs w:val="21"/>
                      <w:highlight w:val="none"/>
                    </w:rPr>
                    <w:t xml:space="preserve">349.72 </w:t>
                  </w:r>
                </w:p>
              </w:tc>
              <w:tc>
                <w:tcPr>
                  <w:tcW w:w="722"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sz w:val="21"/>
                      <w:szCs w:val="21"/>
                      <w:highlight w:val="none"/>
                    </w:rPr>
                    <w:t xml:space="preserve">143.33 </w:t>
                  </w:r>
                </w:p>
              </w:tc>
            </w:tr>
            <w:tr>
              <w:tblPrEx>
                <w:tblCellMar>
                  <w:top w:w="0" w:type="dxa"/>
                  <w:left w:w="108" w:type="dxa"/>
                  <w:bottom w:w="0" w:type="dxa"/>
                  <w:right w:w="108" w:type="dxa"/>
                </w:tblCellMar>
              </w:tblPrEx>
              <w:trPr>
                <w:trHeight w:val="28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2</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移民征地补偿投资</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万元</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sz w:val="21"/>
                      <w:szCs w:val="21"/>
                      <w:highlight w:val="none"/>
                    </w:rPr>
                    <w:t xml:space="preserve">4687.94 </w:t>
                  </w:r>
                </w:p>
              </w:tc>
              <w:tc>
                <w:tcPr>
                  <w:tcW w:w="831"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sz w:val="21"/>
                      <w:szCs w:val="21"/>
                      <w:highlight w:val="none"/>
                    </w:rPr>
                    <w:t xml:space="preserve">4489.02 </w:t>
                  </w:r>
                </w:p>
              </w:tc>
              <w:tc>
                <w:tcPr>
                  <w:tcW w:w="722"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sz w:val="21"/>
                      <w:szCs w:val="21"/>
                      <w:highlight w:val="none"/>
                    </w:rPr>
                    <w:t xml:space="preserve">198.92 </w:t>
                  </w:r>
                </w:p>
              </w:tc>
            </w:tr>
            <w:tr>
              <w:tblPrEx>
                <w:tblCellMar>
                  <w:top w:w="0" w:type="dxa"/>
                  <w:left w:w="108" w:type="dxa"/>
                  <w:bottom w:w="0" w:type="dxa"/>
                  <w:right w:w="108" w:type="dxa"/>
                </w:tblCellMar>
              </w:tblPrEx>
              <w:trPr>
                <w:trHeight w:val="28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3</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环境保护工程</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万元</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sz w:val="21"/>
                      <w:szCs w:val="21"/>
                      <w:highlight w:val="none"/>
                    </w:rPr>
                    <w:t xml:space="preserve">218.75 </w:t>
                  </w:r>
                </w:p>
              </w:tc>
              <w:tc>
                <w:tcPr>
                  <w:tcW w:w="831"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sz w:val="21"/>
                      <w:szCs w:val="21"/>
                      <w:highlight w:val="none"/>
                    </w:rPr>
                    <w:t xml:space="preserve">141.75 </w:t>
                  </w:r>
                </w:p>
              </w:tc>
              <w:tc>
                <w:tcPr>
                  <w:tcW w:w="722"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sz w:val="21"/>
                      <w:szCs w:val="21"/>
                      <w:highlight w:val="none"/>
                    </w:rPr>
                    <w:t xml:space="preserve">77.00 </w:t>
                  </w:r>
                </w:p>
              </w:tc>
            </w:tr>
            <w:tr>
              <w:tblPrEx>
                <w:tblCellMar>
                  <w:top w:w="0" w:type="dxa"/>
                  <w:left w:w="108" w:type="dxa"/>
                  <w:bottom w:w="0" w:type="dxa"/>
                  <w:right w:w="108" w:type="dxa"/>
                </w:tblCellMar>
              </w:tblPrEx>
              <w:trPr>
                <w:trHeight w:val="28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4</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水土保持工程</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万元</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sz w:val="21"/>
                      <w:szCs w:val="21"/>
                      <w:highlight w:val="none"/>
                    </w:rPr>
                    <w:t xml:space="preserve">554.97 </w:t>
                  </w:r>
                </w:p>
              </w:tc>
              <w:tc>
                <w:tcPr>
                  <w:tcW w:w="831"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sz w:val="21"/>
                      <w:szCs w:val="21"/>
                      <w:highlight w:val="none"/>
                    </w:rPr>
                    <w:t xml:space="preserve">381.81 </w:t>
                  </w:r>
                </w:p>
              </w:tc>
              <w:tc>
                <w:tcPr>
                  <w:tcW w:w="722"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sz w:val="21"/>
                      <w:szCs w:val="21"/>
                      <w:highlight w:val="none"/>
                    </w:rPr>
                    <w:t xml:space="preserve">173.16 </w:t>
                  </w:r>
                </w:p>
              </w:tc>
            </w:tr>
            <w:tr>
              <w:tblPrEx>
                <w:tblCellMar>
                  <w:top w:w="0" w:type="dxa"/>
                  <w:left w:w="108" w:type="dxa"/>
                  <w:bottom w:w="0" w:type="dxa"/>
                  <w:right w:w="108" w:type="dxa"/>
                </w:tblCellMar>
              </w:tblPrEx>
              <w:trPr>
                <w:trHeight w:val="28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b/>
                      <w:bCs/>
                      <w:color w:val="auto"/>
                      <w:kern w:val="0"/>
                      <w:sz w:val="21"/>
                      <w:szCs w:val="21"/>
                      <w:highlight w:val="none"/>
                    </w:rPr>
                  </w:pPr>
                  <w:r>
                    <w:rPr>
                      <w:b/>
                      <w:bCs/>
                      <w:color w:val="auto"/>
                      <w:kern w:val="0"/>
                      <w:sz w:val="21"/>
                      <w:szCs w:val="21"/>
                      <w:highlight w:val="none"/>
                    </w:rPr>
                    <w:t>5</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b/>
                      <w:bCs/>
                      <w:color w:val="auto"/>
                      <w:kern w:val="0"/>
                      <w:sz w:val="21"/>
                      <w:szCs w:val="21"/>
                      <w:highlight w:val="none"/>
                    </w:rPr>
                  </w:pPr>
                  <w:r>
                    <w:rPr>
                      <w:rFonts w:hint="eastAsia" w:ascii="宋体" w:hAnsi="宋体"/>
                      <w:b/>
                      <w:bCs/>
                      <w:color w:val="auto"/>
                      <w:kern w:val="0"/>
                      <w:sz w:val="21"/>
                      <w:szCs w:val="21"/>
                      <w:highlight w:val="none"/>
                    </w:rPr>
                    <w:t>总投资合计</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b/>
                      <w:bCs/>
                      <w:color w:val="auto"/>
                      <w:kern w:val="0"/>
                      <w:sz w:val="21"/>
                      <w:szCs w:val="21"/>
                      <w:highlight w:val="none"/>
                    </w:rPr>
                  </w:pPr>
                  <w:r>
                    <w:rPr>
                      <w:rFonts w:hint="eastAsia" w:ascii="宋体" w:hAnsi="宋体"/>
                      <w:b/>
                      <w:bCs/>
                      <w:color w:val="auto"/>
                      <w:kern w:val="0"/>
                      <w:sz w:val="21"/>
                      <w:szCs w:val="21"/>
                      <w:highlight w:val="none"/>
                    </w:rPr>
                    <w:t>万元</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b/>
                      <w:bCs/>
                      <w:color w:val="auto"/>
                      <w:kern w:val="0"/>
                      <w:sz w:val="21"/>
                      <w:szCs w:val="21"/>
                      <w:highlight w:val="none"/>
                    </w:rPr>
                  </w:pPr>
                  <w:r>
                    <w:rPr>
                      <w:b/>
                      <w:bCs/>
                      <w:color w:val="auto"/>
                      <w:sz w:val="21"/>
                      <w:szCs w:val="21"/>
                      <w:highlight w:val="none"/>
                    </w:rPr>
                    <w:t xml:space="preserve">15815.74 </w:t>
                  </w:r>
                </w:p>
              </w:tc>
              <w:tc>
                <w:tcPr>
                  <w:tcW w:w="831"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b/>
                      <w:bCs/>
                      <w:color w:val="auto"/>
                      <w:kern w:val="0"/>
                      <w:sz w:val="21"/>
                      <w:szCs w:val="21"/>
                      <w:highlight w:val="none"/>
                    </w:rPr>
                  </w:pPr>
                  <w:r>
                    <w:rPr>
                      <w:b/>
                      <w:bCs/>
                      <w:color w:val="auto"/>
                      <w:sz w:val="21"/>
                      <w:szCs w:val="21"/>
                      <w:highlight w:val="none"/>
                    </w:rPr>
                    <w:t xml:space="preserve">12356.64 </w:t>
                  </w:r>
                </w:p>
              </w:tc>
              <w:tc>
                <w:tcPr>
                  <w:tcW w:w="722"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b/>
                      <w:bCs/>
                      <w:color w:val="auto"/>
                      <w:kern w:val="0"/>
                      <w:sz w:val="21"/>
                      <w:szCs w:val="21"/>
                      <w:highlight w:val="none"/>
                    </w:rPr>
                  </w:pPr>
                  <w:r>
                    <w:rPr>
                      <w:b/>
                      <w:bCs/>
                      <w:color w:val="auto"/>
                      <w:sz w:val="21"/>
                      <w:szCs w:val="21"/>
                      <w:highlight w:val="none"/>
                    </w:rPr>
                    <w:t xml:space="preserve">3459.10 </w:t>
                  </w:r>
                </w:p>
              </w:tc>
            </w:tr>
            <w:tr>
              <w:tblPrEx>
                <w:tblCellMar>
                  <w:top w:w="0" w:type="dxa"/>
                  <w:left w:w="108" w:type="dxa"/>
                  <w:bottom w:w="0" w:type="dxa"/>
                  <w:right w:w="108" w:type="dxa"/>
                </w:tblCellMar>
              </w:tblPrEx>
              <w:trPr>
                <w:trHeight w:val="28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七</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综合利用经济指标</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320" w:hRule="atLeast"/>
              </w:trPr>
              <w:tc>
                <w:tcPr>
                  <w:tcW w:w="375" w:type="pct"/>
                  <w:tcBorders>
                    <w:top w:val="nil"/>
                    <w:left w:val="single" w:color="auto" w:sz="4" w:space="0"/>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1</w:t>
                  </w:r>
                </w:p>
              </w:tc>
              <w:tc>
                <w:tcPr>
                  <w:tcW w:w="1956"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rFonts w:hint="eastAsia" w:ascii="宋体" w:hAnsi="宋体"/>
                      <w:color w:val="auto"/>
                      <w:kern w:val="0"/>
                      <w:sz w:val="21"/>
                      <w:szCs w:val="21"/>
                      <w:highlight w:val="none"/>
                    </w:rPr>
                    <w:t>单位供水量投资</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元</w:t>
                  </w:r>
                  <w:r>
                    <w:rPr>
                      <w:color w:val="auto"/>
                      <w:kern w:val="0"/>
                      <w:sz w:val="21"/>
                      <w:szCs w:val="21"/>
                      <w:highlight w:val="none"/>
                    </w:rPr>
                    <w:t>/ m</w:t>
                  </w:r>
                  <w:r>
                    <w:rPr>
                      <w:color w:val="auto"/>
                      <w:kern w:val="0"/>
                      <w:sz w:val="21"/>
                      <w:szCs w:val="21"/>
                      <w:highlight w:val="none"/>
                      <w:vertAlign w:val="superscript"/>
                    </w:rPr>
                    <w:t>3</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77.5</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320" w:hRule="atLeast"/>
              </w:trPr>
              <w:tc>
                <w:tcPr>
                  <w:tcW w:w="375" w:type="pc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2</w:t>
                  </w:r>
                </w:p>
              </w:tc>
              <w:tc>
                <w:tcPr>
                  <w:tcW w:w="1956"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color w:val="auto"/>
                      <w:kern w:val="0"/>
                      <w:sz w:val="21"/>
                      <w:szCs w:val="21"/>
                      <w:highlight w:val="none"/>
                    </w:rPr>
                    <w:t>单位库容投资</w:t>
                  </w:r>
                </w:p>
              </w:tc>
              <w:tc>
                <w:tcPr>
                  <w:tcW w:w="46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rFonts w:hint="eastAsia" w:ascii="宋体" w:hAnsi="宋体"/>
                      <w:color w:val="auto"/>
                      <w:kern w:val="0"/>
                      <w:sz w:val="21"/>
                      <w:szCs w:val="21"/>
                      <w:highlight w:val="none"/>
                    </w:rPr>
                    <w:t>元</w:t>
                  </w:r>
                  <w:r>
                    <w:rPr>
                      <w:color w:val="auto"/>
                      <w:kern w:val="0"/>
                      <w:sz w:val="21"/>
                      <w:szCs w:val="21"/>
                      <w:highlight w:val="none"/>
                    </w:rPr>
                    <w:t>/ m</w:t>
                  </w:r>
                  <w:r>
                    <w:rPr>
                      <w:color w:val="auto"/>
                      <w:kern w:val="0"/>
                      <w:sz w:val="21"/>
                      <w:szCs w:val="21"/>
                      <w:highlight w:val="none"/>
                      <w:vertAlign w:val="superscript"/>
                    </w:rPr>
                    <w:t>3</w:t>
                  </w:r>
                </w:p>
              </w:tc>
              <w:tc>
                <w:tcPr>
                  <w:tcW w:w="648" w:type="pct"/>
                  <w:tcBorders>
                    <w:top w:val="nil"/>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xml:space="preserve">84.0 </w:t>
                  </w:r>
                </w:p>
              </w:tc>
              <w:tc>
                <w:tcPr>
                  <w:tcW w:w="1553" w:type="pct"/>
                  <w:gridSpan w:val="2"/>
                  <w:tcBorders>
                    <w:top w:val="single" w:color="auto" w:sz="4" w:space="0"/>
                    <w:left w:val="nil"/>
                    <w:bottom w:val="single" w:color="auto" w:sz="4" w:space="0"/>
                    <w:right w:val="single" w:color="auto" w:sz="4" w:space="0"/>
                  </w:tcBorders>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tblPrEx>
                <w:tblCellMar>
                  <w:top w:w="0" w:type="dxa"/>
                  <w:left w:w="108" w:type="dxa"/>
                  <w:bottom w:w="0" w:type="dxa"/>
                  <w:right w:w="108" w:type="dxa"/>
                </w:tblCellMar>
              </w:tblPrEx>
              <w:trPr>
                <w:trHeight w:val="270" w:hRule="atLeast"/>
              </w:trPr>
              <w:tc>
                <w:tcPr>
                  <w:tcW w:w="375" w:type="pc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3</w:t>
                  </w:r>
                </w:p>
              </w:tc>
              <w:tc>
                <w:tcPr>
                  <w:tcW w:w="4625" w:type="pct"/>
                  <w:gridSpan w:val="5"/>
                  <w:tcBorders>
                    <w:top w:val="single" w:color="auto" w:sz="4" w:space="0"/>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left"/>
                    <w:rPr>
                      <w:color w:val="auto"/>
                      <w:kern w:val="0"/>
                      <w:sz w:val="21"/>
                      <w:szCs w:val="21"/>
                      <w:highlight w:val="none"/>
                    </w:rPr>
                  </w:pPr>
                  <w:r>
                    <w:rPr>
                      <w:color w:val="auto"/>
                      <w:kern w:val="0"/>
                      <w:sz w:val="21"/>
                      <w:szCs w:val="21"/>
                      <w:highlight w:val="none"/>
                    </w:rPr>
                    <w:t>经济评价：</w:t>
                  </w:r>
                  <w:r>
                    <w:rPr>
                      <w:rFonts w:hint="eastAsia"/>
                      <w:color w:val="auto"/>
                      <w:kern w:val="0"/>
                      <w:sz w:val="21"/>
                      <w:szCs w:val="21"/>
                      <w:highlight w:val="none"/>
                    </w:rPr>
                    <w:t>经济内部收益率9.6%，经济净现值</w:t>
                  </w:r>
                  <w:r>
                    <w:rPr>
                      <w:color w:val="auto"/>
                      <w:kern w:val="0"/>
                      <w:sz w:val="21"/>
                      <w:szCs w:val="21"/>
                      <w:highlight w:val="none"/>
                    </w:rPr>
                    <w:t>2163.77</w:t>
                  </w:r>
                  <w:r>
                    <w:rPr>
                      <w:rFonts w:hint="eastAsia"/>
                      <w:color w:val="auto"/>
                      <w:kern w:val="0"/>
                      <w:sz w:val="21"/>
                      <w:szCs w:val="21"/>
                      <w:highlight w:val="none"/>
                    </w:rPr>
                    <w:t>万元，效益费用比1.15</w:t>
                  </w:r>
                </w:p>
              </w:tc>
            </w:tr>
          </w:tbl>
          <w:p>
            <w:pPr>
              <w:adjustRightInd w:val="0"/>
              <w:snapToGrid w:val="0"/>
              <w:spacing w:line="360" w:lineRule="auto"/>
              <w:jc w:val="center"/>
              <w:rPr>
                <w:rFonts w:hint="default" w:ascii="Times New Roman" w:hAnsi="Times New Roman" w:eastAsia="宋体" w:cs="Times New Roman"/>
                <w:color w:val="auto"/>
                <w:kern w:val="0"/>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2" w:type="dxa"/>
            <w:vAlign w:val="center"/>
          </w:tcPr>
          <w:p>
            <w:pPr>
              <w:adjustRightInd w:val="0"/>
              <w:snapToGrid w:val="0"/>
              <w:spacing w:line="36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总平面及现场布置</w:t>
            </w:r>
          </w:p>
        </w:tc>
        <w:tc>
          <w:tcPr>
            <w:tcW w:w="8555" w:type="dxa"/>
            <w:vAlign w:val="center"/>
          </w:tcPr>
          <w:p>
            <w:pPr>
              <w:pStyle w:val="99"/>
              <w:spacing w:line="360" w:lineRule="auto"/>
              <w:ind w:firstLine="480"/>
              <w:rPr>
                <w:rFonts w:hint="default" w:ascii="Times New Roman" w:hAnsi="Times New Roman" w:eastAsia="宋体" w:cs="Times New Roman"/>
                <w:color w:val="auto"/>
                <w:sz w:val="21"/>
                <w:szCs w:val="21"/>
                <w:highlight w:val="none"/>
                <w:lang w:val="en-US" w:eastAsia="zh-CN" w:bidi="en-US"/>
              </w:rPr>
            </w:pPr>
            <w:r>
              <w:rPr>
                <w:rFonts w:hint="eastAsia" w:cs="Times New Roman"/>
                <w:color w:val="auto"/>
                <w:sz w:val="21"/>
                <w:szCs w:val="21"/>
                <w:highlight w:val="none"/>
                <w:lang w:val="en-US" w:eastAsia="zh-CN" w:bidi="en-US"/>
              </w:rPr>
              <w:t>1、总平面布置</w:t>
            </w:r>
          </w:p>
          <w:p>
            <w:pPr>
              <w:suppressAutoHyphens/>
              <w:spacing w:line="360" w:lineRule="auto"/>
              <w:ind w:firstLine="48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（1）枢纽工程</w:t>
            </w:r>
          </w:p>
          <w:p>
            <w:pPr>
              <w:suppressAutoHyphens/>
              <w:spacing w:line="360" w:lineRule="auto"/>
              <w:ind w:firstLine="48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枢纽工程包括大坝、补水拦河堰及补水渠。</w:t>
            </w:r>
          </w:p>
          <w:p>
            <w:pPr>
              <w:suppressAutoHyphens/>
              <w:autoSpaceDE w:val="0"/>
              <w:autoSpaceDN w:val="0"/>
              <w:spacing w:line="360" w:lineRule="auto"/>
              <w:ind w:firstLine="48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en-US"/>
              </w:rPr>
              <w:t>大坝布置于右支沟峡口处，距下游汇口0.34km，</w:t>
            </w:r>
            <w:r>
              <w:rPr>
                <w:rFonts w:hint="default" w:ascii="Times New Roman" w:hAnsi="Times New Roman" w:cs="Times New Roman"/>
                <w:color w:val="auto"/>
                <w:sz w:val="21"/>
                <w:szCs w:val="21"/>
                <w:highlight w:val="none"/>
              </w:rPr>
              <w:t>为埋石混凝土重力坝。坝顶轴线长150m，坝顶高程611.00m，最大坝高33m。大坝采用开敞式表孔溢流，溢流堰宽6m，布置于桩号0+046~0+052处，堰顶高程609.00m。于大坝桩号0+039.50、0+042.50分别布置DN500取水管、DN600放空管；取水管中心线高程589.50m，设计取水流量0.24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/s；放空管中心线高程588.00m；放空管出口设生态放水岔管。大坝左岸新建上坝公路0.60km，连接至村道。于大坝左岸靠近上坝公路新建管理房，建筑面积200m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p>
          <w:p>
            <w:pPr>
              <w:suppressAutoHyphens/>
              <w:autoSpaceDE w:val="0"/>
              <w:autoSpaceDN w:val="0"/>
              <w:spacing w:line="360" w:lineRule="auto"/>
              <w:ind w:firstLine="48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补水拦河堰</w:t>
            </w:r>
            <w:r>
              <w:rPr>
                <w:rFonts w:hint="default" w:ascii="Times New Roman" w:hAnsi="Times New Roman" w:cs="Times New Roman"/>
                <w:color w:val="auto"/>
                <w:sz w:val="21"/>
                <w:szCs w:val="21"/>
                <w:highlight w:val="none"/>
                <w:lang w:bidi="en-US"/>
              </w:rPr>
              <w:t>布置于主沟花池水厂取水石河堰上游</w:t>
            </w:r>
            <w:r>
              <w:rPr>
                <w:rFonts w:hint="default" w:ascii="Times New Roman" w:hAnsi="Times New Roman" w:cs="Times New Roman"/>
                <w:color w:val="auto"/>
                <w:sz w:val="21"/>
                <w:szCs w:val="21"/>
                <w:highlight w:val="none"/>
                <w:u w:color="FF0000"/>
              </w:rPr>
              <w:t>0.4km</w:t>
            </w:r>
            <w:r>
              <w:rPr>
                <w:rFonts w:hint="default" w:ascii="Times New Roman" w:hAnsi="Times New Roman" w:cs="Times New Roman"/>
                <w:color w:val="auto"/>
                <w:sz w:val="21"/>
                <w:szCs w:val="21"/>
                <w:highlight w:val="none"/>
                <w:lang w:bidi="en-US"/>
              </w:rPr>
              <w:t>处，</w:t>
            </w:r>
            <w:r>
              <w:rPr>
                <w:rFonts w:hint="default" w:ascii="Times New Roman" w:hAnsi="Times New Roman" w:cs="Times New Roman"/>
                <w:color w:val="auto"/>
                <w:sz w:val="21"/>
                <w:szCs w:val="21"/>
                <w:highlight w:val="none"/>
              </w:rPr>
              <w:t>坝轴线总长22.4m，从右岸至左岸依次布置溢流坝、冲沙闸、取水闸。溢流坝长16m，坝高7.5m，为混凝土折线型实用堰；冲沙闸孔口尺寸1.5×1.5m；取水闸孔口尺寸1.4×1.4m，最大引水流量4m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/s。</w:t>
            </w:r>
          </w:p>
          <w:p>
            <w:pPr>
              <w:suppressAutoHyphens/>
              <w:autoSpaceDE w:val="0"/>
              <w:autoSpaceDN w:val="0"/>
              <w:spacing w:line="360" w:lineRule="auto"/>
              <w:ind w:firstLine="48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补水渠全长1.435km，采用DN1400有压管道，自北东向南西输水至库尾。</w:t>
            </w:r>
          </w:p>
          <w:p>
            <w:pPr>
              <w:suppressAutoHyphens/>
              <w:spacing w:line="360" w:lineRule="auto"/>
              <w:ind w:firstLine="48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管理房于大坝左岸靠近上坝公路布置，为双层钢筋混凝土框架结构。</w:t>
            </w:r>
          </w:p>
          <w:p>
            <w:pPr>
              <w:suppressAutoHyphens/>
              <w:spacing w:line="360" w:lineRule="auto"/>
              <w:ind w:firstLine="48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（2）灌区工程</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cs="Times New Roman"/>
                <w:color w:val="auto"/>
                <w:sz w:val="21"/>
                <w:szCs w:val="21"/>
                <w:highlight w:val="none"/>
              </w:rPr>
              <w:t>灌区工程包括供水干管、灌溉干管和花池供水支管，总长15.73km。供水干管引水流量0.10m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/s，长8.222km，自北西向南东引水至胡家镇冯家咀水厂；灌溉干管引水流量0.14 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/s，长7.168km，灌溉沿程耕园地5600亩；花池供水支管于供水干管桩号1+411处分水，引水流量0.01m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/s，长0.340km，自东向西输水至花池水厂。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2、施工总布置</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s="Times New Roman"/>
                <w:color w:val="auto"/>
                <w:kern w:val="0"/>
                <w:sz w:val="21"/>
                <w:szCs w:val="21"/>
                <w:highlight w:val="none"/>
                <w:lang w:val="en-US" w:eastAsia="zh-CN"/>
              </w:rPr>
            </w:pPr>
            <w:r>
              <w:rPr>
                <w:rFonts w:hint="eastAsia"/>
                <w:color w:val="auto"/>
                <w:highlight w:val="none"/>
              </w:rPr>
              <w:t>本工程设置2个施工区，包含：枢纽工程</w:t>
            </w:r>
            <w:r>
              <w:rPr>
                <w:color w:val="auto"/>
                <w:highlight w:val="none"/>
              </w:rPr>
              <w:t>设</w:t>
            </w:r>
            <w:r>
              <w:rPr>
                <w:rFonts w:hint="eastAsia"/>
                <w:color w:val="auto"/>
                <w:highlight w:val="none"/>
              </w:rPr>
              <w:t>1</w:t>
            </w:r>
            <w:r>
              <w:rPr>
                <w:color w:val="auto"/>
                <w:highlight w:val="none"/>
              </w:rPr>
              <w:t>个施工区</w:t>
            </w:r>
            <w:r>
              <w:rPr>
                <w:rFonts w:hint="eastAsia"/>
                <w:color w:val="auto"/>
                <w:highlight w:val="none"/>
              </w:rPr>
              <w:t>，灌区工程设1个施工区。</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s="Times New Roman"/>
                <w:color w:val="auto"/>
                <w:kern w:val="0"/>
                <w:sz w:val="21"/>
                <w:szCs w:val="21"/>
                <w:highlight w:val="none"/>
                <w:lang w:val="en-US" w:eastAsia="zh-CN"/>
              </w:rPr>
            </w:pPr>
            <w:r>
              <w:rPr>
                <w:rFonts w:hint="eastAsia"/>
                <w:color w:val="auto"/>
                <w:highlight w:val="none"/>
              </w:rPr>
              <w:t>枢纽工程施工区</w:t>
            </w:r>
            <w:r>
              <w:rPr>
                <w:color w:val="auto"/>
                <w:highlight w:val="none"/>
              </w:rPr>
              <w:t>主要负责大坝、</w:t>
            </w:r>
            <w:r>
              <w:rPr>
                <w:rFonts w:hint="eastAsia"/>
                <w:color w:val="auto"/>
                <w:highlight w:val="none"/>
              </w:rPr>
              <w:t>补水拦河堰及补水渠、上坝公路及管理房等</w:t>
            </w:r>
            <w:r>
              <w:rPr>
                <w:color w:val="auto"/>
                <w:highlight w:val="none"/>
              </w:rPr>
              <w:t>施工</w:t>
            </w:r>
            <w:r>
              <w:rPr>
                <w:rFonts w:hint="eastAsia"/>
                <w:color w:val="auto"/>
                <w:highlight w:val="none"/>
              </w:rPr>
              <w:t>，</w:t>
            </w:r>
            <w:r>
              <w:rPr>
                <w:color w:val="auto"/>
                <w:highlight w:val="none"/>
              </w:rPr>
              <w:t>工区内布置有混凝</w:t>
            </w:r>
            <w:r>
              <w:rPr>
                <w:rFonts w:hint="eastAsia"/>
                <w:color w:val="auto"/>
                <w:highlight w:val="none"/>
                <w:lang w:eastAsia="zh-CN"/>
              </w:rPr>
              <w:t>土拌和站</w:t>
            </w:r>
            <w:r>
              <w:rPr>
                <w:color w:val="auto"/>
                <w:highlight w:val="none"/>
              </w:rPr>
              <w:t>、</w:t>
            </w:r>
            <w:r>
              <w:rPr>
                <w:rFonts w:hint="eastAsia"/>
                <w:color w:val="auto"/>
                <w:highlight w:val="none"/>
              </w:rPr>
              <w:t>砂石堆存料场、</w:t>
            </w:r>
            <w:r>
              <w:rPr>
                <w:color w:val="auto"/>
                <w:highlight w:val="none"/>
              </w:rPr>
              <w:t>闸门及金属结构拼装场、机械设备停放场、简易机械设备修理厂、钢筋综合加工厂、仓库、办公</w:t>
            </w:r>
            <w:r>
              <w:rPr>
                <w:rFonts w:hint="eastAsia"/>
                <w:color w:val="auto"/>
                <w:highlight w:val="none"/>
              </w:rPr>
              <w:t>生活</w:t>
            </w:r>
            <w:r>
              <w:rPr>
                <w:color w:val="auto"/>
                <w:highlight w:val="none"/>
              </w:rPr>
              <w:t>设施等。</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kern w:val="0"/>
                <w:sz w:val="21"/>
                <w:szCs w:val="21"/>
                <w:highlight w:val="none"/>
                <w:lang w:val="en-US"/>
              </w:rPr>
            </w:pPr>
            <w:r>
              <w:rPr>
                <w:rFonts w:hint="eastAsia"/>
                <w:color w:val="auto"/>
                <w:highlight w:val="none"/>
              </w:rPr>
              <w:t>灌区工程施工区采取分散布置的方式</w:t>
            </w:r>
            <w:r>
              <w:rPr>
                <w:color w:val="auto"/>
                <w:highlight w:val="none"/>
              </w:rPr>
              <w:t>。工区内主要布置钢筋综合加工厂，移动</w:t>
            </w:r>
            <w:r>
              <w:rPr>
                <w:rFonts w:hint="eastAsia"/>
                <w:color w:val="auto"/>
                <w:highlight w:val="none"/>
                <w:lang w:eastAsia="zh-CN"/>
              </w:rPr>
              <w:t>拌和站</w:t>
            </w:r>
            <w:r>
              <w:rPr>
                <w:color w:val="auto"/>
                <w:highlight w:val="none"/>
              </w:rPr>
              <w:t>、仓库、施工机械停放场、简易机械设备修理厂、办公室设施等，满足工程施工的要求。各工区内分散布置施工作业点，并设置相应的临时设施，满足施工需要。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0" w:hRule="atLeast"/>
          <w:jc w:val="center"/>
        </w:trPr>
        <w:tc>
          <w:tcPr>
            <w:tcW w:w="1102" w:type="dxa"/>
            <w:vAlign w:val="center"/>
          </w:tcPr>
          <w:p>
            <w:pPr>
              <w:adjustRightInd w:val="0"/>
              <w:snapToGrid w:val="0"/>
              <w:spacing w:line="36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施工</w:t>
            </w:r>
          </w:p>
          <w:p>
            <w:pPr>
              <w:adjustRightInd w:val="0"/>
              <w:snapToGrid w:val="0"/>
              <w:spacing w:line="36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方案</w:t>
            </w:r>
          </w:p>
        </w:tc>
        <w:tc>
          <w:tcPr>
            <w:tcW w:w="855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val="0"/>
                <w:color w:val="auto"/>
                <w:kern w:val="0"/>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2.</w:t>
            </w:r>
            <w:r>
              <w:rPr>
                <w:rFonts w:hint="eastAsia" w:cs="Times New Roman"/>
                <w:b/>
                <w:bCs w:val="0"/>
                <w:color w:val="auto"/>
                <w:sz w:val="21"/>
                <w:szCs w:val="21"/>
                <w:highlight w:val="none"/>
                <w:lang w:val="en-US" w:eastAsia="zh-CN"/>
              </w:rPr>
              <w:t>9</w:t>
            </w:r>
            <w:r>
              <w:rPr>
                <w:rFonts w:hint="default" w:ascii="Times New Roman" w:hAnsi="Times New Roman" w:eastAsia="宋体" w:cs="Times New Roman"/>
                <w:b/>
                <w:bCs w:val="0"/>
                <w:color w:val="auto"/>
                <w:sz w:val="21"/>
                <w:szCs w:val="21"/>
                <w:highlight w:val="none"/>
              </w:rPr>
              <w:t>施工</w:t>
            </w:r>
            <w:r>
              <w:rPr>
                <w:rFonts w:hint="default" w:ascii="Times New Roman" w:hAnsi="Times New Roman" w:cs="Times New Roman"/>
                <w:b/>
                <w:bCs w:val="0"/>
                <w:color w:val="auto"/>
                <w:sz w:val="21"/>
                <w:szCs w:val="21"/>
                <w:highlight w:val="none"/>
                <w:lang w:val="en-US" w:eastAsia="zh-CN"/>
              </w:rPr>
              <w:t>方案</w:t>
            </w:r>
          </w:p>
          <w:p>
            <w:pPr>
              <w:pStyle w:val="5"/>
              <w:pageBreakBefore w:val="0"/>
              <w:widowControl w:val="0"/>
              <w:kinsoku/>
              <w:wordWrap/>
              <w:overflowPunct/>
              <w:topLinePunct w:val="0"/>
              <w:autoSpaceDE/>
              <w:autoSpaceDN/>
              <w:bidi w:val="0"/>
              <w:spacing w:before="0" w:after="0" w:line="360" w:lineRule="auto"/>
              <w:textAlignment w:val="auto"/>
              <w:rPr>
                <w:color w:val="auto"/>
                <w:highlight w:val="none"/>
              </w:rPr>
            </w:pPr>
            <w:r>
              <w:rPr>
                <w:rFonts w:hint="default" w:ascii="Times New Roman" w:hAnsi="Times New Roman" w:cs="Times New Roman"/>
                <w:b/>
                <w:bCs/>
                <w:color w:val="auto"/>
                <w:kern w:val="0"/>
                <w:sz w:val="21"/>
                <w:szCs w:val="21"/>
                <w:highlight w:val="none"/>
                <w:lang w:val="en-US" w:eastAsia="zh-CN"/>
              </w:rPr>
              <w:t>2.</w:t>
            </w:r>
            <w:r>
              <w:rPr>
                <w:rFonts w:hint="eastAsia" w:cs="Times New Roman"/>
                <w:b/>
                <w:bCs/>
                <w:color w:val="auto"/>
                <w:kern w:val="0"/>
                <w:sz w:val="21"/>
                <w:szCs w:val="21"/>
                <w:highlight w:val="none"/>
                <w:lang w:val="en-US" w:eastAsia="zh-CN"/>
              </w:rPr>
              <w:t>9</w:t>
            </w:r>
            <w:r>
              <w:rPr>
                <w:rFonts w:hint="default" w:ascii="Times New Roman" w:hAnsi="Times New Roman" w:cs="Times New Roman"/>
                <w:b/>
                <w:bCs/>
                <w:color w:val="auto"/>
                <w:kern w:val="0"/>
                <w:sz w:val="21"/>
                <w:szCs w:val="21"/>
                <w:highlight w:val="none"/>
                <w:lang w:val="en-US" w:eastAsia="zh-CN"/>
              </w:rPr>
              <w:t>.1</w:t>
            </w:r>
            <w:r>
              <w:rPr>
                <w:rFonts w:hint="eastAsia" w:ascii="Times New Roman" w:hAnsi="Times New Roman" w:cs="Times New Roman"/>
                <w:b/>
                <w:bCs/>
                <w:color w:val="auto"/>
                <w:kern w:val="0"/>
                <w:sz w:val="21"/>
                <w:szCs w:val="21"/>
                <w:highlight w:val="none"/>
                <w:lang w:val="en-US" w:eastAsia="zh-CN"/>
              </w:rPr>
              <w:t>施工导流</w:t>
            </w:r>
          </w:p>
          <w:p>
            <w:pPr>
              <w:adjustRightInd w:val="0"/>
              <w:spacing w:line="360" w:lineRule="auto"/>
              <w:ind w:firstLine="482"/>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lang w:val="en-US" w:eastAsia="zh-CN"/>
              </w:rPr>
              <w:t>1、</w:t>
            </w:r>
            <w:r>
              <w:rPr>
                <w:rFonts w:hint="default" w:ascii="Times New Roman" w:hAnsi="Times New Roman" w:eastAsia="宋体" w:cs="Times New Roman"/>
                <w:b w:val="0"/>
                <w:bCs w:val="0"/>
                <w:color w:val="auto"/>
                <w:sz w:val="21"/>
                <w:szCs w:val="21"/>
                <w:highlight w:val="none"/>
              </w:rPr>
              <w:t>水库枢纽大坝施工导流</w:t>
            </w:r>
          </w:p>
          <w:p>
            <w:pPr>
              <w:pStyle w:val="99"/>
              <w:spacing w:line="360" w:lineRule="auto"/>
              <w:ind w:firstLine="480"/>
              <w:rPr>
                <w:rFonts w:hint="default" w:ascii="Times New Roman" w:hAnsi="Times New Roman" w:eastAsia="宋体" w:cs="Times New Roman"/>
                <w:b w:val="0"/>
                <w:bCs w:val="0"/>
                <w:color w:val="auto"/>
                <w:sz w:val="21"/>
                <w:szCs w:val="21"/>
                <w:highlight w:val="none"/>
                <w:lang w:bidi="en-US"/>
              </w:rPr>
            </w:pPr>
            <w:r>
              <w:rPr>
                <w:rFonts w:hint="default" w:ascii="Times New Roman" w:hAnsi="Times New Roman" w:eastAsia="宋体" w:cs="Times New Roman"/>
                <w:b w:val="0"/>
                <w:bCs w:val="0"/>
                <w:color w:val="auto"/>
                <w:sz w:val="21"/>
                <w:szCs w:val="21"/>
                <w:highlight w:val="none"/>
                <w:lang w:bidi="en-US"/>
              </w:rPr>
              <w:t>（1）导流建筑物级别、导流标准及流量</w:t>
            </w:r>
          </w:p>
          <w:p>
            <w:pPr>
              <w:pStyle w:val="99"/>
              <w:spacing w:line="360" w:lineRule="auto"/>
              <w:ind w:firstLine="480"/>
              <w:rPr>
                <w:rFonts w:hint="default" w:ascii="Times New Roman" w:hAnsi="Times New Roman" w:eastAsia="宋体" w:cs="Times New Roman"/>
                <w:b w:val="0"/>
                <w:bCs w:val="0"/>
                <w:color w:val="auto"/>
                <w:sz w:val="21"/>
                <w:szCs w:val="21"/>
                <w:highlight w:val="none"/>
                <w:lang w:bidi="en-US"/>
              </w:rPr>
            </w:pPr>
            <w:r>
              <w:rPr>
                <w:rFonts w:hint="default" w:ascii="Times New Roman" w:hAnsi="Times New Roman" w:eastAsia="宋体" w:cs="Times New Roman"/>
                <w:b w:val="0"/>
                <w:bCs w:val="0"/>
                <w:color w:val="auto"/>
                <w:sz w:val="21"/>
                <w:szCs w:val="21"/>
                <w:highlight w:val="none"/>
                <w:lang w:bidi="en-US"/>
              </w:rPr>
              <w:t>围堰为5级临时建筑物，土石围堰洪水标准为重现期5～10年一遇</w:t>
            </w:r>
            <w:r>
              <w:rPr>
                <w:rFonts w:hint="default" w:ascii="Times New Roman" w:hAnsi="Times New Roman" w:eastAsia="宋体" w:cs="Times New Roman"/>
                <w:b w:val="0"/>
                <w:bCs w:val="0"/>
                <w:color w:val="auto"/>
                <w:sz w:val="21"/>
                <w:szCs w:val="21"/>
                <w:highlight w:val="none"/>
              </w:rPr>
              <w:t>，考虑本工程大坝工程量不大，下游无重要建筑物，导流标准选用5年一遇洪水重现期，相应汛期洪峰流量为13.2m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/s。</w:t>
            </w:r>
          </w:p>
          <w:p>
            <w:pPr>
              <w:pStyle w:val="99"/>
              <w:spacing w:line="360" w:lineRule="auto"/>
              <w:ind w:firstLine="480"/>
              <w:rPr>
                <w:rFonts w:hint="default" w:ascii="Times New Roman" w:hAnsi="Times New Roman" w:eastAsia="宋体" w:cs="Times New Roman"/>
                <w:b w:val="0"/>
                <w:bCs w:val="0"/>
                <w:color w:val="auto"/>
                <w:sz w:val="21"/>
                <w:szCs w:val="21"/>
                <w:highlight w:val="none"/>
                <w:lang w:bidi="en-US"/>
              </w:rPr>
            </w:pPr>
            <w:r>
              <w:rPr>
                <w:rFonts w:hint="default" w:ascii="Times New Roman" w:hAnsi="Times New Roman" w:eastAsia="宋体" w:cs="Times New Roman"/>
                <w:b w:val="0"/>
                <w:bCs w:val="0"/>
                <w:color w:val="auto"/>
                <w:sz w:val="21"/>
                <w:szCs w:val="21"/>
                <w:highlight w:val="none"/>
                <w:lang w:bidi="en-US"/>
              </w:rPr>
              <w:t>（2）导流方案</w:t>
            </w:r>
          </w:p>
          <w:p>
            <w:pPr>
              <w:pStyle w:val="99"/>
              <w:spacing w:line="360" w:lineRule="auto"/>
              <w:ind w:firstLine="48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根据业主对本工程的建设安排，本工程计划于第一年11月开工，第三年10月完工，总工期24个月。坝址河段洪、枯期流量差别较大，大坝为混凝土重力坝，采用分段围堰、明渠导流的施工导流方案。</w:t>
            </w:r>
          </w:p>
          <w:p>
            <w:pPr>
              <w:pStyle w:val="99"/>
              <w:spacing w:line="360" w:lineRule="auto"/>
              <w:ind w:firstLine="48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第一年11~12月，于5#坝段开挖导流明渠，于原河床修建上、下游围堰（一期）。</w:t>
            </w:r>
          </w:p>
          <w:p>
            <w:pPr>
              <w:pStyle w:val="99"/>
              <w:spacing w:line="360" w:lineRule="auto"/>
              <w:ind w:firstLine="48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第二年1月</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第二年10月，导流明渠过流，最大导流流量Q</w:t>
            </w:r>
            <w:r>
              <w:rPr>
                <w:rFonts w:hint="default" w:ascii="Times New Roman" w:hAnsi="Times New Roman" w:eastAsia="宋体" w:cs="Times New Roman"/>
                <w:b w:val="0"/>
                <w:bCs w:val="0"/>
                <w:color w:val="auto"/>
                <w:sz w:val="21"/>
                <w:szCs w:val="21"/>
                <w:highlight w:val="none"/>
                <w:vertAlign w:val="subscript"/>
              </w:rPr>
              <w:t>20%</w:t>
            </w:r>
            <w:r>
              <w:rPr>
                <w:rFonts w:hint="default" w:ascii="Times New Roman" w:hAnsi="Times New Roman" w:eastAsia="宋体" w:cs="Times New Roman"/>
                <w:b w:val="0"/>
                <w:bCs w:val="0"/>
                <w:color w:val="auto"/>
                <w:sz w:val="21"/>
                <w:szCs w:val="21"/>
                <w:highlight w:val="none"/>
              </w:rPr>
              <w:t>=13.2m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/s。该时段完成基础开挖，并进行1~4#坝段、6~9#坝段混凝土浇筑；其中3#坝段浇筑至高程591.00m以上，完成放空管埋设安装施工。</w:t>
            </w:r>
          </w:p>
          <w:p>
            <w:pPr>
              <w:pStyle w:val="99"/>
              <w:spacing w:line="360" w:lineRule="auto"/>
              <w:ind w:firstLine="48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第二年11月</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第三年5月，于5#坝段上游修筑围堰（二期），由3#坝段放空管过流，洪峰流量Q</w:t>
            </w:r>
            <w:r>
              <w:rPr>
                <w:rFonts w:hint="default" w:ascii="Times New Roman" w:hAnsi="Times New Roman" w:eastAsia="宋体" w:cs="Times New Roman"/>
                <w:b w:val="0"/>
                <w:bCs w:val="0"/>
                <w:color w:val="auto"/>
                <w:sz w:val="21"/>
                <w:szCs w:val="21"/>
                <w:highlight w:val="none"/>
                <w:vertAlign w:val="subscript"/>
              </w:rPr>
              <w:t>20%</w:t>
            </w:r>
            <w:r>
              <w:rPr>
                <w:rFonts w:hint="default" w:ascii="Times New Roman" w:hAnsi="Times New Roman" w:eastAsia="宋体" w:cs="Times New Roman"/>
                <w:b w:val="0"/>
                <w:bCs w:val="0"/>
                <w:color w:val="auto"/>
                <w:sz w:val="21"/>
                <w:szCs w:val="21"/>
                <w:highlight w:val="none"/>
              </w:rPr>
              <w:t>=2.70m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/s，上游最高水位589.45m，最大下泄流量Q</w:t>
            </w:r>
            <w:r>
              <w:rPr>
                <w:rFonts w:hint="default" w:ascii="Times New Roman" w:hAnsi="Times New Roman" w:eastAsia="宋体" w:cs="Times New Roman"/>
                <w:b w:val="0"/>
                <w:bCs w:val="0"/>
                <w:color w:val="auto"/>
                <w:sz w:val="21"/>
                <w:szCs w:val="21"/>
                <w:highlight w:val="none"/>
                <w:vertAlign w:val="subscript"/>
              </w:rPr>
              <w:t>20%</w:t>
            </w:r>
            <w:r>
              <w:rPr>
                <w:rFonts w:hint="default" w:ascii="Times New Roman" w:hAnsi="Times New Roman" w:eastAsia="宋体" w:cs="Times New Roman"/>
                <w:b w:val="0"/>
                <w:bCs w:val="0"/>
                <w:color w:val="auto"/>
                <w:sz w:val="21"/>
                <w:szCs w:val="21"/>
                <w:highlight w:val="none"/>
              </w:rPr>
              <w:t>=0.70m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/s。该时段所有坝段均浇筑至高程596.00m以上。</w:t>
            </w:r>
          </w:p>
          <w:p>
            <w:pPr>
              <w:pStyle w:val="99"/>
              <w:spacing w:line="360" w:lineRule="auto"/>
              <w:ind w:firstLine="48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第三年6月</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第三年8月，进入第二次汛期，大坝施工高程均已超过临时建筑物高程，由大坝挡水，坝体临时度汛洪水标准采用10年一遇，洪峰流量Q</w:t>
            </w:r>
            <w:r>
              <w:rPr>
                <w:rFonts w:hint="default" w:ascii="Times New Roman" w:hAnsi="Times New Roman" w:eastAsia="宋体" w:cs="Times New Roman"/>
                <w:b w:val="0"/>
                <w:bCs w:val="0"/>
                <w:color w:val="auto"/>
                <w:sz w:val="21"/>
                <w:szCs w:val="21"/>
                <w:highlight w:val="none"/>
                <w:vertAlign w:val="subscript"/>
              </w:rPr>
              <w:t>10%</w:t>
            </w:r>
            <w:r>
              <w:rPr>
                <w:rFonts w:hint="default" w:ascii="Times New Roman" w:hAnsi="Times New Roman" w:eastAsia="宋体" w:cs="Times New Roman"/>
                <w:b w:val="0"/>
                <w:bCs w:val="0"/>
                <w:color w:val="auto"/>
                <w:sz w:val="21"/>
                <w:szCs w:val="21"/>
                <w:highlight w:val="none"/>
              </w:rPr>
              <w:t>=17.0m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/s，上游最高水位595.02m，放空管最大下泄流量1.64m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/s，该时段完成所有混凝土浇筑，以及坝顶路面、防浪墙及栏杆等施工。</w:t>
            </w:r>
          </w:p>
          <w:p>
            <w:pPr>
              <w:pStyle w:val="99"/>
              <w:spacing w:line="360" w:lineRule="auto"/>
              <w:ind w:firstLine="480"/>
              <w:rPr>
                <w:rFonts w:hint="default" w:ascii="Times New Roman" w:hAnsi="Times New Roman" w:eastAsia="宋体" w:cs="Times New Roman"/>
                <w:b w:val="0"/>
                <w:bCs w:val="0"/>
                <w:color w:val="auto"/>
                <w:sz w:val="21"/>
                <w:szCs w:val="21"/>
                <w:highlight w:val="none"/>
                <w:lang w:bidi="en-US"/>
              </w:rPr>
            </w:pPr>
            <w:r>
              <w:rPr>
                <w:rFonts w:hint="default" w:ascii="Times New Roman" w:hAnsi="Times New Roman" w:eastAsia="宋体" w:cs="Times New Roman"/>
                <w:b w:val="0"/>
                <w:bCs w:val="0"/>
                <w:color w:val="auto"/>
                <w:sz w:val="21"/>
                <w:szCs w:val="21"/>
                <w:highlight w:val="none"/>
                <w:lang w:bidi="en-US"/>
              </w:rPr>
              <w:t>（3）导流建筑物设计</w:t>
            </w:r>
          </w:p>
          <w:p>
            <w:pPr>
              <w:pStyle w:val="99"/>
              <w:spacing w:line="360" w:lineRule="auto"/>
              <w:ind w:firstLine="48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导流建筑物包括导流明渠及一、二期围堰。</w:t>
            </w:r>
          </w:p>
          <w:p>
            <w:pPr>
              <w:autoSpaceDE w:val="0"/>
              <w:autoSpaceDN w:val="0"/>
              <w:spacing w:line="360" w:lineRule="auto"/>
              <w:ind w:firstLine="48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导流明渠首、尾顺接原河道，总长160m，设计最大过流量13.2m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/s，底坡i=0.005。根据水力计算，采用净空尺寸：底宽2.5m、顶宽5.5m、高2m，边坡1：0.75。</w:t>
            </w:r>
          </w:p>
          <w:p>
            <w:pPr>
              <w:pStyle w:val="99"/>
              <w:spacing w:line="360" w:lineRule="auto"/>
              <w:ind w:firstLine="48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一期围堰为原河床上、下游围堰。上游围堰长10m，堰顶高程587.50m，堰高3m；下游围堰长9m，堰顶高程586.50m，高2.5m。</w:t>
            </w:r>
          </w:p>
          <w:p>
            <w:pPr>
              <w:pStyle w:val="99"/>
              <w:spacing w:line="360" w:lineRule="auto"/>
              <w:ind w:firstLine="48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二期围堰为5#坝段上游围堰，下游水位较低，回水不影响大坝施工，故不设下游围堰；5#坝段围堰长45m，堰顶高程590.00m，堰高3.5m。围堰顶宽2m，采用袋装土石填筑，上游坡比1：1.5、下游坡比1：1，复合土工膜（150/0.3/150）防渗。</w:t>
            </w:r>
          </w:p>
          <w:p>
            <w:pPr>
              <w:adjustRightInd w:val="0"/>
              <w:spacing w:line="360" w:lineRule="auto"/>
              <w:ind w:firstLine="482"/>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lang w:val="en-US" w:eastAsia="zh-CN"/>
              </w:rPr>
              <w:t>2、</w:t>
            </w:r>
            <w:r>
              <w:rPr>
                <w:rFonts w:hint="default" w:ascii="Times New Roman" w:hAnsi="Times New Roman" w:eastAsia="宋体" w:cs="Times New Roman"/>
                <w:b w:val="0"/>
                <w:bCs w:val="0"/>
                <w:color w:val="auto"/>
                <w:sz w:val="21"/>
                <w:szCs w:val="21"/>
                <w:highlight w:val="none"/>
              </w:rPr>
              <w:t>补水工程施工导流</w:t>
            </w:r>
          </w:p>
          <w:p>
            <w:pPr>
              <w:pStyle w:val="99"/>
              <w:spacing w:line="360" w:lineRule="auto"/>
              <w:ind w:firstLine="48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补水拦河堰位于主沟上，围堰为5级临时建筑物，导流标准选用5年一遇洪水重现期。导流时段选择11月～次年3月，相应最大导流流量为0.594m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/s。</w:t>
            </w:r>
          </w:p>
          <w:p>
            <w:pPr>
              <w:pStyle w:val="99"/>
              <w:spacing w:line="360" w:lineRule="auto"/>
              <w:ind w:firstLine="48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补水拦河堰采用枯期全段围堰施工，涵管导流。上、下游围堰轴线长分别为20m、16m，围堰高分别为3m、2m，堰顶宽2m，上游坡比1：1.5、下游坡比1：1，采用袋装土石填筑，复合土工膜防渗。导流涵管为φ800承插式钢筋混凝土管，涵管长度为120m，比降i=0.05。</w:t>
            </w:r>
          </w:p>
          <w:p>
            <w:pPr>
              <w:adjustRightInd w:val="0"/>
              <w:spacing w:line="360" w:lineRule="auto"/>
              <w:ind w:firstLine="482"/>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lang w:val="en-US" w:eastAsia="zh-CN"/>
              </w:rPr>
              <w:t>3、</w:t>
            </w:r>
            <w:r>
              <w:rPr>
                <w:rFonts w:hint="default" w:ascii="Times New Roman" w:hAnsi="Times New Roman" w:eastAsia="宋体" w:cs="Times New Roman"/>
                <w:b w:val="0"/>
                <w:bCs w:val="0"/>
                <w:color w:val="auto"/>
                <w:sz w:val="21"/>
                <w:szCs w:val="21"/>
                <w:highlight w:val="none"/>
              </w:rPr>
              <w:t>灌区管道施工导流</w:t>
            </w:r>
          </w:p>
          <w:p>
            <w:pPr>
              <w:pStyle w:val="99"/>
              <w:spacing w:line="360" w:lineRule="auto"/>
              <w:ind w:firstLine="48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灌溉管道穿越溪沟较多，集水面积都较小，枯季大多断流，导流措施较简单。灌区工程的施工导流建筑物级别为5级，选择导流标准为5年一遇洪水重现期。管道所跨溪沟枯期流量小，宽度在15m以内，管径小，施工难度小，穿越沟河施工一个月内均可完成。故灌区工程所有跨沟管道施工时段均安排在枯期12月～次年2月。</w:t>
            </w:r>
          </w:p>
          <w:p>
            <w:pPr>
              <w:spacing w:line="360" w:lineRule="auto"/>
              <w:ind w:firstLine="48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灌区管道跨河沟采用上游修筑小围堰挡水，潜水泵抽水导流的导流方式。导流围堰高1.5</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2m，堰顶宽2m，上、下游坡比均为1：1，采用袋装土石填筑，复合土工膜防渗。</w:t>
            </w:r>
          </w:p>
          <w:p>
            <w:pPr>
              <w:adjustRightInd w:val="0"/>
              <w:spacing w:line="360" w:lineRule="auto"/>
              <w:ind w:firstLine="482"/>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lang w:val="en-US" w:eastAsia="zh-CN"/>
              </w:rPr>
              <w:t>4、</w:t>
            </w:r>
            <w:r>
              <w:rPr>
                <w:rFonts w:hint="default" w:ascii="Times New Roman" w:hAnsi="Times New Roman" w:eastAsia="宋体" w:cs="Times New Roman"/>
                <w:b w:val="0"/>
                <w:bCs w:val="0"/>
                <w:color w:val="auto"/>
                <w:sz w:val="21"/>
                <w:szCs w:val="21"/>
                <w:highlight w:val="none"/>
              </w:rPr>
              <w:t>截流</w:t>
            </w:r>
          </w:p>
          <w:p>
            <w:pPr>
              <w:pStyle w:val="99"/>
              <w:spacing w:line="360" w:lineRule="auto"/>
              <w:ind w:firstLine="48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根据本工程导流程序及时段安排，截流安排在第一年12月，相应截流流量为0.005m³/s（18m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/h）。因截流流量很小，截流过程可采用潜水泵抽水导流。截流采用单戗立堵从左岸向右岸进占的方式，截流材料采用围堰填筑材料即可满足要求。</w:t>
            </w:r>
          </w:p>
          <w:p>
            <w:pPr>
              <w:adjustRightInd w:val="0"/>
              <w:spacing w:line="360" w:lineRule="auto"/>
              <w:ind w:firstLine="482"/>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lang w:val="en-US" w:eastAsia="zh-CN"/>
              </w:rPr>
              <w:t>5、</w:t>
            </w:r>
            <w:r>
              <w:rPr>
                <w:rFonts w:hint="default" w:ascii="Times New Roman" w:hAnsi="Times New Roman" w:eastAsia="宋体" w:cs="Times New Roman"/>
                <w:b w:val="0"/>
                <w:bCs w:val="0"/>
                <w:color w:val="auto"/>
                <w:sz w:val="21"/>
                <w:szCs w:val="21"/>
                <w:highlight w:val="none"/>
              </w:rPr>
              <w:t>下闸蓄水</w:t>
            </w:r>
          </w:p>
          <w:p>
            <w:pPr>
              <w:adjustRightInd w:val="0"/>
              <w:snapToGrid w:val="0"/>
              <w:spacing w:line="360" w:lineRule="auto"/>
              <w:ind w:firstLine="482"/>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sz w:val="21"/>
                <w:szCs w:val="21"/>
                <w:highlight w:val="none"/>
              </w:rPr>
              <w:t>根据施工进度计划，水库枢纽主体工程于第三年3月完成，计划堰沟水库在第三年4月底下闸蓄水。堰沟水库枯期来水</w:t>
            </w:r>
            <w:r>
              <w:rPr>
                <w:rFonts w:hint="eastAsia" w:cs="Times New Roman"/>
                <w:b w:val="0"/>
                <w:bCs w:val="0"/>
                <w:color w:val="auto"/>
                <w:sz w:val="21"/>
                <w:szCs w:val="21"/>
                <w:highlight w:val="none"/>
                <w:lang w:eastAsia="zh-CN"/>
              </w:rPr>
              <w:t>较少</w:t>
            </w:r>
            <w:r>
              <w:rPr>
                <w:rFonts w:hint="default" w:ascii="Times New Roman" w:hAnsi="Times New Roman" w:eastAsia="宋体" w:cs="Times New Roman"/>
                <w:b w:val="0"/>
                <w:bCs w:val="0"/>
                <w:color w:val="auto"/>
                <w:sz w:val="21"/>
                <w:szCs w:val="21"/>
                <w:highlight w:val="none"/>
              </w:rPr>
              <w:t>，在下泄生态流量后，基本无水可蓄；主要依靠汛期来水以及从主沟引水充囤。初期蓄水不考虑向下游供水任务，按75%保证率，进行逐月来水量计算，水库自下闸蓄水经历一个汛期后，至第三年9月水库蓄满。</w:t>
            </w:r>
          </w:p>
          <w:p>
            <w:pPr>
              <w:pStyle w:val="5"/>
              <w:pageBreakBefore w:val="0"/>
              <w:widowControl w:val="0"/>
              <w:kinsoku/>
              <w:wordWrap/>
              <w:overflowPunct/>
              <w:topLinePunct w:val="0"/>
              <w:autoSpaceDE/>
              <w:autoSpaceDN/>
              <w:bidi w:val="0"/>
              <w:spacing w:before="0" w:after="0" w:line="360" w:lineRule="auto"/>
              <w:textAlignment w:val="auto"/>
              <w:rPr>
                <w:color w:val="auto"/>
                <w:highlight w:val="none"/>
              </w:rPr>
            </w:pPr>
            <w:r>
              <w:rPr>
                <w:rFonts w:hint="default" w:ascii="Times New Roman" w:hAnsi="Times New Roman" w:cs="Times New Roman"/>
                <w:b/>
                <w:bCs/>
                <w:color w:val="auto"/>
                <w:kern w:val="0"/>
                <w:sz w:val="21"/>
                <w:szCs w:val="21"/>
                <w:highlight w:val="none"/>
                <w:lang w:val="en-US" w:eastAsia="zh-CN"/>
              </w:rPr>
              <w:t>2.</w:t>
            </w:r>
            <w:r>
              <w:rPr>
                <w:rFonts w:hint="eastAsia" w:cs="Times New Roman"/>
                <w:b/>
                <w:bCs/>
                <w:color w:val="auto"/>
                <w:kern w:val="0"/>
                <w:sz w:val="21"/>
                <w:szCs w:val="21"/>
                <w:highlight w:val="none"/>
                <w:lang w:val="en-US" w:eastAsia="zh-CN"/>
              </w:rPr>
              <w:t>9</w:t>
            </w:r>
            <w:r>
              <w:rPr>
                <w:rFonts w:hint="default" w:ascii="Times New Roman" w:hAnsi="Times New Roman" w:cs="Times New Roman"/>
                <w:b/>
                <w:bCs/>
                <w:color w:val="auto"/>
                <w:kern w:val="0"/>
                <w:sz w:val="21"/>
                <w:szCs w:val="21"/>
                <w:highlight w:val="none"/>
                <w:lang w:val="en-US" w:eastAsia="zh-CN"/>
              </w:rPr>
              <w:t>.</w:t>
            </w:r>
            <w:r>
              <w:rPr>
                <w:rFonts w:hint="eastAsia" w:cs="Times New Roman"/>
                <w:b/>
                <w:bCs/>
                <w:color w:val="auto"/>
                <w:kern w:val="0"/>
                <w:sz w:val="21"/>
                <w:szCs w:val="21"/>
                <w:highlight w:val="none"/>
                <w:lang w:val="en-US" w:eastAsia="zh-CN"/>
              </w:rPr>
              <w:t>2主体工程施工</w:t>
            </w:r>
          </w:p>
          <w:p>
            <w:pPr>
              <w:adjustRightInd w:val="0"/>
              <w:spacing w:line="360" w:lineRule="auto"/>
              <w:ind w:firstLine="482"/>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lang w:val="en-US" w:eastAsia="zh-CN"/>
              </w:rPr>
              <w:t>1、</w:t>
            </w:r>
            <w:r>
              <w:rPr>
                <w:rFonts w:hint="default" w:ascii="Times New Roman" w:hAnsi="Times New Roman" w:eastAsia="宋体" w:cs="Times New Roman"/>
                <w:b w:val="0"/>
                <w:bCs w:val="0"/>
                <w:color w:val="auto"/>
                <w:sz w:val="21"/>
                <w:szCs w:val="21"/>
                <w:highlight w:val="none"/>
              </w:rPr>
              <w:t>大坝工程</w:t>
            </w:r>
          </w:p>
          <w:p>
            <w:pPr>
              <w:pStyle w:val="99"/>
              <w:spacing w:line="360" w:lineRule="auto"/>
              <w:ind w:firstLine="48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大坝主要施工程序为：岸坡及坝基开挖→基础混凝土浇筑→固结灌浆→帷幕灌浆→坝体混凝土浇筑→坝顶施工。</w:t>
            </w:r>
          </w:p>
          <w:p>
            <w:pPr>
              <w:pStyle w:val="99"/>
              <w:spacing w:line="360" w:lineRule="auto"/>
              <w:ind w:firstLine="48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基础开挖：程序为先岸坡后坝基，从上至下分层分梯段开挖。土方开挖采用1.0m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反铲开挖，装10～15t自卸汽车运输出渣。石方开挖自上而下分层台阶开挖，采用手风钻、潜孔钻钻孔，人工装药，周边预裂，电雷管松动爆破，辅以人工整修边坡，推土机集渣，1.0m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反铲装10～15t自卸汽车运输出渣。</w:t>
            </w:r>
          </w:p>
          <w:p>
            <w:pPr>
              <w:pStyle w:val="99"/>
              <w:spacing w:line="360" w:lineRule="auto"/>
              <w:ind w:firstLine="48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基础</w:t>
            </w:r>
            <w:r>
              <w:rPr>
                <w:rFonts w:hint="eastAsia" w:cs="Times New Roman"/>
                <w:b w:val="0"/>
                <w:bCs w:val="0"/>
                <w:color w:val="auto"/>
                <w:sz w:val="21"/>
                <w:szCs w:val="21"/>
                <w:highlight w:val="none"/>
                <w:lang w:eastAsia="zh-CN"/>
              </w:rPr>
              <w:t>灌浆</w:t>
            </w:r>
            <w:r>
              <w:rPr>
                <w:rFonts w:hint="default" w:ascii="Times New Roman" w:hAnsi="Times New Roman" w:eastAsia="宋体" w:cs="Times New Roman"/>
                <w:b w:val="0"/>
                <w:bCs w:val="0"/>
                <w:color w:val="auto"/>
                <w:sz w:val="21"/>
                <w:szCs w:val="21"/>
                <w:highlight w:val="none"/>
              </w:rPr>
              <w:t>工艺流程：定位→钻孔→冲洗→压水试验→灌浆→封孔。</w:t>
            </w:r>
          </w:p>
          <w:p>
            <w:pPr>
              <w:pStyle w:val="99"/>
              <w:spacing w:line="360" w:lineRule="auto"/>
              <w:ind w:firstLine="48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埋石混凝土浇筑：大坝590m以下由10～15t自卸汽车通过临时公路直接入仓；590m高程以上采用塔吊，挂3m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吊罐负责大坝混凝土浇筑。同时门机兼作施工机械、模板等材料及金属结构的吊运。为提高混凝土整体性，同一坝段同一高程混凝土采用通仓浇筑，混凝土浇筑层厚控制在2</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3m。埋石混凝土施工工序为：摊铺2～3cm厚水泥砂浆→铺筑50cm厚的混凝土料→块石挖掘机联合抓斗机移动埋石或塔吊运输入仓，辅以人工放码→混凝土入仓覆盖块石并振捣。埋石混凝土块石粒径0.3</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1.0m，饱和抗压强度不低于30MPa，选择新鲜、完整的岩块，无风化剥落层或裂纹，石材表面应冲洗干净，不能留有树根、杂草等污物，所有进仓块石表面应处于湿润状态，不同粒径级的块石分开埋入混凝土中。埋石铺放应分布均匀，石块离开模板距离应大于15cｍ，最终埋石顶面应有不小于10cｍ厚的纯混凝土覆盖层。施工缝面采用高压冲毛枪清除混凝土表面浮浆，使细骨料微露成为毛面，然后将缝面清洗干净。在浇筑新混凝土之前</w:t>
            </w:r>
            <w:r>
              <w:rPr>
                <w:rFonts w:hint="eastAsia" w:cs="Times New Roman"/>
                <w:b w:val="0"/>
                <w:bCs w:val="0"/>
                <w:color w:val="auto"/>
                <w:sz w:val="21"/>
                <w:szCs w:val="21"/>
                <w:highlight w:val="none"/>
                <w:lang w:eastAsia="zh-CN"/>
              </w:rPr>
              <w:t>舱面</w:t>
            </w:r>
            <w:r>
              <w:rPr>
                <w:rFonts w:hint="default" w:ascii="Times New Roman" w:hAnsi="Times New Roman" w:eastAsia="宋体" w:cs="Times New Roman"/>
                <w:b w:val="0"/>
                <w:bCs w:val="0"/>
                <w:color w:val="auto"/>
                <w:sz w:val="21"/>
                <w:szCs w:val="21"/>
                <w:highlight w:val="none"/>
              </w:rPr>
              <w:t>要保持清洁并处于湿润状态，经验收合格后，在老混凝土面上均匀摊铺2～3cm厚水泥砂浆，再浇筑上层混凝土。</w:t>
            </w:r>
          </w:p>
          <w:p>
            <w:pPr>
              <w:pStyle w:val="99"/>
              <w:spacing w:line="360" w:lineRule="auto"/>
              <w:ind w:firstLine="48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常态混凝土浇筑：常态混凝土采用0.75m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混凝</w:t>
            </w:r>
            <w:r>
              <w:rPr>
                <w:rFonts w:hint="eastAsia" w:cs="Times New Roman"/>
                <w:b w:val="0"/>
                <w:bCs w:val="0"/>
                <w:color w:val="auto"/>
                <w:sz w:val="21"/>
                <w:szCs w:val="21"/>
                <w:highlight w:val="none"/>
                <w:lang w:eastAsia="zh-CN"/>
              </w:rPr>
              <w:t>土拌和机</w:t>
            </w:r>
            <w:r>
              <w:rPr>
                <w:rFonts w:hint="default" w:ascii="Times New Roman" w:hAnsi="Times New Roman" w:eastAsia="宋体" w:cs="Times New Roman"/>
                <w:b w:val="0"/>
                <w:bCs w:val="0"/>
                <w:color w:val="auto"/>
                <w:sz w:val="21"/>
                <w:szCs w:val="21"/>
                <w:highlight w:val="none"/>
              </w:rPr>
              <w:t>拌制，10t自卸汽车运输，采用塔吊或溜槽入仓，溢流面混凝土采用滑模施工，其余采用组合钢模施工，Φ50mm插入式振捣器或ZF20平板式振捣器振捣密实，人工洒水养护。</w:t>
            </w:r>
          </w:p>
          <w:p>
            <w:pPr>
              <w:adjustRightInd w:val="0"/>
              <w:spacing w:line="360" w:lineRule="auto"/>
              <w:ind w:firstLine="482"/>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lang w:val="en-US" w:eastAsia="zh-CN"/>
              </w:rPr>
              <w:t>2、</w:t>
            </w:r>
            <w:r>
              <w:rPr>
                <w:rFonts w:hint="default" w:ascii="Times New Roman" w:hAnsi="Times New Roman" w:eastAsia="宋体" w:cs="Times New Roman"/>
                <w:b w:val="0"/>
                <w:bCs w:val="0"/>
                <w:color w:val="auto"/>
                <w:sz w:val="21"/>
                <w:szCs w:val="21"/>
                <w:highlight w:val="none"/>
              </w:rPr>
              <w:t>补水工程</w:t>
            </w:r>
          </w:p>
          <w:p>
            <w:pPr>
              <w:pStyle w:val="99"/>
              <w:spacing w:line="360" w:lineRule="auto"/>
              <w:ind w:firstLine="48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拦河堰：土方开挖采用0.5m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挖掘机开挖，石方开挖采用手风钻钻孔松动爆破，5t自卸汽车运输0.5km至附近2#弃渣场。砼采用0.4m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砼拌合站拌制，5t自卸汽车配2m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转载机运输入仓，组合钢模板成型，Φ50mm插入式振捣器振捣密实，人工洒水养护。门槽二期混凝土均采用钢模板，用圆钢作拉条固定，螺杆焊接在预埋插筋的根部，混凝土运输通过溜筒卸入槽内，每个门槽一次性连续浇筑到顶部。土石方回填利用现场开挖料回填，74kw推土机推平压实。</w:t>
            </w:r>
          </w:p>
          <w:p>
            <w:pPr>
              <w:pStyle w:val="99"/>
              <w:spacing w:line="360" w:lineRule="auto"/>
              <w:ind w:firstLine="48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补水管道：土方开挖采用0.5m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挖掘机开挖，石方开挖采用手风钻钻孔松动爆破，5t自卸汽车运输0.5</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1.0km至附近2#弃渣场。管沟验槽合格后铺设0.3m厚的粗砂垫层，并碾压密实，压实系数≥95%。钢管为焊接不锈钢管，施工安装流程为：管子现场检验→排管→下管→清理管口→接口焊接→闭水试验。管材用5t吊车或轻型轨车运输至槽内安装位置，人工协作，并排放好，待中心、高程检查合格后，用型钢将钢管临时固定于预埋的锚筋上，经检查固定牢固后，以第一节为基准进行第二节管段的下槽、固定。管道焊接前，人工清理接口，对垫层高度进行复测无误后，进行焊接。钢管焊接前先进行组对焊接，组对完毕检查合格后进行定位点焊，对称施焊，现场焊接采用手工电弧焊工艺，焊接时焊条的走向要求对称进行，并且焊前要预热，焊后要进行热处理。管沟回填利用沿管线开挖土石料回填，回填土应沿管道两边同时分层进行，每层夯实厚度不得超过25cm。管道两侧采用人工配以蛙式夯机夯实，压实度不小于90%；管顶50cm处应采用人工木夯夯实，压实度不小于80%，其上可用机械分层夯填。管顶50cm内不得回填粒径大于100mm的石块。</w:t>
            </w:r>
          </w:p>
          <w:p>
            <w:pPr>
              <w:adjustRightInd w:val="0"/>
              <w:spacing w:line="360" w:lineRule="auto"/>
              <w:ind w:firstLine="482"/>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lang w:val="en-US" w:eastAsia="zh-CN"/>
              </w:rPr>
              <w:t>3、</w:t>
            </w:r>
            <w:r>
              <w:rPr>
                <w:rFonts w:hint="default" w:ascii="Times New Roman" w:hAnsi="Times New Roman" w:eastAsia="宋体" w:cs="Times New Roman"/>
                <w:b w:val="0"/>
                <w:bCs w:val="0"/>
                <w:color w:val="auto"/>
                <w:sz w:val="21"/>
                <w:szCs w:val="21"/>
                <w:highlight w:val="none"/>
              </w:rPr>
              <w:t>灌区工程</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土方开挖采用0.5m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挖掘机开挖，石方开挖采用手风钻钻孔松动爆破，就近堆放，待回填后多余开挖料原地整平。土石方回填直接自工作面旁开挖料回采填筑，多余开挖料原地整平，用74kw推土机、辅以人工推平压实。PE管道采用热熔对接焊机DFHJ-250热熔焊接，不得采用螺纹连接和粘接。混凝土浇筑混凝土采用0.4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搅拌机拌制，人工胶轮车运输至工作面，振捣器振捣密实。</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val="0"/>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val="0"/>
                <w:color w:val="auto"/>
                <w:kern w:val="0"/>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2.1</w:t>
            </w:r>
            <w:r>
              <w:rPr>
                <w:rFonts w:hint="eastAsia" w:cs="Times New Roman"/>
                <w:b/>
                <w:bCs w:val="0"/>
                <w:color w:val="auto"/>
                <w:sz w:val="21"/>
                <w:szCs w:val="21"/>
                <w:highlight w:val="none"/>
                <w:lang w:val="en-US" w:eastAsia="zh-CN"/>
              </w:rPr>
              <w:t>0</w:t>
            </w:r>
            <w:r>
              <w:rPr>
                <w:rFonts w:hint="default" w:ascii="Times New Roman" w:hAnsi="Times New Roman" w:eastAsia="宋体" w:cs="Times New Roman"/>
                <w:b/>
                <w:bCs w:val="0"/>
                <w:color w:val="auto"/>
                <w:sz w:val="21"/>
                <w:szCs w:val="21"/>
                <w:highlight w:val="none"/>
              </w:rPr>
              <w:t>施工</w:t>
            </w:r>
            <w:r>
              <w:rPr>
                <w:rFonts w:hint="default" w:ascii="Times New Roman" w:hAnsi="Times New Roman" w:cs="Times New Roman"/>
                <w:b/>
                <w:bCs w:val="0"/>
                <w:color w:val="auto"/>
                <w:sz w:val="21"/>
                <w:szCs w:val="21"/>
                <w:highlight w:val="none"/>
                <w:lang w:val="en-US" w:eastAsia="zh-CN"/>
              </w:rPr>
              <w:t>安排</w:t>
            </w:r>
          </w:p>
          <w:p>
            <w:pPr>
              <w:adjustRightInd w:val="0"/>
              <w:snapToGrid w:val="0"/>
              <w:spacing w:line="360" w:lineRule="auto"/>
              <w:ind w:firstLine="482"/>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w:t>
            </w:r>
            <w:r>
              <w:rPr>
                <w:rFonts w:hint="default" w:ascii="Times New Roman" w:hAnsi="Times New Roman" w:cs="Times New Roman"/>
                <w:color w:val="auto"/>
                <w:highlight w:val="none"/>
                <w:lang w:val="en-US" w:eastAsia="zh-CN"/>
              </w:rPr>
              <w:t>枢纽工程</w:t>
            </w:r>
          </w:p>
          <w:p>
            <w:pPr>
              <w:adjustRightInd w:val="0"/>
              <w:snapToGrid w:val="0"/>
              <w:spacing w:line="360" w:lineRule="auto"/>
              <w:ind w:firstLine="482"/>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枢纽工程施工期分为四个时期，即工程筹建期、工程准备期、主体工程施工期和工程完建期。工程筹建期不计入总工期。</w:t>
            </w:r>
          </w:p>
          <w:p>
            <w:pPr>
              <w:adjustRightInd w:val="0"/>
              <w:snapToGrid w:val="0"/>
              <w:spacing w:line="360" w:lineRule="auto"/>
              <w:ind w:firstLine="482"/>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根据工程建设安排，计划本工程第一年11月开工，第三年10月完工，总工期24个月，其中：工程准备期为2个月，主体工程施工期20个月（第二年1月</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第三年8月），工程完建期为2个月。</w:t>
            </w:r>
          </w:p>
          <w:p>
            <w:pPr>
              <w:adjustRightInd w:val="0"/>
              <w:snapToGrid w:val="0"/>
              <w:spacing w:line="360" w:lineRule="auto"/>
              <w:ind w:firstLine="482"/>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1）工程筹建期</w:t>
            </w:r>
          </w:p>
          <w:p>
            <w:pPr>
              <w:adjustRightInd w:val="0"/>
              <w:snapToGrid w:val="0"/>
              <w:spacing w:line="360" w:lineRule="auto"/>
              <w:ind w:firstLine="482"/>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工程筹建期</w:t>
            </w:r>
            <w:r>
              <w:rPr>
                <w:rFonts w:hint="eastAsia" w:cs="Times New Roman"/>
                <w:color w:val="auto"/>
                <w:highlight w:val="none"/>
                <w:lang w:val="en-US" w:eastAsia="zh-CN"/>
              </w:rPr>
              <w:t>安排在</w:t>
            </w:r>
            <w:r>
              <w:rPr>
                <w:rFonts w:hint="default" w:ascii="Times New Roman" w:hAnsi="Times New Roman" w:cs="Times New Roman"/>
                <w:color w:val="auto"/>
                <w:highlight w:val="none"/>
                <w:lang w:val="en-US" w:eastAsia="zh-CN"/>
              </w:rPr>
              <w:t>第一年11月以前半年或更长的时间，工程正式开工前由业主单位负责筹建，为承包单位进场开工创造条件所需的时间，按规定不计入总工期。</w:t>
            </w:r>
          </w:p>
          <w:p>
            <w:pPr>
              <w:adjustRightInd w:val="0"/>
              <w:snapToGrid w:val="0"/>
              <w:spacing w:line="360" w:lineRule="auto"/>
              <w:ind w:firstLine="482"/>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w:t>
            </w:r>
            <w:r>
              <w:rPr>
                <w:rFonts w:hint="default" w:ascii="Times New Roman" w:hAnsi="Times New Roman" w:cs="Times New Roman"/>
                <w:color w:val="auto"/>
                <w:highlight w:val="none"/>
                <w:lang w:val="en-US" w:eastAsia="zh-CN"/>
              </w:rPr>
              <w:t>工程准备期</w:t>
            </w:r>
          </w:p>
          <w:p>
            <w:pPr>
              <w:adjustRightInd w:val="0"/>
              <w:snapToGrid w:val="0"/>
              <w:spacing w:line="360" w:lineRule="auto"/>
              <w:ind w:firstLine="482"/>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工程准备期为第一年的11月</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12月，占直线工期2个月。主要进行场内公路新建、改扩建，临时房屋修建、风水电系统建设、施工辅助企业等施工，完成导流明渠施工，同时进行大坝坝肩开挖。</w:t>
            </w:r>
          </w:p>
          <w:p>
            <w:pPr>
              <w:adjustRightInd w:val="0"/>
              <w:snapToGrid w:val="0"/>
              <w:spacing w:line="360" w:lineRule="auto"/>
              <w:ind w:firstLine="482"/>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（3）</w:t>
            </w:r>
            <w:r>
              <w:rPr>
                <w:rFonts w:hint="default" w:ascii="Times New Roman" w:hAnsi="Times New Roman" w:cs="Times New Roman"/>
                <w:color w:val="auto"/>
                <w:highlight w:val="none"/>
                <w:lang w:val="en-US" w:eastAsia="zh-CN"/>
              </w:rPr>
              <w:t>主体工程施工期</w:t>
            </w:r>
          </w:p>
          <w:p>
            <w:pPr>
              <w:adjustRightInd w:val="0"/>
              <w:snapToGrid w:val="0"/>
              <w:spacing w:line="360" w:lineRule="auto"/>
              <w:ind w:firstLine="482"/>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主体工程施工期为第二年1月～第三年8月，占直线工期20个月。此期间完成大坝、补水坝及补水渠、管理房、上坝公路等工程的施工。</w:t>
            </w:r>
          </w:p>
          <w:p>
            <w:pPr>
              <w:adjustRightInd w:val="0"/>
              <w:snapToGrid w:val="0"/>
              <w:spacing w:line="360" w:lineRule="auto"/>
              <w:ind w:firstLine="482"/>
              <w:rPr>
                <w:rFonts w:hint="default" w:ascii="Times New Roman" w:hAnsi="Times New Roman" w:cs="Times New Roman"/>
                <w:color w:val="auto"/>
                <w:highlight w:val="none"/>
                <w:lang w:val="en-US" w:eastAsia="zh-CN"/>
              </w:rPr>
            </w:pPr>
            <w:r>
              <w:rPr>
                <w:rFonts w:hint="eastAsia" w:ascii="宋体" w:hAnsi="宋体" w:eastAsia="宋体" w:cs="宋体"/>
                <w:color w:val="auto"/>
                <w:highlight w:val="none"/>
                <w:lang w:val="en-US" w:eastAsia="zh-CN"/>
              </w:rPr>
              <w:t>①</w:t>
            </w:r>
            <w:r>
              <w:rPr>
                <w:rFonts w:hint="default" w:ascii="Times New Roman" w:hAnsi="Times New Roman" w:cs="Times New Roman"/>
                <w:color w:val="auto"/>
                <w:highlight w:val="none"/>
                <w:lang w:val="en-US" w:eastAsia="zh-CN"/>
              </w:rPr>
              <w:t>大坝施工</w:t>
            </w:r>
          </w:p>
          <w:p>
            <w:pPr>
              <w:adjustRightInd w:val="0"/>
              <w:snapToGrid w:val="0"/>
              <w:spacing w:line="360" w:lineRule="auto"/>
              <w:ind w:firstLine="482"/>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大坝工程为本工程控制总工期的关键线路工程，控制性关键项目包括坝基开挖、坝基帷幕灌浆、坝体浇筑等项目。</w:t>
            </w:r>
          </w:p>
          <w:p>
            <w:pPr>
              <w:adjustRightInd w:val="0"/>
              <w:snapToGrid w:val="0"/>
              <w:spacing w:line="360" w:lineRule="auto"/>
              <w:ind w:firstLine="482"/>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第二年1月～3月完成基础混凝土浇筑、固结灌浆及帷幕灌浆，第三年6月完成大坝浇筑，第三年8月完成坝顶防浪墙及路面施工。</w:t>
            </w:r>
          </w:p>
          <w:p>
            <w:pPr>
              <w:adjustRightInd w:val="0"/>
              <w:snapToGrid w:val="0"/>
              <w:spacing w:line="360" w:lineRule="auto"/>
              <w:ind w:firstLine="482"/>
              <w:rPr>
                <w:rFonts w:hint="default" w:ascii="Times New Roman" w:hAnsi="Times New Roman" w:cs="Times New Roman"/>
                <w:color w:val="auto"/>
                <w:highlight w:val="none"/>
                <w:lang w:val="en-US" w:eastAsia="zh-CN"/>
              </w:rPr>
            </w:pPr>
            <w:r>
              <w:rPr>
                <w:rFonts w:hint="eastAsia" w:ascii="宋体" w:hAnsi="宋体" w:eastAsia="宋体" w:cs="宋体"/>
                <w:color w:val="auto"/>
                <w:highlight w:val="none"/>
                <w:lang w:val="en-US" w:eastAsia="zh-CN"/>
              </w:rPr>
              <w:t>②</w:t>
            </w:r>
            <w:r>
              <w:rPr>
                <w:rFonts w:hint="default" w:ascii="Times New Roman" w:hAnsi="Times New Roman" w:cs="Times New Roman"/>
                <w:color w:val="auto"/>
                <w:highlight w:val="none"/>
                <w:lang w:val="en-US" w:eastAsia="zh-CN"/>
              </w:rPr>
              <w:t>补水工程施工</w:t>
            </w:r>
          </w:p>
          <w:p>
            <w:pPr>
              <w:adjustRightInd w:val="0"/>
              <w:snapToGrid w:val="0"/>
              <w:spacing w:line="360" w:lineRule="auto"/>
              <w:ind w:firstLine="482"/>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补水拦河堰安排在一个枯期内完成施工；补水渠管道在第三年8月前完成施工。</w:t>
            </w:r>
          </w:p>
          <w:p>
            <w:pPr>
              <w:adjustRightInd w:val="0"/>
              <w:snapToGrid w:val="0"/>
              <w:spacing w:line="360" w:lineRule="auto"/>
              <w:ind w:firstLine="482"/>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（4）</w:t>
            </w:r>
            <w:r>
              <w:rPr>
                <w:rFonts w:hint="default" w:ascii="Times New Roman" w:hAnsi="Times New Roman" w:cs="Times New Roman"/>
                <w:color w:val="auto"/>
                <w:highlight w:val="none"/>
                <w:lang w:val="en-US" w:eastAsia="zh-CN"/>
              </w:rPr>
              <w:t>工程完建期</w:t>
            </w:r>
          </w:p>
          <w:p>
            <w:pPr>
              <w:adjustRightInd w:val="0"/>
              <w:snapToGrid w:val="0"/>
              <w:spacing w:line="360" w:lineRule="auto"/>
              <w:ind w:firstLine="482"/>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工程完建期为第三年9~10月，占直线工期2个月，主要完成工程的扫尾工作。</w:t>
            </w:r>
          </w:p>
          <w:p>
            <w:pPr>
              <w:adjustRightInd w:val="0"/>
              <w:snapToGrid w:val="0"/>
              <w:spacing w:line="360" w:lineRule="auto"/>
              <w:ind w:firstLine="482"/>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枢纽工程施工高峰强度：土石方开挖0.80万m³/月，土石方填筑0.44万m³/月，混凝土浇筑0.44万m³/月，高峰期施工人数约240人。</w:t>
            </w:r>
          </w:p>
          <w:p>
            <w:pPr>
              <w:adjustRightInd w:val="0"/>
              <w:snapToGrid w:val="0"/>
              <w:spacing w:line="360" w:lineRule="auto"/>
              <w:ind w:firstLine="482"/>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w:t>
            </w:r>
            <w:r>
              <w:rPr>
                <w:rFonts w:hint="default" w:ascii="Times New Roman" w:hAnsi="Times New Roman" w:cs="Times New Roman"/>
                <w:color w:val="auto"/>
                <w:highlight w:val="none"/>
                <w:lang w:val="en-US" w:eastAsia="zh-CN"/>
              </w:rPr>
              <w:t>灌区工程</w:t>
            </w:r>
          </w:p>
          <w:p>
            <w:pPr>
              <w:adjustRightInd w:val="0"/>
              <w:snapToGrid w:val="0"/>
              <w:spacing w:line="360" w:lineRule="auto"/>
              <w:ind w:firstLine="482"/>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灌区工程中瑶子石隧洞施工为关键线路，该隧洞长1.44km。根据现场勘查及地形资料，瑶子石隧洞沿线山体宽厚，轴线两侧500m范围内无修建施工支洞的条件，故瑶子石隧洞不设施工支洞。</w:t>
            </w:r>
          </w:p>
          <w:p>
            <w:pPr>
              <w:adjustRightInd w:val="0"/>
              <w:snapToGrid w:val="0"/>
              <w:spacing w:line="360" w:lineRule="auto"/>
              <w:ind w:firstLine="482"/>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灌区工程施工分为工程筹备期、工程准备期、主体工程施工期和工程完建期四个阶段。工程筹建期不计入总工期。规划灌区工程施工总工期12个月，即第一年11月～第二年10月：其中工程准备期1个月，即第一年11月；主体工程施工期10个月，即第一年12月～第二年9月；工程完建期为1个月，即第二年10月。</w:t>
            </w:r>
          </w:p>
          <w:p>
            <w:pPr>
              <w:adjustRightInd w:val="0"/>
              <w:snapToGrid w:val="0"/>
              <w:spacing w:line="360" w:lineRule="auto"/>
              <w:ind w:firstLine="482"/>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w:t>
            </w:r>
            <w:r>
              <w:rPr>
                <w:rFonts w:hint="default" w:ascii="Times New Roman" w:hAnsi="Times New Roman" w:cs="Times New Roman"/>
                <w:color w:val="auto"/>
                <w:highlight w:val="none"/>
                <w:lang w:val="en-US" w:eastAsia="zh-CN"/>
              </w:rPr>
              <w:t>工程筹建期</w:t>
            </w:r>
          </w:p>
          <w:p>
            <w:pPr>
              <w:adjustRightInd w:val="0"/>
              <w:snapToGrid w:val="0"/>
              <w:spacing w:line="360" w:lineRule="auto"/>
              <w:ind w:firstLine="482"/>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工程筹建期安排在第一年11月以前进行，不计入总工期，筹建期内应</w:t>
            </w:r>
            <w:r>
              <w:rPr>
                <w:rFonts w:hint="eastAsia" w:cs="Times New Roman"/>
                <w:color w:val="auto"/>
                <w:highlight w:val="none"/>
                <w:lang w:val="en-US" w:eastAsia="zh-CN"/>
              </w:rPr>
              <w:t>完成</w:t>
            </w:r>
            <w:r>
              <w:rPr>
                <w:rFonts w:hint="default" w:ascii="Times New Roman" w:hAnsi="Times New Roman" w:cs="Times New Roman"/>
                <w:color w:val="auto"/>
                <w:highlight w:val="none"/>
                <w:lang w:val="en-US" w:eastAsia="zh-CN"/>
              </w:rPr>
              <w:t>征地、招标、签约等工作，为施工队伍进场创造条件；完成场外主要公路建设、施工用电线路架设、通讯、临时房屋修建等工程。</w:t>
            </w:r>
          </w:p>
          <w:p>
            <w:pPr>
              <w:adjustRightInd w:val="0"/>
              <w:snapToGrid w:val="0"/>
              <w:spacing w:line="360" w:lineRule="auto"/>
              <w:ind w:firstLine="482"/>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w:t>
            </w:r>
            <w:r>
              <w:rPr>
                <w:rFonts w:hint="default" w:ascii="Times New Roman" w:hAnsi="Times New Roman" w:cs="Times New Roman"/>
                <w:color w:val="auto"/>
                <w:highlight w:val="none"/>
                <w:lang w:val="en-US" w:eastAsia="zh-CN"/>
              </w:rPr>
              <w:t>工程准备期</w:t>
            </w:r>
          </w:p>
          <w:p>
            <w:pPr>
              <w:adjustRightInd w:val="0"/>
              <w:snapToGrid w:val="0"/>
              <w:spacing w:line="360" w:lineRule="auto"/>
              <w:ind w:firstLine="482"/>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工程准备期为第一年11月，共1个月，主要进行场内公路修整、新修，临时房屋修建、砂石骨料准备、混凝土系统、综合加工场和风</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水</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电及通讯系统等工程施工。</w:t>
            </w:r>
          </w:p>
          <w:p>
            <w:pPr>
              <w:adjustRightInd w:val="0"/>
              <w:snapToGrid w:val="0"/>
              <w:spacing w:line="360" w:lineRule="auto"/>
              <w:ind w:firstLine="482"/>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（3）主体工程施工期</w:t>
            </w:r>
          </w:p>
          <w:p>
            <w:pPr>
              <w:adjustRightInd w:val="0"/>
              <w:snapToGrid w:val="0"/>
              <w:spacing w:line="360" w:lineRule="auto"/>
              <w:ind w:firstLine="482"/>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主体施工期第一年12月～第二年9月，共10个月。在此施工期内完成隧洞、输水管道及附属建筑工程施工，使其具备通水条件。</w:t>
            </w:r>
          </w:p>
          <w:p>
            <w:pPr>
              <w:adjustRightInd w:val="0"/>
              <w:snapToGrid w:val="0"/>
              <w:spacing w:line="360" w:lineRule="auto"/>
              <w:ind w:firstLine="482"/>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（4）工程完建期</w:t>
            </w:r>
          </w:p>
          <w:p>
            <w:pPr>
              <w:adjustRightInd w:val="0"/>
              <w:snapToGrid w:val="0"/>
              <w:spacing w:line="360" w:lineRule="auto"/>
              <w:ind w:firstLine="482"/>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工程完建期为第二年10月，共1个月，主要进行工程收尾工作及队伍的撤场等。</w:t>
            </w:r>
          </w:p>
          <w:p>
            <w:pPr>
              <w:adjustRightInd w:val="0"/>
              <w:snapToGrid w:val="0"/>
              <w:spacing w:line="360" w:lineRule="auto"/>
              <w:ind w:firstLine="482"/>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灌区工程施工高峰强度：土石方开挖0.74万m³/月，土石方填筑0.46万m³/月，混凝土浇筑0.07万m³/月，高峰期施工人数约130人。</w:t>
            </w:r>
          </w:p>
          <w:p>
            <w:pPr>
              <w:adjustRightInd w:val="0"/>
              <w:snapToGrid w:val="0"/>
              <w:spacing w:line="360" w:lineRule="auto"/>
              <w:ind w:firstLine="482" w:firstLineChars="0"/>
              <w:rPr>
                <w:rFonts w:hint="default" w:ascii="Times New Roman" w:hAnsi="Times New Roman" w:cs="Times New Roman"/>
                <w:color w:val="auto"/>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102" w:type="dxa"/>
            <w:vAlign w:val="center"/>
          </w:tcPr>
          <w:p>
            <w:pPr>
              <w:adjustRightInd w:val="0"/>
              <w:snapToGrid w:val="0"/>
              <w:spacing w:line="36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其他</w:t>
            </w:r>
          </w:p>
        </w:tc>
        <w:tc>
          <w:tcPr>
            <w:tcW w:w="855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无</w:t>
            </w:r>
          </w:p>
        </w:tc>
      </w:tr>
    </w:tbl>
    <w:p>
      <w:pPr>
        <w:pStyle w:val="26"/>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仿宋_GB2312" w:cs="Times New Roman"/>
          <w:b/>
          <w:bCs/>
          <w:color w:val="auto"/>
          <w:highlight w:val="none"/>
        </w:rPr>
        <w:br w:type="page"/>
      </w:r>
      <w:r>
        <w:rPr>
          <w:rFonts w:hint="default" w:ascii="Times New Roman" w:hAnsi="Times New Roman" w:eastAsia="黑体" w:cs="Times New Roman"/>
          <w:snapToGrid w:val="0"/>
          <w:color w:val="auto"/>
          <w:sz w:val="30"/>
          <w:szCs w:val="30"/>
          <w:highlight w:val="none"/>
        </w:rPr>
        <w:t>三、生态环境现状、保护目标及评价标准</w:t>
      </w:r>
    </w:p>
    <w:tbl>
      <w:tblPr>
        <w:tblStyle w:val="29"/>
        <w:tblW w:w="91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2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97" w:hRule="atLeast"/>
          <w:jc w:val="center"/>
        </w:trPr>
        <w:tc>
          <w:tcPr>
            <w:tcW w:w="869" w:type="dxa"/>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生态环境现状</w:t>
            </w:r>
          </w:p>
        </w:tc>
        <w:tc>
          <w:tcPr>
            <w:tcW w:w="8288" w:type="dxa"/>
            <w:vAlign w:val="top"/>
          </w:tcPr>
          <w:p>
            <w:pPr>
              <w:adjustRightInd w:val="0"/>
              <w:snapToGrid w:val="0"/>
              <w:spacing w:line="360" w:lineRule="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3.1.1生态功能区划</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jc w:val="left"/>
              <w:textAlignment w:val="auto"/>
              <w:rPr>
                <w:color w:val="auto"/>
                <w:kern w:val="0"/>
                <w:szCs w:val="21"/>
                <w:highlight w:val="none"/>
                <w:lang w:bidi="ar"/>
              </w:rPr>
            </w:pPr>
            <w:r>
              <w:rPr>
                <w:color w:val="auto"/>
                <w:kern w:val="0"/>
                <w:szCs w:val="21"/>
                <w:highlight w:val="none"/>
                <w:lang w:bidi="ar"/>
              </w:rPr>
              <w:t>根据《四川省生态功能区划》</w:t>
            </w:r>
            <w:r>
              <w:rPr>
                <w:rFonts w:hint="eastAsia"/>
                <w:color w:val="auto"/>
                <w:kern w:val="0"/>
                <w:szCs w:val="21"/>
                <w:highlight w:val="none"/>
                <w:lang w:eastAsia="zh-CN" w:bidi="ar"/>
              </w:rPr>
              <w:t>（</w:t>
            </w:r>
            <w:r>
              <w:rPr>
                <w:rFonts w:hint="eastAsia"/>
                <w:color w:val="auto"/>
                <w:kern w:val="0"/>
                <w:szCs w:val="21"/>
                <w:highlight w:val="none"/>
                <w:lang w:val="en-US" w:eastAsia="zh-CN" w:bidi="ar"/>
              </w:rPr>
              <w:t>2010版</w:t>
            </w:r>
            <w:r>
              <w:rPr>
                <w:rFonts w:hint="eastAsia"/>
                <w:color w:val="auto"/>
                <w:kern w:val="0"/>
                <w:szCs w:val="21"/>
                <w:highlight w:val="none"/>
                <w:lang w:eastAsia="zh-CN" w:bidi="ar"/>
              </w:rPr>
              <w:t>）</w:t>
            </w:r>
            <w:r>
              <w:rPr>
                <w:color w:val="auto"/>
                <w:kern w:val="0"/>
                <w:szCs w:val="21"/>
                <w:highlight w:val="none"/>
                <w:lang w:bidi="ar"/>
              </w:rPr>
              <w:t>，</w:t>
            </w:r>
            <w:r>
              <w:rPr>
                <w:rFonts w:hint="eastAsia"/>
                <w:color w:val="auto"/>
                <w:kern w:val="0"/>
                <w:szCs w:val="21"/>
                <w:highlight w:val="none"/>
                <w:lang w:val="en-US" w:eastAsia="zh-CN" w:bidi="ar"/>
              </w:rPr>
              <w:t>项目所在生态功能区划如下：</w:t>
            </w:r>
          </w:p>
          <w:p>
            <w:pPr>
              <w:widowControl/>
              <w:spacing w:line="240" w:lineRule="auto"/>
              <w:jc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表3.1.1-1 项目所在生态功能区划</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1019"/>
              <w:gridCol w:w="1201"/>
              <w:gridCol w:w="1364"/>
              <w:gridCol w:w="945"/>
              <w:gridCol w:w="2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48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kern w:val="0"/>
                      <w:sz w:val="18"/>
                      <w:szCs w:val="18"/>
                      <w:highlight w:val="none"/>
                      <w:vertAlign w:val="baseline"/>
                      <w:lang w:bidi="ar"/>
                    </w:rPr>
                  </w:pPr>
                  <w:r>
                    <w:rPr>
                      <w:rFonts w:hint="eastAsia"/>
                      <w:color w:val="auto"/>
                      <w:kern w:val="0"/>
                      <w:sz w:val="18"/>
                      <w:szCs w:val="18"/>
                      <w:highlight w:val="none"/>
                      <w:vertAlign w:val="baseline"/>
                      <w:lang w:bidi="ar"/>
                    </w:rPr>
                    <w:t>生态区</w:t>
                  </w:r>
                </w:p>
              </w:tc>
              <w:tc>
                <w:tcPr>
                  <w:tcW w:w="63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kern w:val="0"/>
                      <w:sz w:val="18"/>
                      <w:szCs w:val="18"/>
                      <w:highlight w:val="none"/>
                      <w:vertAlign w:val="baseline"/>
                      <w:lang w:bidi="ar"/>
                    </w:rPr>
                  </w:pPr>
                  <w:r>
                    <w:rPr>
                      <w:color w:val="auto"/>
                      <w:kern w:val="0"/>
                      <w:sz w:val="18"/>
                      <w:szCs w:val="18"/>
                      <w:highlight w:val="none"/>
                      <w:vertAlign w:val="baseline"/>
                      <w:lang w:bidi="ar"/>
                    </w:rPr>
                    <w:t>生态亚区</w:t>
                  </w:r>
                </w:p>
              </w:tc>
              <w:tc>
                <w:tcPr>
                  <w:tcW w:w="74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kern w:val="0"/>
                      <w:sz w:val="18"/>
                      <w:szCs w:val="18"/>
                      <w:highlight w:val="none"/>
                      <w:vertAlign w:val="baseline"/>
                      <w:lang w:bidi="ar"/>
                    </w:rPr>
                  </w:pPr>
                  <w:r>
                    <w:rPr>
                      <w:rFonts w:hint="eastAsia"/>
                      <w:color w:val="auto"/>
                      <w:kern w:val="0"/>
                      <w:sz w:val="18"/>
                      <w:szCs w:val="18"/>
                      <w:highlight w:val="none"/>
                      <w:vertAlign w:val="baseline"/>
                      <w:lang w:bidi="ar"/>
                    </w:rPr>
                    <w:t>生态功能区</w:t>
                  </w:r>
                </w:p>
              </w:tc>
              <w:tc>
                <w:tcPr>
                  <w:tcW w:w="84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kern w:val="0"/>
                      <w:sz w:val="18"/>
                      <w:szCs w:val="18"/>
                      <w:highlight w:val="none"/>
                      <w:vertAlign w:val="baseline"/>
                      <w:lang w:bidi="ar"/>
                    </w:rPr>
                  </w:pPr>
                  <w:r>
                    <w:rPr>
                      <w:rFonts w:hint="eastAsia"/>
                      <w:color w:val="auto"/>
                      <w:kern w:val="0"/>
                      <w:sz w:val="18"/>
                      <w:szCs w:val="18"/>
                      <w:highlight w:val="none"/>
                      <w:vertAlign w:val="baseline"/>
                      <w:lang w:bidi="ar"/>
                    </w:rPr>
                    <w:t>主要环境问题</w:t>
                  </w:r>
                </w:p>
              </w:tc>
              <w:tc>
                <w:tcPr>
                  <w:tcW w:w="58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kern w:val="0"/>
                      <w:sz w:val="18"/>
                      <w:szCs w:val="18"/>
                      <w:highlight w:val="none"/>
                      <w:vertAlign w:val="baseline"/>
                      <w:lang w:bidi="ar"/>
                    </w:rPr>
                  </w:pPr>
                  <w:r>
                    <w:rPr>
                      <w:rFonts w:hint="eastAsia"/>
                      <w:color w:val="auto"/>
                      <w:kern w:val="0"/>
                      <w:sz w:val="18"/>
                      <w:szCs w:val="18"/>
                      <w:highlight w:val="none"/>
                      <w:vertAlign w:val="baseline"/>
                      <w:lang w:bidi="ar"/>
                    </w:rPr>
                    <w:t>服务功能</w:t>
                  </w:r>
                </w:p>
              </w:tc>
              <w:tc>
                <w:tcPr>
                  <w:tcW w:w="170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kern w:val="0"/>
                      <w:sz w:val="18"/>
                      <w:szCs w:val="18"/>
                      <w:highlight w:val="none"/>
                      <w:vertAlign w:val="baseline"/>
                      <w:lang w:bidi="ar"/>
                    </w:rPr>
                  </w:pPr>
                  <w:r>
                    <w:rPr>
                      <w:rFonts w:hint="eastAsia"/>
                      <w:color w:val="auto"/>
                      <w:kern w:val="0"/>
                      <w:sz w:val="18"/>
                      <w:szCs w:val="18"/>
                      <w:highlight w:val="none"/>
                      <w:vertAlign w:val="baseline"/>
                      <w:lang w:bidi="ar"/>
                    </w:rPr>
                    <w:t>保护与发展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kern w:val="0"/>
                      <w:sz w:val="18"/>
                      <w:szCs w:val="18"/>
                      <w:highlight w:val="none"/>
                      <w:vertAlign w:val="baseline"/>
                      <w:lang w:bidi="ar"/>
                    </w:rPr>
                  </w:pPr>
                  <w:r>
                    <w:rPr>
                      <w:rFonts w:hint="eastAsia"/>
                      <w:color w:val="auto"/>
                      <w:kern w:val="0"/>
                      <w:sz w:val="18"/>
                      <w:szCs w:val="18"/>
                      <w:highlight w:val="none"/>
                      <w:vertAlign w:val="baseline"/>
                      <w:lang w:bidi="ar"/>
                    </w:rPr>
                    <w:t>I四川盆地亚热带湿润气候生态区</w:t>
                  </w:r>
                </w:p>
              </w:tc>
              <w:tc>
                <w:tcPr>
                  <w:tcW w:w="63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kern w:val="0"/>
                      <w:sz w:val="18"/>
                      <w:szCs w:val="18"/>
                      <w:highlight w:val="none"/>
                      <w:vertAlign w:val="baseline"/>
                      <w:lang w:bidi="ar"/>
                    </w:rPr>
                  </w:pPr>
                  <w:r>
                    <w:rPr>
                      <w:rFonts w:hint="eastAsia"/>
                      <w:color w:val="auto"/>
                      <w:kern w:val="0"/>
                      <w:sz w:val="18"/>
                      <w:szCs w:val="18"/>
                      <w:highlight w:val="none"/>
                      <w:vertAlign w:val="baseline"/>
                      <w:lang w:bidi="ar"/>
                    </w:rPr>
                    <w:t>I-3盆北秦巴山地常绿阔叶林-针阔混交林生态亚区</w:t>
                  </w:r>
                </w:p>
              </w:tc>
              <w:tc>
                <w:tcPr>
                  <w:tcW w:w="745"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kern w:val="0"/>
                      <w:sz w:val="18"/>
                      <w:szCs w:val="18"/>
                      <w:highlight w:val="none"/>
                      <w:vertAlign w:val="baseline"/>
                      <w:lang w:bidi="ar"/>
                    </w:rPr>
                  </w:pPr>
                  <w:r>
                    <w:rPr>
                      <w:rFonts w:hint="eastAsia"/>
                      <w:color w:val="auto"/>
                      <w:kern w:val="0"/>
                      <w:sz w:val="18"/>
                      <w:szCs w:val="18"/>
                      <w:highlight w:val="none"/>
                      <w:vertAlign w:val="baseline"/>
                      <w:lang w:bidi="ar"/>
                    </w:rPr>
                    <w:t>阔叶林-针阔混交林生态亚区 I-3-2大巴山水源涵养与土壤保持生态功能区</w:t>
                  </w:r>
                </w:p>
              </w:tc>
              <w:tc>
                <w:tcPr>
                  <w:tcW w:w="84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kern w:val="0"/>
                      <w:sz w:val="18"/>
                      <w:szCs w:val="18"/>
                      <w:highlight w:val="none"/>
                      <w:vertAlign w:val="baseline"/>
                      <w:lang w:bidi="ar"/>
                    </w:rPr>
                  </w:pPr>
                  <w:r>
                    <w:rPr>
                      <w:rFonts w:hint="eastAsia"/>
                      <w:color w:val="auto"/>
                      <w:kern w:val="0"/>
                      <w:sz w:val="18"/>
                      <w:szCs w:val="18"/>
                      <w:highlight w:val="none"/>
                      <w:vertAlign w:val="baseline"/>
                      <w:lang w:bidi="ar"/>
                    </w:rPr>
                    <w:t>多洪灾，滑坡崩塌强烈发育，水土流失严重</w:t>
                  </w:r>
                </w:p>
              </w:tc>
              <w:tc>
                <w:tcPr>
                  <w:tcW w:w="58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kern w:val="0"/>
                      <w:sz w:val="18"/>
                      <w:szCs w:val="18"/>
                      <w:highlight w:val="none"/>
                      <w:vertAlign w:val="baseline"/>
                      <w:lang w:bidi="ar"/>
                    </w:rPr>
                  </w:pPr>
                  <w:r>
                    <w:rPr>
                      <w:rFonts w:hint="eastAsia"/>
                      <w:color w:val="auto"/>
                      <w:kern w:val="0"/>
                      <w:sz w:val="18"/>
                      <w:szCs w:val="18"/>
                      <w:highlight w:val="none"/>
                      <w:vertAlign w:val="baseline"/>
                      <w:lang w:bidi="ar"/>
                    </w:rPr>
                    <w:t>水源涵养功能，土壤保持功能</w:t>
                  </w:r>
                </w:p>
              </w:tc>
              <w:tc>
                <w:tcPr>
                  <w:tcW w:w="170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kern w:val="0"/>
                      <w:sz w:val="18"/>
                      <w:szCs w:val="18"/>
                      <w:highlight w:val="none"/>
                      <w:vertAlign w:val="baseline"/>
                      <w:lang w:bidi="ar"/>
                    </w:rPr>
                  </w:pPr>
                  <w:r>
                    <w:rPr>
                      <w:rFonts w:hint="eastAsia"/>
                      <w:color w:val="auto"/>
                      <w:kern w:val="0"/>
                      <w:sz w:val="18"/>
                      <w:szCs w:val="18"/>
                      <w:highlight w:val="none"/>
                      <w:vertAlign w:val="baseline"/>
                      <w:lang w:bidi="ar"/>
                    </w:rPr>
                    <w:t>保护森林植被和生物多样性，巩固长江上游防护林建设、天然林保护和退耕还林成果。合理开发和利用自然资源，发展特色农业，绿色和有机农产品。拓展生态农业产业链，培育新的经济增长点。规范和严格管理矿产、水电、生物资源的开发，防止对生态环境和生态系统的不利影响</w:t>
                  </w:r>
                </w:p>
              </w:tc>
            </w:tr>
          </w:tbl>
          <w:p>
            <w:pPr>
              <w:widowControl/>
              <w:spacing w:line="360" w:lineRule="auto"/>
              <w:ind w:firstLine="420" w:firstLineChars="200"/>
              <w:jc w:val="left"/>
              <w:rPr>
                <w:color w:val="auto"/>
                <w:szCs w:val="21"/>
                <w:highlight w:val="none"/>
              </w:rPr>
            </w:pPr>
            <w:r>
              <w:rPr>
                <w:color w:val="auto"/>
                <w:kern w:val="0"/>
                <w:szCs w:val="21"/>
                <w:highlight w:val="none"/>
                <w:lang w:bidi="ar"/>
              </w:rPr>
              <w:t>本项目生态现状采取现场踏勘、引用已有资料进行现状评价。</w:t>
            </w:r>
          </w:p>
          <w:p>
            <w:pPr>
              <w:adjustRightInd w:val="0"/>
              <w:snapToGrid w:val="0"/>
              <w:spacing w:line="360" w:lineRule="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3.1.2</w:t>
            </w:r>
            <w:r>
              <w:rPr>
                <w:rFonts w:hint="eastAsia" w:cs="Times New Roman"/>
                <w:b/>
                <w:bCs/>
                <w:color w:val="auto"/>
                <w:sz w:val="21"/>
                <w:szCs w:val="21"/>
                <w:highlight w:val="none"/>
                <w:lang w:val="en-US" w:eastAsia="zh-CN"/>
              </w:rPr>
              <w:t>主体功能区划</w:t>
            </w:r>
          </w:p>
          <w:p>
            <w:pPr>
              <w:widowControl/>
              <w:spacing w:line="360" w:lineRule="auto"/>
              <w:ind w:firstLine="420" w:firstLineChars="200"/>
              <w:jc w:val="left"/>
              <w:rPr>
                <w:rFonts w:hint="eastAsia"/>
                <w:kern w:val="0"/>
                <w:szCs w:val="21"/>
                <w:lang w:eastAsia="zh-CN" w:bidi="ar"/>
              </w:rPr>
            </w:pPr>
            <w:r>
              <w:rPr>
                <w:rFonts w:hint="eastAsia"/>
                <w:kern w:val="0"/>
                <w:szCs w:val="21"/>
                <w:lang w:bidi="ar"/>
              </w:rPr>
              <w:t>根据</w:t>
            </w:r>
            <w:r>
              <w:rPr>
                <w:rFonts w:hint="eastAsia"/>
                <w:kern w:val="0"/>
                <w:szCs w:val="21"/>
                <w:lang w:eastAsia="zh-CN" w:bidi="ar"/>
              </w:rPr>
              <w:t>《</w:t>
            </w:r>
            <w:r>
              <w:rPr>
                <w:rFonts w:hint="eastAsia"/>
                <w:kern w:val="0"/>
                <w:szCs w:val="21"/>
                <w:lang w:val="en-US" w:eastAsia="zh-CN" w:bidi="ar"/>
              </w:rPr>
              <w:t>四川省主体功能区划</w:t>
            </w:r>
            <w:r>
              <w:rPr>
                <w:rFonts w:hint="eastAsia"/>
                <w:kern w:val="0"/>
                <w:szCs w:val="21"/>
                <w:lang w:eastAsia="zh-CN" w:bidi="ar"/>
              </w:rPr>
              <w:t>》，项目所在地</w:t>
            </w:r>
            <w:r>
              <w:rPr>
                <w:rFonts w:hint="eastAsia"/>
                <w:kern w:val="0"/>
                <w:szCs w:val="21"/>
                <w:lang w:val="en-US" w:eastAsia="zh-CN" w:bidi="ar"/>
              </w:rPr>
              <w:t>属于省级层面重点开发区域</w:t>
            </w:r>
            <w:r>
              <w:rPr>
                <w:rFonts w:hint="eastAsia"/>
                <w:kern w:val="0"/>
                <w:szCs w:val="21"/>
                <w:lang w:eastAsia="zh-CN" w:bidi="ar"/>
              </w:rPr>
              <w:t>：</w:t>
            </w:r>
            <w:r>
              <w:rPr>
                <w:rFonts w:hint="eastAsia"/>
                <w:kern w:val="0"/>
                <w:szCs w:val="21"/>
                <w:lang w:val="en-US" w:eastAsia="zh-CN" w:bidi="ar"/>
              </w:rPr>
              <w:t>点状开发城镇</w:t>
            </w:r>
            <w:r>
              <w:rPr>
                <w:rFonts w:hint="eastAsia"/>
                <w:kern w:val="0"/>
                <w:szCs w:val="21"/>
                <w:lang w:eastAsia="zh-CN" w:bidi="ar"/>
              </w:rPr>
              <w:t>—</w:t>
            </w:r>
            <w:r>
              <w:rPr>
                <w:rFonts w:hint="eastAsia"/>
                <w:kern w:val="0"/>
                <w:szCs w:val="21"/>
                <w:lang w:val="en-US" w:eastAsia="zh-CN" w:bidi="ar"/>
              </w:rPr>
              <w:t>宣汉县</w:t>
            </w:r>
            <w:r>
              <w:rPr>
                <w:rFonts w:hint="eastAsia"/>
                <w:kern w:val="0"/>
                <w:szCs w:val="21"/>
                <w:lang w:eastAsia="zh-CN" w:bidi="ar"/>
              </w:rPr>
              <w:t>，不属于重点生态功能区，项目不涉及自然保护区、世界文化遗产、风景名胜区、森林公园和地质公园。</w:t>
            </w:r>
            <w:r>
              <w:rPr>
                <w:rFonts w:hint="eastAsia"/>
                <w:kern w:val="0"/>
                <w:szCs w:val="21"/>
                <w:lang w:val="en-US" w:eastAsia="zh-CN" w:bidi="ar"/>
              </w:rPr>
              <w:t>该区域</w:t>
            </w:r>
            <w:r>
              <w:rPr>
                <w:rFonts w:hint="eastAsia"/>
                <w:kern w:val="0"/>
                <w:szCs w:val="21"/>
                <w:lang w:eastAsia="zh-CN" w:bidi="ar"/>
              </w:rPr>
              <w:t>主体功能定位</w:t>
            </w:r>
            <w:r>
              <w:rPr>
                <w:rFonts w:hint="eastAsia"/>
                <w:kern w:val="0"/>
                <w:szCs w:val="21"/>
                <w:lang w:val="en-US" w:eastAsia="zh-CN" w:bidi="ar"/>
              </w:rPr>
              <w:t>为：</w:t>
            </w:r>
            <w:r>
              <w:rPr>
                <w:rFonts w:hint="eastAsia"/>
                <w:kern w:val="0"/>
                <w:szCs w:val="21"/>
                <w:lang w:eastAsia="zh-CN" w:bidi="ar"/>
              </w:rPr>
              <w:t>支撑全省经济增长的重要支撑区，实施加快推进新型工业化新型城镇化的主要承载区，是全省经济和人口密集区。</w:t>
            </w:r>
          </w:p>
          <w:p>
            <w:pPr>
              <w:widowControl/>
              <w:spacing w:line="360" w:lineRule="auto"/>
              <w:ind w:firstLine="420" w:firstLineChars="200"/>
              <w:jc w:val="left"/>
              <w:rPr>
                <w:rFonts w:hint="eastAsia"/>
                <w:kern w:val="0"/>
                <w:szCs w:val="21"/>
                <w:lang w:eastAsia="zh-CN" w:bidi="ar"/>
              </w:rPr>
            </w:pPr>
            <w:r>
              <w:rPr>
                <w:rFonts w:hint="eastAsia"/>
                <w:kern w:val="0"/>
                <w:szCs w:val="21"/>
                <w:lang w:eastAsia="zh-CN" w:bidi="ar"/>
              </w:rPr>
              <w:t>重点开发区域应在保护生态环境、降低能源资源消耗、控制污染物排放总量、提高经济效益的前提下，坚持走新型工业化道路，推进产业结构优化升级，提高自主创新能力，增强产业竞争能力，大力发展战略性新兴产业和先进制造业，壮大发展特色优势产业，加快发展现代服务业和现代农业，推动经济持续快速发展；坚持走新型城镇化发展道路，完善城镇体系，优化空间布局，增强城镇集聚产业、承载人口、辐射带动区域发展的能力，提升城镇化质量和水平，大力发展区域性中心城市，促进大中小城市和小城镇协调发展。</w:t>
            </w:r>
          </w:p>
          <w:p>
            <w:pPr>
              <w:widowControl/>
              <w:spacing w:line="360" w:lineRule="auto"/>
              <w:ind w:firstLine="420" w:firstLineChars="200"/>
              <w:jc w:val="left"/>
              <w:rPr>
                <w:rFonts w:hint="eastAsia"/>
                <w:kern w:val="0"/>
                <w:szCs w:val="21"/>
                <w:lang w:val="en-US" w:eastAsia="zh-CN" w:bidi="ar"/>
              </w:rPr>
            </w:pPr>
            <w:r>
              <w:rPr>
                <w:rFonts w:hint="eastAsia"/>
                <w:kern w:val="0"/>
                <w:szCs w:val="21"/>
                <w:lang w:val="en-US" w:eastAsia="zh-CN" w:bidi="ar"/>
              </w:rPr>
              <w:t>区域发展方向和原则为：</w:t>
            </w:r>
          </w:p>
          <w:p>
            <w:pPr>
              <w:widowControl/>
              <w:spacing w:line="360" w:lineRule="auto"/>
              <w:ind w:firstLine="420" w:firstLineChars="200"/>
              <w:jc w:val="left"/>
              <w:rPr>
                <w:rFonts w:hint="eastAsia"/>
                <w:kern w:val="0"/>
                <w:szCs w:val="21"/>
                <w:lang w:val="en-US" w:eastAsia="zh-CN" w:bidi="ar"/>
              </w:rPr>
            </w:pPr>
            <w:r>
              <w:rPr>
                <w:rFonts w:hint="eastAsia"/>
                <w:kern w:val="0"/>
                <w:szCs w:val="21"/>
                <w:lang w:val="en-US" w:eastAsia="zh-CN" w:bidi="ar"/>
              </w:rPr>
              <w:t>①统筹规划国土空间。适当扩大制造业空间，扩大服务业、交通和城市居住等空间，扩大绿色生态空间，合理利用农村居住空间，减少城市核心区工矿建设空间，控制开发区过度分散；</w:t>
            </w:r>
          </w:p>
          <w:p>
            <w:pPr>
              <w:widowControl/>
              <w:spacing w:line="360" w:lineRule="auto"/>
              <w:ind w:firstLine="420" w:firstLineChars="200"/>
              <w:jc w:val="left"/>
              <w:rPr>
                <w:rFonts w:hint="eastAsia"/>
                <w:kern w:val="0"/>
                <w:szCs w:val="21"/>
                <w:lang w:val="en-US" w:eastAsia="zh-CN" w:bidi="ar"/>
              </w:rPr>
            </w:pPr>
            <w:r>
              <w:rPr>
                <w:rFonts w:hint="eastAsia"/>
                <w:kern w:val="0"/>
                <w:szCs w:val="21"/>
                <w:lang w:val="en-US" w:eastAsia="zh-CN" w:bidi="ar"/>
              </w:rPr>
              <w:t>②健全城市规模结构。优化特大城市空间布局，合理控制城市规模，扩大大中城市规模，形成辐射带动力强的区域性中心城市，发展壮大其他城市，推动形成分工协作、优势互补、各具特色、体系完善、联系紧密、集约高效的网络化城市群；</w:t>
            </w:r>
          </w:p>
          <w:p>
            <w:pPr>
              <w:widowControl/>
              <w:spacing w:line="360" w:lineRule="auto"/>
              <w:ind w:firstLine="420" w:firstLineChars="200"/>
              <w:jc w:val="left"/>
              <w:rPr>
                <w:rFonts w:hint="eastAsia"/>
                <w:kern w:val="0"/>
                <w:szCs w:val="21"/>
                <w:lang w:val="en-US" w:eastAsia="zh-CN" w:bidi="ar"/>
              </w:rPr>
            </w:pPr>
            <w:r>
              <w:rPr>
                <w:rFonts w:hint="eastAsia"/>
                <w:kern w:val="0"/>
                <w:szCs w:val="21"/>
                <w:lang w:val="en-US" w:eastAsia="zh-CN" w:bidi="ar"/>
              </w:rPr>
              <w:t>③促进人口加快集聚。加快推进城镇化进程，促进农业富余人口就地就近迁移，将符合落户条件的农业转移人口逐步转为城镇居民，引导区域内人口向区域性中心城市、县城、中心镇集聚。农村居民点适度集中布局；</w:t>
            </w:r>
          </w:p>
          <w:p>
            <w:pPr>
              <w:widowControl/>
              <w:spacing w:line="360" w:lineRule="auto"/>
              <w:ind w:firstLine="420" w:firstLineChars="200"/>
              <w:jc w:val="left"/>
              <w:rPr>
                <w:rFonts w:hint="eastAsia"/>
                <w:kern w:val="0"/>
                <w:szCs w:val="21"/>
                <w:lang w:val="en-US" w:eastAsia="zh-CN" w:bidi="ar"/>
              </w:rPr>
            </w:pPr>
            <w:r>
              <w:rPr>
                <w:rFonts w:hint="eastAsia"/>
                <w:kern w:val="0"/>
                <w:szCs w:val="21"/>
                <w:lang w:val="en-US" w:eastAsia="zh-CN" w:bidi="ar"/>
              </w:rPr>
              <w:t>④构建现代产业体系。发展优质、高效、安全、生态的现代农业，大力发展战略性新兴产业和先进制造业，壮大优势特色产业，加快服务业发展，推动产业集中集约集群发展，开发利用优势资源，促进资源加工转化，增强产业竞争能力；</w:t>
            </w:r>
          </w:p>
          <w:p>
            <w:pPr>
              <w:widowControl/>
              <w:spacing w:line="360" w:lineRule="auto"/>
              <w:ind w:firstLine="420" w:firstLineChars="200"/>
              <w:jc w:val="left"/>
              <w:rPr>
                <w:rFonts w:hint="eastAsia"/>
                <w:kern w:val="0"/>
                <w:szCs w:val="21"/>
                <w:lang w:val="en-US" w:eastAsia="zh-CN" w:bidi="ar"/>
              </w:rPr>
            </w:pPr>
            <w:r>
              <w:rPr>
                <w:rFonts w:hint="eastAsia"/>
                <w:kern w:val="0"/>
                <w:szCs w:val="21"/>
                <w:lang w:val="en-US" w:eastAsia="zh-CN" w:bidi="ar"/>
              </w:rPr>
              <w:t>⑤提高经济发展质量。推进经济发展方式转变，加强科技创新，提高产品附加价值，提高经济发展质量和效益，促进循环经济和绿色经济发展，提高资源利用效率，降低污染物排放强度；</w:t>
            </w:r>
          </w:p>
          <w:p>
            <w:pPr>
              <w:widowControl/>
              <w:spacing w:line="360" w:lineRule="auto"/>
              <w:ind w:firstLine="420" w:firstLineChars="200"/>
              <w:jc w:val="left"/>
              <w:rPr>
                <w:rFonts w:hint="eastAsia"/>
                <w:kern w:val="0"/>
                <w:szCs w:val="21"/>
                <w:lang w:val="en-US" w:eastAsia="zh-CN" w:bidi="ar"/>
              </w:rPr>
            </w:pPr>
            <w:r>
              <w:rPr>
                <w:rFonts w:hint="eastAsia"/>
                <w:kern w:val="0"/>
                <w:szCs w:val="21"/>
                <w:lang w:val="en-US" w:eastAsia="zh-CN" w:bidi="ar"/>
              </w:rPr>
              <w:t>⑥完善基础设施体系。进一步加强交通、能源、水利、通信、环保、防灾、农业等基础设施建设，完善基础设施体系，增强基础设施功能，构建高效、统一、城乡统筹的基础设施网络；</w:t>
            </w:r>
          </w:p>
          <w:p>
            <w:pPr>
              <w:widowControl/>
              <w:spacing w:line="360" w:lineRule="auto"/>
              <w:ind w:firstLine="420" w:firstLineChars="200"/>
              <w:jc w:val="left"/>
              <w:rPr>
                <w:rFonts w:hint="eastAsia"/>
                <w:kern w:val="0"/>
                <w:szCs w:val="21"/>
                <w:lang w:val="en-US" w:eastAsia="zh-CN" w:bidi="ar"/>
              </w:rPr>
            </w:pPr>
            <w:r>
              <w:rPr>
                <w:rFonts w:hint="eastAsia"/>
                <w:kern w:val="0"/>
                <w:szCs w:val="21"/>
                <w:lang w:val="en-US" w:eastAsia="zh-CN" w:bidi="ar"/>
              </w:rPr>
              <w:t>⑦保护生态环境。保护基本农田和生态环境，禁止发展不符合国家产业政策和达不到环保要求的产业，尽量减少工业化城镇化对生态环境的不利影响，合理利用土地、水资源，避免过度开发，减少环境压力，提高环境质量；</w:t>
            </w:r>
          </w:p>
          <w:p>
            <w:pPr>
              <w:widowControl/>
              <w:spacing w:line="360" w:lineRule="auto"/>
              <w:ind w:firstLine="420" w:firstLineChars="200"/>
              <w:jc w:val="left"/>
              <w:rPr>
                <w:rFonts w:hint="default"/>
                <w:kern w:val="0"/>
                <w:szCs w:val="21"/>
                <w:lang w:val="en-US" w:eastAsia="zh-CN" w:bidi="ar"/>
              </w:rPr>
            </w:pPr>
            <w:r>
              <w:rPr>
                <w:rFonts w:hint="eastAsia"/>
                <w:kern w:val="0"/>
                <w:szCs w:val="21"/>
                <w:lang w:val="en-US" w:eastAsia="zh-CN" w:bidi="ar"/>
              </w:rPr>
              <w:t>⑧把握开发时序。区分近期、中期和远期，实施有序开发，近期重点建设好国家和省级各类开发区和工业集中区，目前尚不需要或不具备条件开发的区域，要作为预留发展空间予以保护。</w:t>
            </w:r>
          </w:p>
          <w:p>
            <w:pPr>
              <w:widowControl/>
              <w:spacing w:line="360" w:lineRule="auto"/>
              <w:ind w:firstLine="420" w:firstLineChars="200"/>
              <w:jc w:val="left"/>
              <w:rPr>
                <w:rFonts w:hint="eastAsia" w:eastAsia="宋体"/>
                <w:kern w:val="0"/>
                <w:szCs w:val="21"/>
                <w:lang w:eastAsia="zh-CN" w:bidi="ar"/>
              </w:rPr>
            </w:pPr>
            <w:r>
              <w:rPr>
                <w:rFonts w:hint="eastAsia"/>
                <w:kern w:val="0"/>
                <w:szCs w:val="21"/>
                <w:lang w:eastAsia="zh-CN" w:bidi="ar"/>
              </w:rPr>
              <w:t>本项目</w:t>
            </w:r>
            <w:r>
              <w:rPr>
                <w:rFonts w:hint="eastAsia"/>
                <w:kern w:val="0"/>
                <w:szCs w:val="21"/>
                <w:lang w:val="en-US" w:eastAsia="zh-CN" w:bidi="ar"/>
              </w:rPr>
              <w:t>为水库</w:t>
            </w:r>
            <w:r>
              <w:rPr>
                <w:rFonts w:hint="eastAsia"/>
                <w:kern w:val="0"/>
                <w:szCs w:val="21"/>
                <w:lang w:eastAsia="zh-CN" w:bidi="ar"/>
              </w:rPr>
              <w:t>项目，</w:t>
            </w:r>
            <w:r>
              <w:rPr>
                <w:rFonts w:hint="eastAsia"/>
                <w:kern w:val="0"/>
                <w:szCs w:val="21"/>
                <w:lang w:val="en-US" w:eastAsia="zh-CN" w:bidi="ar"/>
              </w:rPr>
              <w:t>属于基础设施建设，符合区域发展方向</w:t>
            </w:r>
            <w:r>
              <w:rPr>
                <w:rFonts w:hint="eastAsia"/>
                <w:kern w:val="0"/>
                <w:szCs w:val="21"/>
                <w:lang w:eastAsia="zh-CN" w:bidi="ar"/>
              </w:rPr>
              <w:t>。</w:t>
            </w:r>
          </w:p>
          <w:p>
            <w:pPr>
              <w:adjustRightInd w:val="0"/>
              <w:snapToGrid w:val="0"/>
              <w:spacing w:line="360" w:lineRule="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3.1.</w:t>
            </w:r>
            <w:r>
              <w:rPr>
                <w:rFonts w:hint="eastAsia" w:cs="Times New Roman"/>
                <w:b/>
                <w:bCs/>
                <w:color w:val="auto"/>
                <w:sz w:val="21"/>
                <w:szCs w:val="21"/>
                <w:highlight w:val="none"/>
                <w:lang w:val="en-US" w:eastAsia="zh-CN"/>
              </w:rPr>
              <w:t>3土地利用</w:t>
            </w:r>
            <w:r>
              <w:rPr>
                <w:rFonts w:hint="eastAsia" w:ascii="Times New Roman" w:hAnsi="Times New Roman" w:eastAsia="宋体" w:cs="Times New Roman"/>
                <w:b/>
                <w:bCs/>
                <w:color w:val="auto"/>
                <w:sz w:val="21"/>
                <w:szCs w:val="21"/>
                <w:highlight w:val="none"/>
                <w:lang w:val="en-US" w:eastAsia="zh-CN"/>
              </w:rPr>
              <w:t>现状</w:t>
            </w:r>
          </w:p>
          <w:p>
            <w:pPr>
              <w:widowControl/>
              <w:spacing w:line="360" w:lineRule="auto"/>
              <w:ind w:firstLine="420" w:firstLineChars="200"/>
              <w:jc w:val="left"/>
              <w:rPr>
                <w:kern w:val="0"/>
                <w:szCs w:val="21"/>
                <w:lang w:bidi="ar"/>
              </w:rPr>
            </w:pPr>
            <w:r>
              <w:rPr>
                <w:rFonts w:hint="eastAsia"/>
                <w:kern w:val="0"/>
                <w:szCs w:val="21"/>
                <w:lang w:bidi="ar"/>
              </w:rPr>
              <w:t>根据工程项目区土地利用现状图，结合现场踏勘，本项目占地类型主要为</w:t>
            </w:r>
            <w:r>
              <w:rPr>
                <w:rFonts w:hint="eastAsia"/>
                <w:kern w:val="0"/>
                <w:szCs w:val="21"/>
                <w:lang w:val="en-US" w:eastAsia="zh-CN" w:bidi="ar"/>
              </w:rPr>
              <w:t>耕地、林地、住宅用地、交通运输用地、设施农用地等</w:t>
            </w:r>
            <w:r>
              <w:rPr>
                <w:rFonts w:hint="eastAsia"/>
                <w:kern w:val="0"/>
                <w:szCs w:val="21"/>
                <w:lang w:bidi="ar"/>
              </w:rPr>
              <w:t>。主要占地类型见表3.1.</w:t>
            </w:r>
            <w:r>
              <w:rPr>
                <w:rFonts w:hint="eastAsia"/>
                <w:kern w:val="0"/>
                <w:szCs w:val="21"/>
                <w:lang w:val="en-US" w:eastAsia="zh-CN" w:bidi="ar"/>
              </w:rPr>
              <w:t>3</w:t>
            </w:r>
            <w:r>
              <w:rPr>
                <w:rFonts w:hint="eastAsia"/>
                <w:kern w:val="0"/>
                <w:szCs w:val="21"/>
                <w:lang w:bidi="ar"/>
              </w:rPr>
              <w:t>-1。</w:t>
            </w:r>
          </w:p>
          <w:p>
            <w:pPr>
              <w:widowControl/>
              <w:spacing w:line="360" w:lineRule="auto"/>
              <w:jc w:val="center"/>
              <w:rPr>
                <w:kern w:val="0"/>
                <w:szCs w:val="21"/>
                <w:lang w:bidi="ar"/>
              </w:rPr>
            </w:pPr>
            <w:r>
              <w:rPr>
                <w:rFonts w:hint="eastAsia"/>
                <w:kern w:val="0"/>
                <w:szCs w:val="21"/>
                <w:lang w:bidi="ar"/>
              </w:rPr>
              <w:t>表3.1.</w:t>
            </w:r>
            <w:r>
              <w:rPr>
                <w:rFonts w:hint="eastAsia"/>
                <w:kern w:val="0"/>
                <w:szCs w:val="21"/>
                <w:lang w:val="en-US" w:eastAsia="zh-CN" w:bidi="ar"/>
              </w:rPr>
              <w:t>3</w:t>
            </w:r>
            <w:r>
              <w:rPr>
                <w:rFonts w:hint="eastAsia"/>
                <w:kern w:val="0"/>
                <w:szCs w:val="21"/>
                <w:lang w:bidi="ar"/>
              </w:rPr>
              <w:t>-1 项目主要占地类型一览表</w:t>
            </w:r>
          </w:p>
          <w:tbl>
            <w:tblPr>
              <w:tblStyle w:val="30"/>
              <w:tblW w:w="80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1590"/>
              <w:gridCol w:w="1665"/>
              <w:gridCol w:w="4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Align w:val="center"/>
                </w:tcPr>
                <w:p>
                  <w:pPr>
                    <w:widowControl/>
                    <w:spacing w:line="360" w:lineRule="auto"/>
                    <w:jc w:val="center"/>
                    <w:rPr>
                      <w:kern w:val="0"/>
                      <w:szCs w:val="21"/>
                      <w:lang w:bidi="ar"/>
                    </w:rPr>
                  </w:pPr>
                  <w:r>
                    <w:rPr>
                      <w:rFonts w:hint="eastAsia"/>
                      <w:kern w:val="0"/>
                      <w:szCs w:val="21"/>
                      <w:lang w:bidi="ar"/>
                    </w:rPr>
                    <w:t>序号</w:t>
                  </w:r>
                </w:p>
              </w:tc>
              <w:tc>
                <w:tcPr>
                  <w:tcW w:w="1590" w:type="dxa"/>
                  <w:vAlign w:val="center"/>
                </w:tcPr>
                <w:p>
                  <w:pPr>
                    <w:widowControl/>
                    <w:spacing w:line="360" w:lineRule="auto"/>
                    <w:jc w:val="center"/>
                    <w:rPr>
                      <w:kern w:val="0"/>
                      <w:szCs w:val="21"/>
                      <w:lang w:bidi="ar"/>
                    </w:rPr>
                  </w:pPr>
                  <w:r>
                    <w:rPr>
                      <w:rFonts w:hint="eastAsia"/>
                      <w:kern w:val="0"/>
                      <w:szCs w:val="21"/>
                      <w:lang w:bidi="ar"/>
                    </w:rPr>
                    <w:t>占地类型</w:t>
                  </w:r>
                </w:p>
              </w:tc>
              <w:tc>
                <w:tcPr>
                  <w:tcW w:w="1665" w:type="dxa"/>
                  <w:vAlign w:val="center"/>
                </w:tcPr>
                <w:p>
                  <w:pPr>
                    <w:widowControl/>
                    <w:spacing w:line="360" w:lineRule="auto"/>
                    <w:jc w:val="center"/>
                    <w:rPr>
                      <w:kern w:val="0"/>
                      <w:szCs w:val="21"/>
                      <w:lang w:bidi="ar"/>
                    </w:rPr>
                  </w:pPr>
                  <w:r>
                    <w:rPr>
                      <w:rFonts w:hint="eastAsia"/>
                      <w:kern w:val="0"/>
                      <w:szCs w:val="21"/>
                      <w:lang w:bidi="ar"/>
                    </w:rPr>
                    <w:t>占地面积（</w:t>
                  </w:r>
                  <w:r>
                    <w:rPr>
                      <w:rFonts w:hint="eastAsia"/>
                      <w:kern w:val="0"/>
                      <w:szCs w:val="21"/>
                      <w:lang w:val="en-US" w:eastAsia="zh-CN" w:bidi="ar"/>
                    </w:rPr>
                    <w:t>亩</w:t>
                  </w:r>
                  <w:r>
                    <w:rPr>
                      <w:rFonts w:hint="eastAsia"/>
                      <w:kern w:val="0"/>
                      <w:szCs w:val="21"/>
                      <w:lang w:bidi="ar"/>
                    </w:rPr>
                    <w:t>）</w:t>
                  </w:r>
                </w:p>
              </w:tc>
              <w:tc>
                <w:tcPr>
                  <w:tcW w:w="4027" w:type="dxa"/>
                  <w:vAlign w:val="center"/>
                </w:tcPr>
                <w:p>
                  <w:pPr>
                    <w:widowControl/>
                    <w:spacing w:line="360" w:lineRule="auto"/>
                    <w:jc w:val="center"/>
                    <w:rPr>
                      <w:kern w:val="0"/>
                      <w:szCs w:val="21"/>
                      <w:lang w:bidi="ar"/>
                    </w:rPr>
                  </w:pPr>
                  <w:r>
                    <w:rPr>
                      <w:rFonts w:hint="eastAsia"/>
                      <w:kern w:val="0"/>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Align w:val="center"/>
                </w:tcPr>
                <w:p>
                  <w:pPr>
                    <w:widowControl/>
                    <w:spacing w:line="360" w:lineRule="auto"/>
                    <w:jc w:val="center"/>
                    <w:rPr>
                      <w:kern w:val="0"/>
                      <w:szCs w:val="21"/>
                      <w:lang w:bidi="ar"/>
                    </w:rPr>
                  </w:pPr>
                  <w:r>
                    <w:rPr>
                      <w:rFonts w:hint="eastAsia"/>
                      <w:kern w:val="0"/>
                      <w:szCs w:val="21"/>
                      <w:lang w:bidi="ar"/>
                    </w:rPr>
                    <w:t>1</w:t>
                  </w:r>
                </w:p>
              </w:tc>
              <w:tc>
                <w:tcPr>
                  <w:tcW w:w="1590" w:type="dxa"/>
                  <w:vAlign w:val="center"/>
                </w:tcPr>
                <w:p>
                  <w:pPr>
                    <w:widowControl/>
                    <w:spacing w:line="360" w:lineRule="auto"/>
                    <w:jc w:val="center"/>
                    <w:rPr>
                      <w:rFonts w:hint="eastAsia" w:eastAsia="宋体"/>
                      <w:kern w:val="0"/>
                      <w:szCs w:val="21"/>
                      <w:lang w:eastAsia="zh-CN" w:bidi="ar"/>
                    </w:rPr>
                  </w:pPr>
                  <w:r>
                    <w:rPr>
                      <w:rFonts w:hint="eastAsia"/>
                      <w:kern w:val="0"/>
                      <w:szCs w:val="21"/>
                      <w:lang w:val="en-US" w:eastAsia="zh-CN" w:bidi="ar"/>
                    </w:rPr>
                    <w:t>耕地</w:t>
                  </w:r>
                </w:p>
              </w:tc>
              <w:tc>
                <w:tcPr>
                  <w:tcW w:w="1665" w:type="dxa"/>
                  <w:vAlign w:val="center"/>
                </w:tcPr>
                <w:p>
                  <w:pPr>
                    <w:widowControl/>
                    <w:spacing w:line="360" w:lineRule="auto"/>
                    <w:jc w:val="center"/>
                    <w:rPr>
                      <w:kern w:val="0"/>
                      <w:szCs w:val="21"/>
                      <w:lang w:bidi="ar"/>
                    </w:rPr>
                  </w:pPr>
                  <w:r>
                    <w:rPr>
                      <w:rFonts w:hint="eastAsia"/>
                      <w:kern w:val="0"/>
                      <w:szCs w:val="21"/>
                      <w:lang w:bidi="ar"/>
                    </w:rPr>
                    <w:t>367.26</w:t>
                  </w:r>
                </w:p>
              </w:tc>
              <w:tc>
                <w:tcPr>
                  <w:tcW w:w="4027" w:type="dxa"/>
                  <w:vAlign w:val="center"/>
                </w:tcPr>
                <w:p>
                  <w:pPr>
                    <w:widowControl/>
                    <w:spacing w:line="360" w:lineRule="auto"/>
                    <w:jc w:val="center"/>
                    <w:rPr>
                      <w:kern w:val="0"/>
                      <w:szCs w:val="21"/>
                      <w:lang w:bidi="ar"/>
                    </w:rPr>
                  </w:pPr>
                  <w:r>
                    <w:rPr>
                      <w:rFonts w:hint="eastAsia"/>
                      <w:kern w:val="0"/>
                      <w:szCs w:val="21"/>
                      <w:lang w:bidi="ar"/>
                    </w:rPr>
                    <w:t>永久占地215.44</w:t>
                  </w:r>
                  <w:r>
                    <w:rPr>
                      <w:rFonts w:hint="eastAsia"/>
                      <w:kern w:val="0"/>
                      <w:szCs w:val="21"/>
                      <w:lang w:val="en-US" w:eastAsia="zh-CN" w:bidi="ar"/>
                    </w:rPr>
                    <w:t>亩</w:t>
                  </w:r>
                  <w:r>
                    <w:rPr>
                      <w:rFonts w:hint="eastAsia"/>
                      <w:kern w:val="0"/>
                      <w:szCs w:val="21"/>
                      <w:lang w:bidi="ar"/>
                    </w:rPr>
                    <w:t>，临时占地</w:t>
                  </w:r>
                  <w:r>
                    <w:rPr>
                      <w:rFonts w:hint="eastAsia"/>
                      <w:kern w:val="0"/>
                      <w:szCs w:val="21"/>
                      <w:lang w:val="en-US" w:eastAsia="zh-CN" w:bidi="ar"/>
                    </w:rPr>
                    <w:t>151.82亩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Align w:val="center"/>
                </w:tcPr>
                <w:p>
                  <w:pPr>
                    <w:widowControl/>
                    <w:spacing w:line="360" w:lineRule="auto"/>
                    <w:jc w:val="center"/>
                    <w:rPr>
                      <w:kern w:val="0"/>
                      <w:szCs w:val="21"/>
                      <w:lang w:bidi="ar"/>
                    </w:rPr>
                  </w:pPr>
                  <w:r>
                    <w:rPr>
                      <w:rFonts w:hint="eastAsia"/>
                      <w:kern w:val="0"/>
                      <w:szCs w:val="21"/>
                      <w:lang w:bidi="ar"/>
                    </w:rPr>
                    <w:t>2</w:t>
                  </w:r>
                </w:p>
              </w:tc>
              <w:tc>
                <w:tcPr>
                  <w:tcW w:w="1590" w:type="dxa"/>
                  <w:vAlign w:val="center"/>
                </w:tcPr>
                <w:p>
                  <w:pPr>
                    <w:widowControl/>
                    <w:spacing w:line="360" w:lineRule="auto"/>
                    <w:jc w:val="center"/>
                    <w:rPr>
                      <w:rFonts w:hint="eastAsia" w:eastAsia="宋体"/>
                      <w:kern w:val="0"/>
                      <w:szCs w:val="21"/>
                      <w:lang w:eastAsia="zh-CN" w:bidi="ar"/>
                    </w:rPr>
                  </w:pPr>
                  <w:r>
                    <w:rPr>
                      <w:rFonts w:hint="eastAsia"/>
                      <w:kern w:val="0"/>
                      <w:szCs w:val="21"/>
                      <w:lang w:val="en-US" w:eastAsia="zh-CN" w:bidi="ar"/>
                    </w:rPr>
                    <w:t>林地</w:t>
                  </w:r>
                </w:p>
              </w:tc>
              <w:tc>
                <w:tcPr>
                  <w:tcW w:w="1665" w:type="dxa"/>
                  <w:vAlign w:val="center"/>
                </w:tcPr>
                <w:p>
                  <w:pPr>
                    <w:widowControl/>
                    <w:spacing w:line="360" w:lineRule="auto"/>
                    <w:jc w:val="center"/>
                    <w:rPr>
                      <w:kern w:val="0"/>
                      <w:szCs w:val="21"/>
                      <w:lang w:bidi="ar"/>
                    </w:rPr>
                  </w:pPr>
                  <w:r>
                    <w:rPr>
                      <w:rFonts w:hint="default" w:ascii="Times New Roman" w:hAnsi="Times New Roman" w:eastAsia="宋体" w:cs="Times New Roman"/>
                      <w:snapToGrid w:val="0"/>
                      <w:color w:val="auto"/>
                      <w:sz w:val="21"/>
                      <w:szCs w:val="21"/>
                      <w:highlight w:val="none"/>
                      <w:lang w:val="en-US" w:eastAsia="zh-CN"/>
                    </w:rPr>
                    <w:t>134.58</w:t>
                  </w:r>
                </w:p>
              </w:tc>
              <w:tc>
                <w:tcPr>
                  <w:tcW w:w="4027" w:type="dxa"/>
                  <w:vAlign w:val="center"/>
                </w:tcPr>
                <w:p>
                  <w:pPr>
                    <w:widowControl/>
                    <w:spacing w:line="360" w:lineRule="auto"/>
                    <w:jc w:val="center"/>
                    <w:rPr>
                      <w:kern w:val="0"/>
                      <w:szCs w:val="21"/>
                      <w:lang w:bidi="ar"/>
                    </w:rPr>
                  </w:pPr>
                  <w:r>
                    <w:rPr>
                      <w:rFonts w:hint="eastAsia"/>
                      <w:kern w:val="0"/>
                      <w:szCs w:val="21"/>
                      <w:lang w:bidi="ar"/>
                    </w:rPr>
                    <w:t>永久占地</w:t>
                  </w:r>
                  <w:r>
                    <w:rPr>
                      <w:rFonts w:hint="default" w:ascii="Times New Roman" w:hAnsi="Times New Roman" w:eastAsia="宋体" w:cs="Times New Roman"/>
                      <w:snapToGrid w:val="0"/>
                      <w:color w:val="auto"/>
                      <w:sz w:val="21"/>
                      <w:szCs w:val="21"/>
                      <w:highlight w:val="none"/>
                      <w:lang w:val="en-US" w:eastAsia="zh-CN"/>
                    </w:rPr>
                    <w:t>112.02</w:t>
                  </w:r>
                  <w:r>
                    <w:rPr>
                      <w:rFonts w:hint="eastAsia"/>
                      <w:kern w:val="0"/>
                      <w:szCs w:val="21"/>
                      <w:lang w:val="en-US" w:eastAsia="zh-CN" w:bidi="ar"/>
                    </w:rPr>
                    <w:t>亩</w:t>
                  </w:r>
                  <w:r>
                    <w:rPr>
                      <w:rFonts w:hint="eastAsia"/>
                      <w:kern w:val="0"/>
                      <w:szCs w:val="21"/>
                      <w:lang w:bidi="ar"/>
                    </w:rPr>
                    <w:t>，临时占地</w:t>
                  </w:r>
                  <w:r>
                    <w:rPr>
                      <w:rFonts w:hint="eastAsia"/>
                      <w:kern w:val="0"/>
                      <w:szCs w:val="21"/>
                      <w:lang w:val="en-US" w:eastAsia="zh-CN" w:bidi="ar"/>
                    </w:rPr>
                    <w:t>22.56亩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Align w:val="center"/>
                </w:tcPr>
                <w:p>
                  <w:pPr>
                    <w:widowControl/>
                    <w:spacing w:line="360" w:lineRule="auto"/>
                    <w:jc w:val="center"/>
                    <w:rPr>
                      <w:kern w:val="0"/>
                      <w:szCs w:val="21"/>
                      <w:lang w:bidi="ar"/>
                    </w:rPr>
                  </w:pPr>
                  <w:r>
                    <w:rPr>
                      <w:rFonts w:hint="eastAsia"/>
                      <w:kern w:val="0"/>
                      <w:szCs w:val="21"/>
                      <w:lang w:bidi="ar"/>
                    </w:rPr>
                    <w:t>3</w:t>
                  </w:r>
                </w:p>
              </w:tc>
              <w:tc>
                <w:tcPr>
                  <w:tcW w:w="1590" w:type="dxa"/>
                  <w:vAlign w:val="center"/>
                </w:tcPr>
                <w:p>
                  <w:pPr>
                    <w:widowControl/>
                    <w:spacing w:line="360" w:lineRule="auto"/>
                    <w:jc w:val="center"/>
                    <w:rPr>
                      <w:rFonts w:hint="eastAsia" w:eastAsia="宋体"/>
                      <w:kern w:val="0"/>
                      <w:szCs w:val="21"/>
                      <w:lang w:eastAsia="zh-CN" w:bidi="ar"/>
                    </w:rPr>
                  </w:pPr>
                  <w:r>
                    <w:rPr>
                      <w:rFonts w:hint="eastAsia"/>
                      <w:kern w:val="0"/>
                      <w:szCs w:val="21"/>
                      <w:lang w:val="en-US" w:eastAsia="zh-CN" w:bidi="ar"/>
                    </w:rPr>
                    <w:t>住宅用地</w:t>
                  </w:r>
                </w:p>
              </w:tc>
              <w:tc>
                <w:tcPr>
                  <w:tcW w:w="1665" w:type="dxa"/>
                  <w:vAlign w:val="center"/>
                </w:tcPr>
                <w:p>
                  <w:pPr>
                    <w:widowControl/>
                    <w:spacing w:line="360" w:lineRule="auto"/>
                    <w:jc w:val="center"/>
                    <w:rPr>
                      <w:rFonts w:hint="default" w:eastAsia="宋体"/>
                      <w:kern w:val="0"/>
                      <w:szCs w:val="21"/>
                      <w:lang w:val="en-US" w:eastAsia="zh-CN" w:bidi="ar"/>
                    </w:rPr>
                  </w:pPr>
                  <w:r>
                    <w:rPr>
                      <w:rFonts w:hint="eastAsia"/>
                      <w:kern w:val="0"/>
                      <w:szCs w:val="21"/>
                      <w:lang w:val="en-US" w:eastAsia="zh-CN" w:bidi="ar"/>
                    </w:rPr>
                    <w:t>11.21</w:t>
                  </w:r>
                </w:p>
              </w:tc>
              <w:tc>
                <w:tcPr>
                  <w:tcW w:w="4027" w:type="dxa"/>
                  <w:vAlign w:val="center"/>
                </w:tcPr>
                <w:p>
                  <w:pPr>
                    <w:widowControl/>
                    <w:spacing w:line="360" w:lineRule="auto"/>
                    <w:jc w:val="center"/>
                    <w:rPr>
                      <w:kern w:val="0"/>
                      <w:szCs w:val="21"/>
                      <w:lang w:bidi="ar"/>
                    </w:rPr>
                  </w:pPr>
                  <w:r>
                    <w:rPr>
                      <w:rFonts w:hint="eastAsia"/>
                      <w:kern w:val="0"/>
                      <w:szCs w:val="21"/>
                      <w:lang w:bidi="ar"/>
                    </w:rPr>
                    <w:t>永久占地</w:t>
                  </w:r>
                  <w:r>
                    <w:rPr>
                      <w:rFonts w:hint="default" w:ascii="Times New Roman" w:hAnsi="Times New Roman" w:eastAsia="宋体" w:cs="Times New Roman"/>
                      <w:snapToGrid w:val="0"/>
                      <w:color w:val="auto"/>
                      <w:sz w:val="21"/>
                      <w:szCs w:val="21"/>
                      <w:highlight w:val="none"/>
                      <w:lang w:val="en-US" w:eastAsia="zh-CN"/>
                    </w:rPr>
                    <w:t>8.49</w:t>
                  </w:r>
                  <w:r>
                    <w:rPr>
                      <w:rFonts w:hint="eastAsia"/>
                      <w:kern w:val="0"/>
                      <w:szCs w:val="21"/>
                      <w:lang w:val="en-US" w:eastAsia="zh-CN" w:bidi="ar"/>
                    </w:rPr>
                    <w:t>亩</w:t>
                  </w:r>
                  <w:r>
                    <w:rPr>
                      <w:rFonts w:hint="eastAsia"/>
                      <w:kern w:val="0"/>
                      <w:szCs w:val="21"/>
                      <w:lang w:bidi="ar"/>
                    </w:rPr>
                    <w:t>，临时占地</w:t>
                  </w:r>
                  <w:r>
                    <w:rPr>
                      <w:rFonts w:hint="eastAsia"/>
                      <w:kern w:val="0"/>
                      <w:szCs w:val="21"/>
                      <w:lang w:val="en-US" w:eastAsia="zh-CN" w:bidi="ar"/>
                    </w:rPr>
                    <w:t>2.72亩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Align w:val="center"/>
                </w:tcPr>
                <w:p>
                  <w:pPr>
                    <w:widowControl/>
                    <w:spacing w:line="360" w:lineRule="auto"/>
                    <w:jc w:val="center"/>
                    <w:rPr>
                      <w:rFonts w:hint="eastAsia" w:eastAsia="宋体"/>
                      <w:kern w:val="0"/>
                      <w:szCs w:val="21"/>
                      <w:lang w:val="en-US" w:eastAsia="zh-CN" w:bidi="ar"/>
                    </w:rPr>
                  </w:pPr>
                  <w:r>
                    <w:rPr>
                      <w:rFonts w:hint="eastAsia"/>
                      <w:kern w:val="0"/>
                      <w:szCs w:val="21"/>
                      <w:lang w:val="en-US" w:eastAsia="zh-CN" w:bidi="ar"/>
                    </w:rPr>
                    <w:t>4</w:t>
                  </w:r>
                </w:p>
              </w:tc>
              <w:tc>
                <w:tcPr>
                  <w:tcW w:w="1590" w:type="dxa"/>
                  <w:vAlign w:val="center"/>
                </w:tcPr>
                <w:p>
                  <w:pPr>
                    <w:widowControl/>
                    <w:spacing w:line="360" w:lineRule="auto"/>
                    <w:jc w:val="center"/>
                    <w:rPr>
                      <w:rFonts w:hint="eastAsia" w:eastAsia="宋体"/>
                      <w:kern w:val="0"/>
                      <w:szCs w:val="21"/>
                      <w:lang w:val="en-US" w:eastAsia="zh-CN" w:bidi="ar"/>
                    </w:rPr>
                  </w:pPr>
                  <w:r>
                    <w:rPr>
                      <w:rFonts w:hint="eastAsia"/>
                      <w:kern w:val="0"/>
                      <w:szCs w:val="21"/>
                      <w:lang w:val="en-US" w:eastAsia="zh-CN" w:bidi="ar"/>
                    </w:rPr>
                    <w:t>交通运输用地</w:t>
                  </w:r>
                </w:p>
              </w:tc>
              <w:tc>
                <w:tcPr>
                  <w:tcW w:w="1665" w:type="dxa"/>
                  <w:vAlign w:val="center"/>
                </w:tcPr>
                <w:p>
                  <w:pPr>
                    <w:widowControl/>
                    <w:spacing w:line="360" w:lineRule="auto"/>
                    <w:jc w:val="center"/>
                    <w:rPr>
                      <w:rFonts w:hint="default" w:eastAsia="宋体"/>
                      <w:kern w:val="0"/>
                      <w:szCs w:val="21"/>
                      <w:lang w:val="en-US" w:eastAsia="zh-CN" w:bidi="ar"/>
                    </w:rPr>
                  </w:pPr>
                  <w:r>
                    <w:rPr>
                      <w:rFonts w:hint="eastAsia"/>
                      <w:kern w:val="0"/>
                      <w:szCs w:val="21"/>
                      <w:lang w:val="en-US" w:eastAsia="zh-CN" w:bidi="ar"/>
                    </w:rPr>
                    <w:t>14.66</w:t>
                  </w:r>
                </w:p>
              </w:tc>
              <w:tc>
                <w:tcPr>
                  <w:tcW w:w="4027" w:type="dxa"/>
                  <w:vAlign w:val="center"/>
                </w:tcPr>
                <w:p>
                  <w:pPr>
                    <w:widowControl/>
                    <w:spacing w:line="360" w:lineRule="auto"/>
                    <w:jc w:val="center"/>
                    <w:rPr>
                      <w:rFonts w:hint="eastAsia"/>
                      <w:kern w:val="0"/>
                      <w:szCs w:val="21"/>
                      <w:lang w:bidi="ar"/>
                    </w:rPr>
                  </w:pPr>
                  <w:r>
                    <w:rPr>
                      <w:rFonts w:hint="eastAsia"/>
                      <w:kern w:val="0"/>
                      <w:szCs w:val="21"/>
                      <w:lang w:bidi="ar"/>
                    </w:rPr>
                    <w:t>永久占地</w:t>
                  </w:r>
                  <w:r>
                    <w:rPr>
                      <w:rFonts w:hint="eastAsia"/>
                      <w:kern w:val="0"/>
                      <w:szCs w:val="21"/>
                      <w:lang w:val="en-US" w:eastAsia="zh-CN" w:bidi="ar"/>
                    </w:rPr>
                    <w:t>6.03亩</w:t>
                  </w:r>
                  <w:r>
                    <w:rPr>
                      <w:rFonts w:hint="eastAsia"/>
                      <w:kern w:val="0"/>
                      <w:szCs w:val="21"/>
                      <w:lang w:bidi="ar"/>
                    </w:rPr>
                    <w:t>，临时占地</w:t>
                  </w:r>
                  <w:r>
                    <w:rPr>
                      <w:rFonts w:hint="eastAsia"/>
                      <w:kern w:val="0"/>
                      <w:szCs w:val="21"/>
                      <w:lang w:val="en-US" w:eastAsia="zh-CN" w:bidi="ar"/>
                    </w:rPr>
                    <w:t>8.63亩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Align w:val="center"/>
                </w:tcPr>
                <w:p>
                  <w:pPr>
                    <w:widowControl/>
                    <w:spacing w:line="360" w:lineRule="auto"/>
                    <w:jc w:val="center"/>
                    <w:rPr>
                      <w:rFonts w:hint="eastAsia" w:eastAsia="宋体"/>
                      <w:kern w:val="0"/>
                      <w:szCs w:val="21"/>
                      <w:lang w:val="en-US" w:eastAsia="zh-CN" w:bidi="ar"/>
                    </w:rPr>
                  </w:pPr>
                  <w:r>
                    <w:rPr>
                      <w:rFonts w:hint="eastAsia"/>
                      <w:kern w:val="0"/>
                      <w:szCs w:val="21"/>
                      <w:lang w:val="en-US" w:eastAsia="zh-CN" w:bidi="ar"/>
                    </w:rPr>
                    <w:t>5</w:t>
                  </w:r>
                </w:p>
              </w:tc>
              <w:tc>
                <w:tcPr>
                  <w:tcW w:w="1590" w:type="dxa"/>
                  <w:vAlign w:val="center"/>
                </w:tcPr>
                <w:p>
                  <w:pPr>
                    <w:widowControl/>
                    <w:spacing w:line="360" w:lineRule="auto"/>
                    <w:jc w:val="center"/>
                    <w:rPr>
                      <w:rFonts w:hint="eastAsia"/>
                      <w:kern w:val="0"/>
                      <w:szCs w:val="21"/>
                      <w:lang w:bidi="ar"/>
                    </w:rPr>
                  </w:pPr>
                  <w:r>
                    <w:rPr>
                      <w:rFonts w:hint="default" w:ascii="Times New Roman" w:hAnsi="Times New Roman" w:eastAsia="宋体" w:cs="Times New Roman"/>
                      <w:snapToGrid w:val="0"/>
                      <w:color w:val="auto"/>
                      <w:sz w:val="21"/>
                      <w:szCs w:val="21"/>
                      <w:highlight w:val="none"/>
                      <w:lang w:val="en-US" w:eastAsia="zh-CN"/>
                    </w:rPr>
                    <w:t>设施农用地</w:t>
                  </w:r>
                </w:p>
              </w:tc>
              <w:tc>
                <w:tcPr>
                  <w:tcW w:w="1665" w:type="dxa"/>
                  <w:vAlign w:val="center"/>
                </w:tcPr>
                <w:p>
                  <w:pPr>
                    <w:widowControl/>
                    <w:spacing w:line="360" w:lineRule="auto"/>
                    <w:jc w:val="center"/>
                    <w:rPr>
                      <w:rFonts w:hint="default" w:eastAsia="宋体"/>
                      <w:kern w:val="0"/>
                      <w:szCs w:val="21"/>
                      <w:lang w:val="en-US" w:eastAsia="zh-CN" w:bidi="ar"/>
                    </w:rPr>
                  </w:pPr>
                  <w:r>
                    <w:rPr>
                      <w:rFonts w:hint="eastAsia"/>
                      <w:kern w:val="0"/>
                      <w:szCs w:val="21"/>
                      <w:lang w:val="en-US" w:eastAsia="zh-CN" w:bidi="ar"/>
                    </w:rPr>
                    <w:t>0.25</w:t>
                  </w:r>
                </w:p>
              </w:tc>
              <w:tc>
                <w:tcPr>
                  <w:tcW w:w="4027" w:type="dxa"/>
                  <w:vAlign w:val="center"/>
                </w:tcPr>
                <w:p>
                  <w:pPr>
                    <w:widowControl/>
                    <w:spacing w:line="360" w:lineRule="auto"/>
                    <w:jc w:val="center"/>
                    <w:rPr>
                      <w:rFonts w:hint="eastAsia"/>
                      <w:kern w:val="0"/>
                      <w:szCs w:val="21"/>
                      <w:lang w:bidi="ar"/>
                    </w:rPr>
                  </w:pPr>
                  <w:r>
                    <w:rPr>
                      <w:rFonts w:hint="eastAsia"/>
                      <w:kern w:val="0"/>
                      <w:szCs w:val="21"/>
                      <w:lang w:bidi="ar"/>
                    </w:rPr>
                    <w:t>临时占地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Align w:val="center"/>
                </w:tcPr>
                <w:p>
                  <w:pPr>
                    <w:widowControl/>
                    <w:spacing w:line="360" w:lineRule="auto"/>
                    <w:jc w:val="center"/>
                    <w:rPr>
                      <w:rFonts w:hint="eastAsia" w:eastAsia="宋体"/>
                      <w:kern w:val="0"/>
                      <w:szCs w:val="21"/>
                      <w:lang w:val="en-US" w:eastAsia="zh-CN" w:bidi="ar"/>
                    </w:rPr>
                  </w:pPr>
                  <w:r>
                    <w:rPr>
                      <w:rFonts w:hint="eastAsia"/>
                      <w:kern w:val="0"/>
                      <w:szCs w:val="21"/>
                      <w:lang w:val="en-US" w:eastAsia="zh-CN" w:bidi="ar"/>
                    </w:rPr>
                    <w:t>6</w:t>
                  </w:r>
                </w:p>
              </w:tc>
              <w:tc>
                <w:tcPr>
                  <w:tcW w:w="1590" w:type="dxa"/>
                  <w:vAlign w:val="center"/>
                </w:tcPr>
                <w:p>
                  <w:pPr>
                    <w:widowControl/>
                    <w:spacing w:line="360" w:lineRule="auto"/>
                    <w:jc w:val="center"/>
                    <w:rPr>
                      <w:rFonts w:hint="eastAsia"/>
                      <w:kern w:val="0"/>
                      <w:szCs w:val="21"/>
                      <w:lang w:bidi="ar"/>
                    </w:rPr>
                  </w:pPr>
                  <w:r>
                    <w:rPr>
                      <w:rFonts w:hint="default" w:ascii="Times New Roman" w:hAnsi="Times New Roman" w:eastAsia="宋体" w:cs="Times New Roman"/>
                      <w:snapToGrid w:val="0"/>
                      <w:color w:val="auto"/>
                      <w:sz w:val="21"/>
                      <w:szCs w:val="21"/>
                      <w:highlight w:val="none"/>
                      <w:lang w:val="en-US" w:eastAsia="zh-CN"/>
                    </w:rPr>
                    <w:t>坑塘水面</w:t>
                  </w:r>
                </w:p>
              </w:tc>
              <w:tc>
                <w:tcPr>
                  <w:tcW w:w="1665" w:type="dxa"/>
                  <w:vAlign w:val="center"/>
                </w:tcPr>
                <w:p>
                  <w:pPr>
                    <w:widowControl/>
                    <w:spacing w:line="360" w:lineRule="auto"/>
                    <w:jc w:val="center"/>
                    <w:rPr>
                      <w:rFonts w:hint="default" w:eastAsia="宋体"/>
                      <w:kern w:val="0"/>
                      <w:szCs w:val="21"/>
                      <w:lang w:val="en-US" w:eastAsia="zh-CN" w:bidi="ar"/>
                    </w:rPr>
                  </w:pPr>
                  <w:r>
                    <w:rPr>
                      <w:rFonts w:hint="eastAsia"/>
                      <w:kern w:val="0"/>
                      <w:szCs w:val="21"/>
                      <w:lang w:val="en-US" w:eastAsia="zh-CN" w:bidi="ar"/>
                    </w:rPr>
                    <w:t>1.07</w:t>
                  </w:r>
                </w:p>
              </w:tc>
              <w:tc>
                <w:tcPr>
                  <w:tcW w:w="4027" w:type="dxa"/>
                  <w:vAlign w:val="center"/>
                </w:tcPr>
                <w:p>
                  <w:pPr>
                    <w:widowControl/>
                    <w:spacing w:line="360" w:lineRule="auto"/>
                    <w:jc w:val="center"/>
                    <w:rPr>
                      <w:rFonts w:hint="eastAsia"/>
                      <w:kern w:val="0"/>
                      <w:szCs w:val="21"/>
                      <w:lang w:bidi="ar"/>
                    </w:rPr>
                  </w:pPr>
                  <w:r>
                    <w:rPr>
                      <w:rFonts w:hint="eastAsia"/>
                      <w:kern w:val="0"/>
                      <w:szCs w:val="21"/>
                      <w:lang w:bidi="ar"/>
                    </w:rPr>
                    <w:t>临时占地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Align w:val="center"/>
                </w:tcPr>
                <w:p>
                  <w:pPr>
                    <w:widowControl/>
                    <w:spacing w:line="360" w:lineRule="auto"/>
                    <w:jc w:val="center"/>
                    <w:rPr>
                      <w:rFonts w:hint="eastAsia" w:eastAsia="宋体"/>
                      <w:kern w:val="0"/>
                      <w:szCs w:val="21"/>
                      <w:lang w:val="en-US" w:eastAsia="zh-CN" w:bidi="ar"/>
                    </w:rPr>
                  </w:pPr>
                  <w:r>
                    <w:rPr>
                      <w:rFonts w:hint="eastAsia"/>
                      <w:kern w:val="0"/>
                      <w:szCs w:val="21"/>
                      <w:lang w:val="en-US" w:eastAsia="zh-CN" w:bidi="ar"/>
                    </w:rPr>
                    <w:t>7</w:t>
                  </w:r>
                </w:p>
              </w:tc>
              <w:tc>
                <w:tcPr>
                  <w:tcW w:w="1590" w:type="dxa"/>
                  <w:vAlign w:val="center"/>
                </w:tcPr>
                <w:p>
                  <w:pPr>
                    <w:widowControl/>
                    <w:spacing w:line="360" w:lineRule="auto"/>
                    <w:jc w:val="center"/>
                    <w:rPr>
                      <w:rFonts w:hint="eastAsia"/>
                      <w:kern w:val="0"/>
                      <w:szCs w:val="21"/>
                      <w:lang w:bidi="ar"/>
                    </w:rPr>
                  </w:pPr>
                  <w:r>
                    <w:rPr>
                      <w:rFonts w:hint="default" w:ascii="Times New Roman" w:hAnsi="Times New Roman" w:eastAsia="宋体" w:cs="Times New Roman"/>
                      <w:snapToGrid w:val="0"/>
                      <w:color w:val="auto"/>
                      <w:sz w:val="21"/>
                      <w:szCs w:val="21"/>
                      <w:highlight w:val="none"/>
                      <w:lang w:val="en-US" w:eastAsia="zh-CN"/>
                    </w:rPr>
                    <w:t>河流水面</w:t>
                  </w:r>
                </w:p>
              </w:tc>
              <w:tc>
                <w:tcPr>
                  <w:tcW w:w="1665" w:type="dxa"/>
                  <w:vAlign w:val="center"/>
                </w:tcPr>
                <w:p>
                  <w:pPr>
                    <w:widowControl/>
                    <w:spacing w:line="360" w:lineRule="auto"/>
                    <w:jc w:val="center"/>
                    <w:rPr>
                      <w:rFonts w:hint="default" w:eastAsia="宋体"/>
                      <w:kern w:val="0"/>
                      <w:szCs w:val="21"/>
                      <w:lang w:val="en-US" w:eastAsia="zh-CN" w:bidi="ar"/>
                    </w:rPr>
                  </w:pPr>
                  <w:r>
                    <w:rPr>
                      <w:rFonts w:hint="eastAsia"/>
                      <w:kern w:val="0"/>
                      <w:szCs w:val="21"/>
                      <w:lang w:val="en-US" w:eastAsia="zh-CN" w:bidi="ar"/>
                    </w:rPr>
                    <w:t>11.61</w:t>
                  </w:r>
                </w:p>
              </w:tc>
              <w:tc>
                <w:tcPr>
                  <w:tcW w:w="4027" w:type="dxa"/>
                  <w:vAlign w:val="center"/>
                </w:tcPr>
                <w:p>
                  <w:pPr>
                    <w:widowControl/>
                    <w:spacing w:line="360" w:lineRule="auto"/>
                    <w:jc w:val="center"/>
                    <w:rPr>
                      <w:rFonts w:hint="eastAsia"/>
                      <w:kern w:val="0"/>
                      <w:szCs w:val="21"/>
                      <w:lang w:bidi="ar"/>
                    </w:rPr>
                  </w:pPr>
                  <w:r>
                    <w:rPr>
                      <w:rFonts w:hint="eastAsia"/>
                      <w:kern w:val="0"/>
                      <w:szCs w:val="21"/>
                      <w:lang w:bidi="ar"/>
                    </w:rPr>
                    <w:t>永久占地</w:t>
                  </w:r>
                  <w:r>
                    <w:rPr>
                      <w:rFonts w:hint="eastAsia"/>
                      <w:kern w:val="0"/>
                      <w:szCs w:val="21"/>
                      <w:lang w:val="en-US" w:eastAsia="zh-CN" w:bidi="ar"/>
                    </w:rPr>
                    <w:t>5.35亩</w:t>
                  </w:r>
                  <w:r>
                    <w:rPr>
                      <w:rFonts w:hint="eastAsia"/>
                      <w:kern w:val="0"/>
                      <w:szCs w:val="21"/>
                      <w:lang w:bidi="ar"/>
                    </w:rPr>
                    <w:t>，临时占地</w:t>
                  </w:r>
                  <w:r>
                    <w:rPr>
                      <w:rFonts w:hint="eastAsia"/>
                      <w:kern w:val="0"/>
                      <w:szCs w:val="21"/>
                      <w:lang w:val="en-US" w:eastAsia="zh-CN" w:bidi="ar"/>
                    </w:rPr>
                    <w:t>6.26亩</w:t>
                  </w:r>
                </w:p>
              </w:tc>
            </w:tr>
          </w:tbl>
          <w:p>
            <w:pPr>
              <w:adjustRightInd w:val="0"/>
              <w:snapToGrid w:val="0"/>
              <w:spacing w:line="360" w:lineRule="auto"/>
              <w:ind w:firstLine="420" w:firstLineChars="200"/>
              <w:rPr>
                <w:rFonts w:hint="eastAsia" w:ascii="Times New Roman" w:hAnsi="Times New Roman" w:eastAsia="宋体" w:cs="Times New Roman"/>
                <w:color w:val="auto"/>
                <w:sz w:val="21"/>
                <w:szCs w:val="21"/>
                <w:highlight w:val="none"/>
              </w:rPr>
            </w:pPr>
          </w:p>
          <w:p>
            <w:pPr>
              <w:adjustRightInd w:val="0"/>
              <w:snapToGrid w:val="0"/>
              <w:spacing w:line="360" w:lineRule="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3.1.</w:t>
            </w:r>
            <w:r>
              <w:rPr>
                <w:rFonts w:hint="eastAsia" w:cs="Times New Roman"/>
                <w:b/>
                <w:bCs/>
                <w:color w:val="auto"/>
                <w:sz w:val="21"/>
                <w:szCs w:val="21"/>
                <w:highlight w:val="none"/>
                <w:lang w:val="en-US" w:eastAsia="zh-CN"/>
              </w:rPr>
              <w:t>4</w:t>
            </w:r>
            <w:r>
              <w:rPr>
                <w:rFonts w:hint="eastAsia" w:ascii="Times New Roman" w:hAnsi="Times New Roman" w:eastAsia="宋体" w:cs="Times New Roman"/>
                <w:b/>
                <w:bCs/>
                <w:color w:val="auto"/>
                <w:sz w:val="21"/>
                <w:szCs w:val="21"/>
                <w:highlight w:val="none"/>
                <w:lang w:val="en-US" w:eastAsia="zh-CN"/>
              </w:rPr>
              <w:t>生态环境现状</w:t>
            </w:r>
          </w:p>
          <w:p>
            <w:pPr>
              <w:adjustRightInd w:val="0"/>
              <w:snapToGrid w:val="0"/>
              <w:spacing w:line="360" w:lineRule="auto"/>
              <w:ind w:firstLine="422" w:firstLineChars="200"/>
              <w:rPr>
                <w:rFonts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lang w:val="en-US" w:eastAsia="zh-CN"/>
              </w:rPr>
              <w:t>3.1.</w:t>
            </w:r>
            <w:r>
              <w:rPr>
                <w:rFonts w:hint="eastAsia" w:cs="Times New Roman"/>
                <w:b/>
                <w:bCs/>
                <w:color w:val="auto"/>
                <w:sz w:val="21"/>
                <w:szCs w:val="21"/>
                <w:highlight w:val="none"/>
                <w:lang w:val="en-US" w:eastAsia="zh-CN"/>
              </w:rPr>
              <w:t>4</w:t>
            </w:r>
            <w:r>
              <w:rPr>
                <w:rFonts w:hint="eastAsia" w:ascii="Times New Roman" w:hAnsi="Times New Roman" w:eastAsia="宋体" w:cs="Times New Roman"/>
                <w:b/>
                <w:bCs/>
                <w:color w:val="auto"/>
                <w:sz w:val="21"/>
                <w:szCs w:val="21"/>
                <w:highlight w:val="none"/>
                <w:lang w:val="en-US" w:eastAsia="zh-CN"/>
              </w:rPr>
              <w:t>.1</w:t>
            </w:r>
            <w:r>
              <w:rPr>
                <w:rFonts w:hint="eastAsia" w:ascii="Times New Roman" w:hAnsi="Times New Roman" w:eastAsia="宋体" w:cs="Times New Roman"/>
                <w:b/>
                <w:bCs/>
                <w:color w:val="auto"/>
                <w:sz w:val="21"/>
                <w:szCs w:val="21"/>
                <w:highlight w:val="none"/>
              </w:rPr>
              <w:t>陆生</w:t>
            </w:r>
            <w:r>
              <w:rPr>
                <w:rFonts w:hint="eastAsia" w:ascii="Times New Roman" w:hAnsi="Times New Roman" w:eastAsia="宋体" w:cs="Times New Roman"/>
                <w:b/>
                <w:bCs/>
                <w:color w:val="auto"/>
                <w:sz w:val="21"/>
                <w:szCs w:val="21"/>
                <w:highlight w:val="none"/>
                <w:lang w:eastAsia="zh-CN"/>
              </w:rPr>
              <w:t>动植物</w:t>
            </w:r>
          </w:p>
          <w:p>
            <w:pPr>
              <w:adjustRightInd w:val="0"/>
              <w:snapToGrid w:val="0"/>
              <w:spacing w:line="360" w:lineRule="auto"/>
              <w:ind w:firstLine="420" w:firstLineChars="20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植被</w:t>
            </w:r>
          </w:p>
          <w:p>
            <w:pPr>
              <w:adjustRightInd w:val="0"/>
              <w:snapToGrid w:val="0"/>
              <w:spacing w:line="360" w:lineRule="auto"/>
              <w:ind w:firstLine="420" w:firstLineChars="20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项目区域位于四川省达州市宣汉县。根据《四川植被》中关于四川省内植被区划的描述，项目所在区域属IA3</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6</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川北深丘植被小区。项目区域自然植被主要为马尾松林、柏木林、栎类灌丛、亚热带草丛及其各种过渡类型。在个别海拔1200m左右的地方有石栎林、刺叶栎林、</w:t>
            </w:r>
            <w:r>
              <w:rPr>
                <w:rFonts w:hint="eastAsia" w:cs="Times New Roman"/>
                <w:color w:val="auto"/>
                <w:sz w:val="21"/>
                <w:szCs w:val="21"/>
                <w:highlight w:val="none"/>
                <w:lang w:eastAsia="zh-CN"/>
              </w:rPr>
              <w:t>青冈</w:t>
            </w:r>
            <w:r>
              <w:rPr>
                <w:rFonts w:hint="eastAsia" w:ascii="Times New Roman" w:hAnsi="Times New Roman" w:eastAsia="宋体" w:cs="Times New Roman"/>
                <w:color w:val="auto"/>
                <w:sz w:val="21"/>
                <w:szCs w:val="21"/>
                <w:highlight w:val="none"/>
              </w:rPr>
              <w:t>林。马尾松林多分布在深丘顶部砂页岩发育的黄壤地段上，灌木有米饭花、映山红、米碎花、铁仔，而在干燥生境下，则以映山红、火棘、栎类为主。柏木林多分布在深丘下部的紫色页岩地段上，形成疏林，混有化香、黄连木、油桐。栎类灌丛多分布</w:t>
            </w:r>
            <w:r>
              <w:rPr>
                <w:rFonts w:hint="eastAsia" w:cs="Times New Roman"/>
                <w:color w:val="auto"/>
                <w:sz w:val="21"/>
                <w:szCs w:val="21"/>
                <w:highlight w:val="none"/>
                <w:lang w:eastAsia="zh-CN"/>
              </w:rPr>
              <w:t>在山顶</w:t>
            </w:r>
            <w:r>
              <w:rPr>
                <w:rFonts w:hint="eastAsia" w:ascii="Times New Roman" w:hAnsi="Times New Roman" w:eastAsia="宋体" w:cs="Times New Roman"/>
                <w:color w:val="auto"/>
                <w:sz w:val="21"/>
                <w:szCs w:val="21"/>
                <w:highlight w:val="none"/>
              </w:rPr>
              <w:t>，由麻栎、青冈、烟管荚蓬、火棘、蔷薇、盐肤木、映山红、铁仔、毛黄栌组成，为马尾松林和落叶栎林砍伐后形成的灌丛类型。柏木林再度砍伐后形成以黄茅、白茅、香茅为主的亚热带草丛，并散生着黄荆、牡荆、马桑、铁仔、短柄枹栎等植物。另外，本小区各地还有黑壳楠、红果钓樟、云南樟、宜昌润楠、山合欢、灯台树等植物。</w:t>
            </w:r>
          </w:p>
          <w:p>
            <w:pPr>
              <w:adjustRightInd w:val="0"/>
              <w:snapToGrid w:val="0"/>
              <w:spacing w:line="360" w:lineRule="auto"/>
              <w:ind w:firstLine="420" w:firstLineChars="20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栽培植被中大春作物本田以中稻为主，早地以玉米、红苕、棉花、花生、小麦、马铃薯、豌豆为主，小春作物以小麦、豌豆为主，深丘上部种有马铃薯，多为一年二熟类型。由于地势较高，雨量分配不均匀，伏旱严重，农业布局必须因地制宜。有水利保证的田应栽水稻，主攻中稻，没有水利保证的田，种植旱粮，实行小麦、玉米、红苕连续套种。这样可以提高复种指数，做到高产稳产。在“以粮为纲，全面发展”方针指导下，要因地制宜地发展棉花、花生等经济作物。经济林水中梨、核桃产量大、质量好、栽培历史长，如苍溪雪梨和薄壳核桃都很著名，宜于大量发展。另外桑、油桐也是本小区重要经济林木，发展潜力很大。丘陵荒山要开展植树造林，种植黄荆、马桑、紫穗槐、马尾松、柏木等，增加植被覆盖率。</w:t>
            </w:r>
          </w:p>
          <w:p>
            <w:pPr>
              <w:adjustRightInd w:val="0"/>
              <w:snapToGrid w:val="0"/>
              <w:spacing w:line="360" w:lineRule="auto"/>
              <w:ind w:firstLine="420" w:firstLineChars="200"/>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动物</w:t>
            </w:r>
          </w:p>
          <w:p>
            <w:pPr>
              <w:adjustRightInd w:val="0"/>
              <w:snapToGrid w:val="0"/>
              <w:spacing w:line="360" w:lineRule="auto"/>
              <w:ind w:firstLine="420" w:firstLineChars="200"/>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宣汉县野生动物较多，兽类有麂、刺猬、果子狸、狐狸、水獭、黄鼠狼、野兔、松鼠等；鸟类有鹭鸶、鹰、鹧鸪、燕子、野鸡、斑鸠、猫头鹰、喜鹊等；蛇虫类有乌梢蛇、螳螂、蜻蜓、蜜蜂、蝴蝶、蜘蛛、蚂蚁等；水生动物有鱼、虾、蚌、蟹、蛙等。</w:t>
            </w:r>
          </w:p>
          <w:p>
            <w:pPr>
              <w:adjustRightInd w:val="0"/>
              <w:snapToGrid w:val="0"/>
              <w:spacing w:line="360" w:lineRule="auto"/>
              <w:ind w:firstLine="420" w:firstLineChars="200"/>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本</w:t>
            </w:r>
            <w:r>
              <w:rPr>
                <w:rFonts w:hint="eastAsia" w:ascii="Times New Roman" w:hAnsi="Times New Roman" w:eastAsia="宋体" w:cs="Times New Roman"/>
                <w:color w:val="auto"/>
                <w:sz w:val="21"/>
                <w:szCs w:val="21"/>
                <w:highlight w:val="none"/>
              </w:rPr>
              <w:t>项目位于</w:t>
            </w:r>
            <w:r>
              <w:rPr>
                <w:rFonts w:hint="eastAsia" w:cs="Times New Roman"/>
                <w:color w:val="auto"/>
                <w:sz w:val="21"/>
                <w:szCs w:val="21"/>
                <w:highlight w:val="none"/>
                <w:lang w:val="en-US" w:eastAsia="zh-CN"/>
              </w:rPr>
              <w:t>农村</w:t>
            </w:r>
            <w:r>
              <w:rPr>
                <w:rFonts w:hint="eastAsia" w:ascii="Times New Roman" w:hAnsi="Times New Roman" w:eastAsia="宋体" w:cs="Times New Roman"/>
                <w:color w:val="auto"/>
                <w:sz w:val="21"/>
                <w:szCs w:val="21"/>
                <w:highlight w:val="none"/>
              </w:rPr>
              <w:t>区域，附近的野生动物主要是适合栖息于农田、居民点周边的种类，如农田常见的啮齿类、两栖类、爬行类和画眉、麻雀等常见鸟类，无大型陆生野生动物，也无国家保护的陆生珍稀野生动物。</w:t>
            </w:r>
          </w:p>
          <w:p>
            <w:pPr>
              <w:adjustRightInd w:val="0"/>
              <w:snapToGrid w:val="0"/>
              <w:spacing w:line="360" w:lineRule="auto"/>
              <w:ind w:firstLine="422" w:firstLineChars="200"/>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val="en-US" w:eastAsia="zh-CN"/>
              </w:rPr>
              <w:t>3.1.</w:t>
            </w:r>
            <w:r>
              <w:rPr>
                <w:rFonts w:hint="eastAsia" w:cs="Times New Roman"/>
                <w:b/>
                <w:bCs/>
                <w:color w:val="auto"/>
                <w:sz w:val="21"/>
                <w:szCs w:val="21"/>
                <w:highlight w:val="none"/>
                <w:lang w:val="en-US" w:eastAsia="zh-CN"/>
              </w:rPr>
              <w:t>4</w:t>
            </w:r>
            <w:r>
              <w:rPr>
                <w:rFonts w:hint="eastAsia" w:ascii="Times New Roman" w:hAnsi="Times New Roman" w:eastAsia="宋体" w:cs="Times New Roman"/>
                <w:b/>
                <w:bCs/>
                <w:color w:val="auto"/>
                <w:sz w:val="21"/>
                <w:szCs w:val="21"/>
                <w:highlight w:val="none"/>
                <w:lang w:val="en-US" w:eastAsia="zh-CN"/>
              </w:rPr>
              <w:t>.2</w:t>
            </w:r>
            <w:r>
              <w:rPr>
                <w:rFonts w:hint="eastAsia" w:ascii="Times New Roman" w:hAnsi="Times New Roman" w:eastAsia="宋体" w:cs="Times New Roman"/>
                <w:b/>
                <w:bCs/>
                <w:color w:val="auto"/>
                <w:sz w:val="21"/>
                <w:szCs w:val="21"/>
                <w:highlight w:val="none"/>
                <w:lang w:eastAsia="zh-CN"/>
              </w:rPr>
              <w:t>水生生态现状</w:t>
            </w:r>
          </w:p>
          <w:p>
            <w:pPr>
              <w:adjustRightInd w:val="0"/>
              <w:snapToGrid w:val="0"/>
              <w:spacing w:line="360" w:lineRule="auto"/>
              <w:ind w:firstLine="420" w:firstLineChars="200"/>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本项目水生生态现状调查主要采取历史调查资料收集、现场调查、走访调查等方法。</w:t>
            </w:r>
            <w:r>
              <w:rPr>
                <w:rFonts w:hint="eastAsia" w:cs="Times New Roman"/>
                <w:color w:val="auto"/>
                <w:sz w:val="21"/>
                <w:szCs w:val="21"/>
                <w:highlight w:val="none"/>
                <w:lang w:val="en-US" w:eastAsia="zh-CN"/>
              </w:rPr>
              <w:t>堰沟水</w:t>
            </w:r>
            <w:r>
              <w:rPr>
                <w:rFonts w:hint="eastAsia" w:ascii="Times New Roman" w:hAnsi="Times New Roman" w:eastAsia="宋体" w:cs="Times New Roman"/>
                <w:color w:val="auto"/>
                <w:sz w:val="21"/>
                <w:szCs w:val="21"/>
                <w:highlight w:val="none"/>
                <w:lang w:eastAsia="zh-CN"/>
              </w:rPr>
              <w:t>生生态现状如下：</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本项目</w:t>
            </w:r>
            <w:r>
              <w:rPr>
                <w:rFonts w:hint="eastAsia" w:cs="Times New Roman"/>
                <w:color w:val="auto"/>
                <w:sz w:val="21"/>
                <w:szCs w:val="21"/>
                <w:highlight w:val="none"/>
                <w:lang w:val="en-US" w:eastAsia="zh-CN"/>
              </w:rPr>
              <w:t>河</w:t>
            </w:r>
            <w:r>
              <w:rPr>
                <w:rFonts w:hint="eastAsia" w:ascii="Times New Roman" w:hAnsi="Times New Roman" w:eastAsia="宋体" w:cs="Times New Roman"/>
                <w:color w:val="auto"/>
                <w:sz w:val="21"/>
                <w:szCs w:val="21"/>
                <w:highlight w:val="none"/>
                <w:lang w:eastAsia="zh-CN"/>
              </w:rPr>
              <w:t>段水生生物以当地常见藻类、浮游生物、当地常见鱼类及两栖生物等为主，鱼类主要包括鲤鱼、鲫鱼、草鱼及鲢等，两栖生物主要为蛙、蟾蜍等，未发现</w:t>
            </w:r>
            <w:r>
              <w:rPr>
                <w:rFonts w:hint="eastAsia" w:cs="Times New Roman"/>
                <w:color w:val="auto"/>
                <w:sz w:val="21"/>
                <w:szCs w:val="21"/>
                <w:highlight w:val="none"/>
                <w:lang w:eastAsia="zh-CN"/>
              </w:rPr>
              <w:t>珍稀濒危</w:t>
            </w:r>
            <w:r>
              <w:rPr>
                <w:rFonts w:hint="eastAsia" w:ascii="Times New Roman" w:hAnsi="Times New Roman" w:eastAsia="宋体" w:cs="Times New Roman"/>
                <w:color w:val="auto"/>
                <w:sz w:val="21"/>
                <w:szCs w:val="21"/>
                <w:highlight w:val="none"/>
                <w:lang w:eastAsia="zh-CN"/>
              </w:rPr>
              <w:t>受保护物种</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eastAsia="zh-CN"/>
              </w:rPr>
              <w:t>不涉及饮用水源保护区、鱼类三场（越冬场、产卵场、索饵场）及洄游通道等</w:t>
            </w:r>
            <w:r>
              <w:rPr>
                <w:rFonts w:hint="eastAsia"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Times New Roman" w:hAnsi="Times New Roman" w:eastAsia="宋体" w:cs="Times New Roman"/>
                <w:b/>
                <w:snapToGrid w:val="0"/>
                <w:color w:val="auto"/>
                <w:kern w:val="0"/>
                <w:sz w:val="21"/>
                <w:szCs w:val="21"/>
                <w:highlight w:val="none"/>
              </w:rPr>
            </w:pPr>
            <w:r>
              <w:rPr>
                <w:rFonts w:hint="eastAsia" w:ascii="Times New Roman" w:hAnsi="Times New Roman" w:eastAsia="宋体" w:cs="Times New Roman"/>
                <w:b/>
                <w:snapToGrid w:val="0"/>
                <w:color w:val="auto"/>
                <w:kern w:val="0"/>
                <w:sz w:val="21"/>
                <w:szCs w:val="21"/>
                <w:highlight w:val="none"/>
                <w:lang w:val="en-US" w:eastAsia="zh-CN"/>
              </w:rPr>
              <w:t>3.1.</w:t>
            </w:r>
            <w:r>
              <w:rPr>
                <w:rFonts w:hint="eastAsia" w:cs="Times New Roman"/>
                <w:b/>
                <w:snapToGrid w:val="0"/>
                <w:color w:val="auto"/>
                <w:kern w:val="0"/>
                <w:sz w:val="21"/>
                <w:szCs w:val="21"/>
                <w:highlight w:val="none"/>
                <w:lang w:val="en-US" w:eastAsia="zh-CN"/>
              </w:rPr>
              <w:t>5</w:t>
            </w:r>
            <w:r>
              <w:rPr>
                <w:rFonts w:hint="eastAsia" w:ascii="Times New Roman" w:hAnsi="Times New Roman" w:eastAsia="宋体" w:cs="Times New Roman"/>
                <w:b/>
                <w:snapToGrid w:val="0"/>
                <w:color w:val="auto"/>
                <w:kern w:val="0"/>
                <w:sz w:val="21"/>
                <w:szCs w:val="21"/>
                <w:highlight w:val="none"/>
              </w:rPr>
              <w:t>环境质量现状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eastAsia" w:ascii="Times New Roman" w:hAnsi="Times New Roman" w:eastAsia="宋体" w:cs="Times New Roman"/>
                <w:b/>
                <w:bCs/>
                <w:color w:val="auto"/>
                <w:kern w:val="0"/>
                <w:sz w:val="21"/>
                <w:szCs w:val="21"/>
                <w:highlight w:val="none"/>
              </w:rPr>
            </w:pPr>
            <w:r>
              <w:rPr>
                <w:rFonts w:hint="eastAsia" w:ascii="Times New Roman" w:hAnsi="Times New Roman" w:eastAsia="宋体" w:cs="Times New Roman"/>
                <w:b/>
                <w:bCs/>
                <w:color w:val="auto"/>
                <w:kern w:val="0"/>
                <w:sz w:val="21"/>
                <w:szCs w:val="21"/>
                <w:highlight w:val="none"/>
                <w:lang w:val="en-US" w:eastAsia="zh-CN"/>
              </w:rPr>
              <w:t>3.1.</w:t>
            </w:r>
            <w:r>
              <w:rPr>
                <w:rFonts w:hint="eastAsia" w:cs="Times New Roman"/>
                <w:b/>
                <w:bCs/>
                <w:color w:val="auto"/>
                <w:kern w:val="0"/>
                <w:sz w:val="21"/>
                <w:szCs w:val="21"/>
                <w:highlight w:val="none"/>
                <w:lang w:val="en-US" w:eastAsia="zh-CN"/>
              </w:rPr>
              <w:t>5</w:t>
            </w:r>
            <w:r>
              <w:rPr>
                <w:rFonts w:hint="eastAsia" w:ascii="Times New Roman" w:hAnsi="Times New Roman" w:eastAsia="宋体" w:cs="Times New Roman"/>
                <w:b/>
                <w:bCs/>
                <w:color w:val="auto"/>
                <w:kern w:val="0"/>
                <w:sz w:val="21"/>
                <w:szCs w:val="21"/>
                <w:highlight w:val="none"/>
                <w:lang w:val="en-US" w:eastAsia="zh-CN"/>
              </w:rPr>
              <w:t>.1</w:t>
            </w:r>
            <w:r>
              <w:rPr>
                <w:rFonts w:hint="eastAsia" w:ascii="Times New Roman" w:hAnsi="Times New Roman" w:eastAsia="宋体" w:cs="Times New Roman"/>
                <w:b/>
                <w:bCs/>
                <w:color w:val="auto"/>
                <w:kern w:val="0"/>
                <w:sz w:val="21"/>
                <w:szCs w:val="21"/>
                <w:highlight w:val="none"/>
              </w:rPr>
              <w:t>环境空气质量现状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本项目位于</w:t>
            </w:r>
            <w:r>
              <w:rPr>
                <w:rFonts w:hint="eastAsia" w:cs="Times New Roman"/>
                <w:color w:val="auto"/>
                <w:kern w:val="0"/>
                <w:sz w:val="21"/>
                <w:szCs w:val="21"/>
                <w:highlight w:val="none"/>
                <w:lang w:val="en-US" w:eastAsia="zh-CN"/>
              </w:rPr>
              <w:t>宣汉县胡家镇</w:t>
            </w:r>
            <w:r>
              <w:rPr>
                <w:rFonts w:hint="eastAsia" w:ascii="Times New Roman" w:hAnsi="Times New Roman" w:eastAsia="宋体" w:cs="Times New Roman"/>
                <w:color w:val="auto"/>
                <w:kern w:val="0"/>
                <w:sz w:val="21"/>
                <w:szCs w:val="21"/>
                <w:highlight w:val="none"/>
                <w:lang w:eastAsia="zh-CN"/>
              </w:rPr>
              <w:t>，项目所在地环境空气功能区划为二类区，环境空气质量执行《环境空气质量标准》（GB3095-2012）二级标准。</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本次基本污染物评价因子为PM</w:t>
            </w:r>
            <w:r>
              <w:rPr>
                <w:rFonts w:hint="eastAsia" w:ascii="Times New Roman" w:hAnsi="Times New Roman" w:eastAsia="宋体" w:cs="Times New Roman"/>
                <w:color w:val="auto"/>
                <w:kern w:val="0"/>
                <w:sz w:val="21"/>
                <w:szCs w:val="21"/>
                <w:highlight w:val="none"/>
                <w:vertAlign w:val="subscript"/>
              </w:rPr>
              <w:t>2.5</w:t>
            </w:r>
            <w:r>
              <w:rPr>
                <w:rFonts w:hint="eastAsia" w:ascii="Times New Roman" w:hAnsi="Times New Roman" w:eastAsia="宋体" w:cs="Times New Roman"/>
                <w:color w:val="auto"/>
                <w:kern w:val="0"/>
                <w:sz w:val="21"/>
                <w:szCs w:val="21"/>
                <w:highlight w:val="none"/>
              </w:rPr>
              <w:t>、PM</w:t>
            </w:r>
            <w:r>
              <w:rPr>
                <w:rFonts w:hint="eastAsia" w:ascii="Times New Roman" w:hAnsi="Times New Roman" w:eastAsia="宋体" w:cs="Times New Roman"/>
                <w:color w:val="auto"/>
                <w:kern w:val="0"/>
                <w:sz w:val="21"/>
                <w:szCs w:val="21"/>
                <w:highlight w:val="none"/>
                <w:vertAlign w:val="subscript"/>
              </w:rPr>
              <w:t>10</w:t>
            </w:r>
            <w:r>
              <w:rPr>
                <w:rFonts w:hint="eastAsia" w:ascii="Times New Roman" w:hAnsi="Times New Roman" w:eastAsia="宋体" w:cs="Times New Roman"/>
                <w:color w:val="auto"/>
                <w:kern w:val="0"/>
                <w:sz w:val="21"/>
                <w:szCs w:val="21"/>
                <w:highlight w:val="none"/>
              </w:rPr>
              <w:t>、SO</w:t>
            </w:r>
            <w:r>
              <w:rPr>
                <w:rFonts w:hint="eastAsia" w:ascii="Times New Roman" w:hAnsi="Times New Roman" w:eastAsia="宋体" w:cs="Times New Roman"/>
                <w:color w:val="auto"/>
                <w:kern w:val="0"/>
                <w:sz w:val="21"/>
                <w:szCs w:val="21"/>
                <w:highlight w:val="none"/>
                <w:vertAlign w:val="subscript"/>
              </w:rPr>
              <w:t>2</w:t>
            </w:r>
            <w:r>
              <w:rPr>
                <w:rFonts w:hint="eastAsia" w:ascii="Times New Roman" w:hAnsi="Times New Roman" w:eastAsia="宋体" w:cs="Times New Roman"/>
                <w:color w:val="auto"/>
                <w:kern w:val="0"/>
                <w:sz w:val="21"/>
                <w:szCs w:val="21"/>
                <w:highlight w:val="none"/>
              </w:rPr>
              <w:t>、NO</w:t>
            </w:r>
            <w:r>
              <w:rPr>
                <w:rFonts w:hint="eastAsia" w:ascii="Times New Roman" w:hAnsi="Times New Roman" w:eastAsia="宋体" w:cs="Times New Roman"/>
                <w:color w:val="auto"/>
                <w:kern w:val="0"/>
                <w:sz w:val="21"/>
                <w:szCs w:val="21"/>
                <w:highlight w:val="none"/>
                <w:vertAlign w:val="subscript"/>
              </w:rPr>
              <w:t>2</w:t>
            </w:r>
            <w:r>
              <w:rPr>
                <w:rFonts w:hint="eastAsia" w:ascii="Times New Roman" w:hAnsi="Times New Roman" w:eastAsia="宋体" w:cs="Times New Roman"/>
                <w:color w:val="auto"/>
                <w:kern w:val="0"/>
                <w:sz w:val="21"/>
                <w:szCs w:val="21"/>
                <w:highlight w:val="none"/>
              </w:rPr>
              <w:t>、O</w:t>
            </w:r>
            <w:r>
              <w:rPr>
                <w:rFonts w:hint="eastAsia" w:ascii="Times New Roman" w:hAnsi="Times New Roman" w:eastAsia="宋体" w:cs="Times New Roman"/>
                <w:color w:val="auto"/>
                <w:kern w:val="0"/>
                <w:sz w:val="21"/>
                <w:szCs w:val="21"/>
                <w:highlight w:val="none"/>
                <w:vertAlign w:val="subscript"/>
              </w:rPr>
              <w:t>3</w:t>
            </w:r>
            <w:r>
              <w:rPr>
                <w:rFonts w:hint="eastAsia" w:ascii="Times New Roman" w:hAnsi="Times New Roman" w:eastAsia="宋体" w:cs="Times New Roman"/>
                <w:color w:val="auto"/>
                <w:kern w:val="0"/>
                <w:sz w:val="21"/>
                <w:szCs w:val="21"/>
                <w:highlight w:val="none"/>
              </w:rPr>
              <w:t>、CO，引用</w:t>
            </w:r>
            <w:r>
              <w:rPr>
                <w:rFonts w:hint="eastAsia" w:cs="Times New Roman"/>
                <w:color w:val="auto"/>
                <w:kern w:val="0"/>
                <w:sz w:val="21"/>
                <w:szCs w:val="21"/>
                <w:highlight w:val="none"/>
                <w:lang w:val="en-US" w:eastAsia="zh-CN"/>
              </w:rPr>
              <w:t>达州市2023年环境空气质量状况</w:t>
            </w:r>
            <w:r>
              <w:rPr>
                <w:rFonts w:hint="eastAsia" w:ascii="Times New Roman" w:hAnsi="Times New Roman" w:eastAsia="宋体" w:cs="Times New Roman"/>
                <w:color w:val="auto"/>
                <w:kern w:val="0"/>
                <w:sz w:val="21"/>
                <w:szCs w:val="21"/>
                <w:highlight w:val="none"/>
              </w:rPr>
              <w:t>数据。区域空气质量现状评价见表</w:t>
            </w:r>
            <w:r>
              <w:rPr>
                <w:rFonts w:hint="eastAsia" w:ascii="Times New Roman" w:hAnsi="Times New Roman" w:eastAsia="宋体" w:cs="Times New Roman"/>
                <w:color w:val="auto"/>
                <w:kern w:val="0"/>
                <w:sz w:val="21"/>
                <w:szCs w:val="21"/>
                <w:highlight w:val="none"/>
                <w:lang w:val="en-US" w:eastAsia="zh-CN"/>
              </w:rPr>
              <w:t>3</w:t>
            </w:r>
            <w:r>
              <w:rPr>
                <w:rFonts w:hint="eastAsia" w:cs="Times New Roman"/>
                <w:color w:val="auto"/>
                <w:kern w:val="0"/>
                <w:sz w:val="21"/>
                <w:szCs w:val="21"/>
                <w:highlight w:val="none"/>
                <w:lang w:val="en-US" w:eastAsia="zh-CN"/>
              </w:rPr>
              <w:t>.1.5</w:t>
            </w:r>
            <w:r>
              <w:rPr>
                <w:rFonts w:hint="eastAsia" w:ascii="Times New Roman" w:hAnsi="Times New Roman" w:eastAsia="宋体" w:cs="Times New Roman"/>
                <w:color w:val="auto"/>
                <w:kern w:val="0"/>
                <w:sz w:val="21"/>
                <w:szCs w:val="21"/>
                <w:highlight w:val="none"/>
              </w:rPr>
              <w:t>-1。</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表</w:t>
            </w:r>
            <w:r>
              <w:rPr>
                <w:rFonts w:hint="eastAsia" w:ascii="Times New Roman" w:hAnsi="Times New Roman" w:eastAsia="宋体" w:cs="Times New Roman"/>
                <w:b w:val="0"/>
                <w:bCs w:val="0"/>
                <w:color w:val="auto"/>
                <w:kern w:val="0"/>
                <w:sz w:val="21"/>
                <w:szCs w:val="21"/>
                <w:highlight w:val="none"/>
                <w:lang w:val="en-US" w:eastAsia="zh-CN"/>
              </w:rPr>
              <w:t>3</w:t>
            </w:r>
            <w:r>
              <w:rPr>
                <w:rFonts w:hint="eastAsia" w:cs="Times New Roman"/>
                <w:b w:val="0"/>
                <w:bCs w:val="0"/>
                <w:color w:val="auto"/>
                <w:kern w:val="0"/>
                <w:sz w:val="21"/>
                <w:szCs w:val="21"/>
                <w:highlight w:val="none"/>
                <w:lang w:val="en-US" w:eastAsia="zh-CN"/>
              </w:rPr>
              <w:t>.1.5</w:t>
            </w:r>
            <w:r>
              <w:rPr>
                <w:rFonts w:hint="default" w:ascii="Times New Roman" w:hAnsi="Times New Roman" w:eastAsia="宋体" w:cs="Times New Roman"/>
                <w:b w:val="0"/>
                <w:bCs w:val="0"/>
                <w:color w:val="auto"/>
                <w:kern w:val="0"/>
                <w:sz w:val="21"/>
                <w:szCs w:val="21"/>
                <w:highlight w:val="none"/>
              </w:rPr>
              <w:t xml:space="preserve">-1  区域空气质量现状评价表   </w:t>
            </w:r>
            <w:r>
              <w:rPr>
                <w:rFonts w:hint="default" w:ascii="Times New Roman" w:hAnsi="Times New Roman" w:cs="Times New Roman"/>
                <w:b w:val="0"/>
                <w:bCs w:val="0"/>
                <w:color w:val="auto"/>
                <w:kern w:val="0"/>
                <w:sz w:val="21"/>
                <w:szCs w:val="21"/>
                <w:highlight w:val="none"/>
                <w:lang w:val="en-US" w:eastAsia="zh-CN"/>
              </w:rPr>
              <w:t>μ</w:t>
            </w:r>
            <w:r>
              <w:rPr>
                <w:rFonts w:hint="default" w:ascii="Times New Roman" w:hAnsi="Times New Roman" w:eastAsia="宋体" w:cs="Times New Roman"/>
                <w:b w:val="0"/>
                <w:bCs w:val="0"/>
                <w:color w:val="auto"/>
                <w:kern w:val="0"/>
                <w:sz w:val="21"/>
                <w:szCs w:val="21"/>
                <w:highlight w:val="none"/>
              </w:rPr>
              <w:t>g/m</w:t>
            </w:r>
            <w:r>
              <w:rPr>
                <w:rFonts w:hint="default" w:ascii="Times New Roman" w:hAnsi="Times New Roman" w:eastAsia="宋体" w:cs="Times New Roman"/>
                <w:b w:val="0"/>
                <w:bCs w:val="0"/>
                <w:color w:val="auto"/>
                <w:kern w:val="0"/>
                <w:sz w:val="21"/>
                <w:szCs w:val="21"/>
                <w:highlight w:val="none"/>
                <w:vertAlign w:val="superscript"/>
              </w:rPr>
              <w:t>3</w:t>
            </w:r>
          </w:p>
          <w:tbl>
            <w:tblPr>
              <w:tblStyle w:val="29"/>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5"/>
              <w:gridCol w:w="2274"/>
              <w:gridCol w:w="1406"/>
              <w:gridCol w:w="1209"/>
              <w:gridCol w:w="972"/>
              <w:gridCol w:w="1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i w:val="0"/>
                      <w:iCs w:val="0"/>
                      <w:color w:val="auto"/>
                      <w:sz w:val="18"/>
                      <w:szCs w:val="18"/>
                      <w:highlight w:val="none"/>
                      <w:lang w:eastAsia="zh-CN"/>
                    </w:rPr>
                  </w:pPr>
                  <w:r>
                    <w:rPr>
                      <w:rFonts w:hint="default" w:ascii="Times New Roman" w:hAnsi="Times New Roman" w:eastAsia="宋体" w:cs="Times New Roman"/>
                      <w:b w:val="0"/>
                      <w:bCs w:val="0"/>
                      <w:i w:val="0"/>
                      <w:iCs w:val="0"/>
                      <w:color w:val="auto"/>
                      <w:sz w:val="18"/>
                      <w:szCs w:val="18"/>
                      <w:highlight w:val="none"/>
                      <w:lang w:eastAsia="zh-CN"/>
                    </w:rPr>
                    <w:t>污染物</w:t>
                  </w:r>
                </w:p>
              </w:tc>
              <w:tc>
                <w:tcPr>
                  <w:tcW w:w="22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i w:val="0"/>
                      <w:iCs w:val="0"/>
                      <w:color w:val="auto"/>
                      <w:sz w:val="18"/>
                      <w:szCs w:val="18"/>
                      <w:highlight w:val="none"/>
                      <w:lang w:eastAsia="zh-CN"/>
                    </w:rPr>
                  </w:pPr>
                  <w:r>
                    <w:rPr>
                      <w:rFonts w:hint="default" w:ascii="Times New Roman" w:hAnsi="Times New Roman" w:eastAsia="宋体" w:cs="Times New Roman"/>
                      <w:b w:val="0"/>
                      <w:bCs w:val="0"/>
                      <w:i w:val="0"/>
                      <w:iCs w:val="0"/>
                      <w:color w:val="auto"/>
                      <w:sz w:val="18"/>
                      <w:szCs w:val="18"/>
                      <w:highlight w:val="none"/>
                      <w:lang w:eastAsia="zh-CN"/>
                    </w:rPr>
                    <w:t>年评价指标</w:t>
                  </w:r>
                </w:p>
              </w:tc>
              <w:tc>
                <w:tcPr>
                  <w:tcW w:w="14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i w:val="0"/>
                      <w:iCs w:val="0"/>
                      <w:color w:val="auto"/>
                      <w:sz w:val="18"/>
                      <w:szCs w:val="18"/>
                      <w:highlight w:val="none"/>
                      <w:lang w:eastAsia="zh-CN"/>
                    </w:rPr>
                  </w:pPr>
                  <w:r>
                    <w:rPr>
                      <w:rFonts w:hint="default" w:ascii="Times New Roman" w:hAnsi="Times New Roman" w:eastAsia="宋体" w:cs="Times New Roman"/>
                      <w:b w:val="0"/>
                      <w:bCs w:val="0"/>
                      <w:i w:val="0"/>
                      <w:iCs w:val="0"/>
                      <w:color w:val="auto"/>
                      <w:sz w:val="18"/>
                      <w:szCs w:val="18"/>
                      <w:highlight w:val="none"/>
                      <w:lang w:eastAsia="zh-CN"/>
                    </w:rPr>
                    <w:t>现状浓度</w:t>
                  </w:r>
                  <w:r>
                    <w:rPr>
                      <w:rFonts w:hint="default" w:ascii="Times New Roman" w:hAnsi="Times New Roman" w:cs="Times New Roman"/>
                      <w:b w:val="0"/>
                      <w:bCs w:val="0"/>
                      <w:color w:val="auto"/>
                      <w:kern w:val="0"/>
                      <w:sz w:val="18"/>
                      <w:szCs w:val="18"/>
                      <w:highlight w:val="none"/>
                      <w:lang w:val="en-US" w:eastAsia="zh-CN"/>
                    </w:rPr>
                    <w:t>μ</w:t>
                  </w:r>
                  <w:r>
                    <w:rPr>
                      <w:rFonts w:hint="default" w:ascii="Times New Roman" w:hAnsi="Times New Roman" w:eastAsia="宋体" w:cs="Times New Roman"/>
                      <w:b w:val="0"/>
                      <w:bCs w:val="0"/>
                      <w:color w:val="auto"/>
                      <w:kern w:val="0"/>
                      <w:sz w:val="18"/>
                      <w:szCs w:val="18"/>
                      <w:highlight w:val="none"/>
                    </w:rPr>
                    <w:t>g/m</w:t>
                  </w:r>
                  <w:r>
                    <w:rPr>
                      <w:rFonts w:hint="default" w:ascii="Times New Roman" w:hAnsi="Times New Roman" w:eastAsia="宋体" w:cs="Times New Roman"/>
                      <w:b w:val="0"/>
                      <w:bCs w:val="0"/>
                      <w:color w:val="auto"/>
                      <w:kern w:val="0"/>
                      <w:sz w:val="18"/>
                      <w:szCs w:val="18"/>
                      <w:highlight w:val="none"/>
                      <w:vertAlign w:val="superscript"/>
                    </w:rPr>
                    <w:t>3</w:t>
                  </w:r>
                </w:p>
              </w:tc>
              <w:tc>
                <w:tcPr>
                  <w:tcW w:w="12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i w:val="0"/>
                      <w:iCs w:val="0"/>
                      <w:color w:val="auto"/>
                      <w:sz w:val="18"/>
                      <w:szCs w:val="18"/>
                      <w:highlight w:val="none"/>
                      <w:lang w:eastAsia="zh-CN"/>
                    </w:rPr>
                  </w:pPr>
                  <w:r>
                    <w:rPr>
                      <w:rFonts w:hint="default" w:ascii="Times New Roman" w:hAnsi="Times New Roman" w:eastAsia="宋体" w:cs="Times New Roman"/>
                      <w:b w:val="0"/>
                      <w:bCs w:val="0"/>
                      <w:i w:val="0"/>
                      <w:iCs w:val="0"/>
                      <w:color w:val="auto"/>
                      <w:sz w:val="18"/>
                      <w:szCs w:val="18"/>
                      <w:highlight w:val="none"/>
                      <w:lang w:eastAsia="zh-CN"/>
                    </w:rPr>
                    <w:t>标准值</w:t>
                  </w:r>
                  <w:r>
                    <w:rPr>
                      <w:rFonts w:hint="default" w:ascii="Times New Roman" w:hAnsi="Times New Roman" w:cs="Times New Roman"/>
                      <w:b w:val="0"/>
                      <w:bCs w:val="0"/>
                      <w:color w:val="auto"/>
                      <w:kern w:val="0"/>
                      <w:sz w:val="18"/>
                      <w:szCs w:val="18"/>
                      <w:highlight w:val="none"/>
                      <w:lang w:val="en-US" w:eastAsia="zh-CN"/>
                    </w:rPr>
                    <w:t>μ</w:t>
                  </w:r>
                  <w:r>
                    <w:rPr>
                      <w:rFonts w:hint="default" w:ascii="Times New Roman" w:hAnsi="Times New Roman" w:eastAsia="宋体" w:cs="Times New Roman"/>
                      <w:b w:val="0"/>
                      <w:bCs w:val="0"/>
                      <w:color w:val="auto"/>
                      <w:kern w:val="0"/>
                      <w:sz w:val="18"/>
                      <w:szCs w:val="18"/>
                      <w:highlight w:val="none"/>
                    </w:rPr>
                    <w:t>g/m</w:t>
                  </w:r>
                  <w:r>
                    <w:rPr>
                      <w:rFonts w:hint="default" w:ascii="Times New Roman" w:hAnsi="Times New Roman" w:eastAsia="宋体" w:cs="Times New Roman"/>
                      <w:b w:val="0"/>
                      <w:bCs w:val="0"/>
                      <w:color w:val="auto"/>
                      <w:kern w:val="0"/>
                      <w:sz w:val="18"/>
                      <w:szCs w:val="18"/>
                      <w:highlight w:val="none"/>
                      <w:vertAlign w:val="superscript"/>
                    </w:rPr>
                    <w:t>3</w:t>
                  </w:r>
                </w:p>
              </w:tc>
              <w:tc>
                <w:tcPr>
                  <w:tcW w:w="9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i w:val="0"/>
                      <w:iCs w:val="0"/>
                      <w:color w:val="auto"/>
                      <w:sz w:val="18"/>
                      <w:szCs w:val="18"/>
                      <w:highlight w:val="none"/>
                      <w:lang w:val="en-US" w:eastAsia="zh-CN"/>
                    </w:rPr>
                  </w:pPr>
                  <w:r>
                    <w:rPr>
                      <w:rFonts w:hint="default" w:ascii="Times New Roman" w:hAnsi="Times New Roman" w:eastAsia="宋体" w:cs="Times New Roman"/>
                      <w:b w:val="0"/>
                      <w:bCs w:val="0"/>
                      <w:i w:val="0"/>
                      <w:iCs w:val="0"/>
                      <w:color w:val="auto"/>
                      <w:sz w:val="18"/>
                      <w:szCs w:val="18"/>
                      <w:highlight w:val="none"/>
                      <w:lang w:eastAsia="zh-CN"/>
                    </w:rPr>
                    <w:t>占标率</w:t>
                  </w:r>
                  <w:r>
                    <w:rPr>
                      <w:rFonts w:hint="default" w:ascii="Times New Roman" w:hAnsi="Times New Roman" w:eastAsia="宋体" w:cs="Times New Roman"/>
                      <w:b w:val="0"/>
                      <w:bCs w:val="0"/>
                      <w:i w:val="0"/>
                      <w:iCs w:val="0"/>
                      <w:color w:val="auto"/>
                      <w:sz w:val="18"/>
                      <w:szCs w:val="18"/>
                      <w:highlight w:val="none"/>
                      <w:lang w:val="en-US" w:eastAsia="zh-CN"/>
                    </w:rPr>
                    <w:t>%</w:t>
                  </w:r>
                </w:p>
              </w:tc>
              <w:tc>
                <w:tcPr>
                  <w:tcW w:w="10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i w:val="0"/>
                      <w:iCs w:val="0"/>
                      <w:color w:val="auto"/>
                      <w:sz w:val="18"/>
                      <w:szCs w:val="18"/>
                      <w:highlight w:val="none"/>
                      <w:lang w:eastAsia="zh-CN"/>
                    </w:rPr>
                  </w:pPr>
                  <w:r>
                    <w:rPr>
                      <w:rFonts w:hint="default" w:ascii="Times New Roman" w:hAnsi="Times New Roman" w:eastAsia="宋体" w:cs="Times New Roman"/>
                      <w:b w:val="0"/>
                      <w:bCs w:val="0"/>
                      <w:i w:val="0"/>
                      <w:iCs w:val="0"/>
                      <w:color w:val="auto"/>
                      <w:sz w:val="18"/>
                      <w:szCs w:val="18"/>
                      <w:highlight w:val="none"/>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1023" w:type="dxa"/>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SO</w:t>
                  </w:r>
                  <w:r>
                    <w:rPr>
                      <w:rFonts w:hint="default" w:ascii="Times New Roman" w:hAnsi="Times New Roman" w:eastAsia="宋体" w:cs="Times New Roman"/>
                      <w:b w:val="0"/>
                      <w:bCs w:val="0"/>
                      <w:color w:val="auto"/>
                      <w:sz w:val="18"/>
                      <w:szCs w:val="18"/>
                      <w:highlight w:val="none"/>
                      <w:vertAlign w:val="subscript"/>
                    </w:rPr>
                    <w:t>2</w:t>
                  </w:r>
                </w:p>
              </w:tc>
              <w:tc>
                <w:tcPr>
                  <w:tcW w:w="2288" w:type="dxa"/>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rPr>
                    <w:t>年平均浓度</w:t>
                  </w:r>
                </w:p>
              </w:tc>
              <w:tc>
                <w:tcPr>
                  <w:tcW w:w="1412" w:type="dxa"/>
                  <w:tcBorders>
                    <w:tl2br w:val="nil"/>
                    <w:tr2bl w:val="nil"/>
                  </w:tcBorders>
                  <w:noWrap w:val="0"/>
                  <w:vAlign w:val="center"/>
                </w:tcPr>
                <w:p>
                  <w:pPr>
                    <w:keepNext w:val="0"/>
                    <w:keepLines w:val="0"/>
                    <w:pageBreakBefore w:val="0"/>
                    <w:widowControl w:val="0"/>
                    <w:tabs>
                      <w:tab w:val="right" w:leader="dot" w:pos="9180"/>
                    </w:tabs>
                    <w:kinsoku/>
                    <w:wordWrap/>
                    <w:overflowPunct/>
                    <w:topLinePunct w:val="0"/>
                    <w:autoSpaceDE/>
                    <w:autoSpaceDN/>
                    <w:bidi w:val="0"/>
                    <w:adjustRightInd w:val="0"/>
                    <w:snapToGrid w:val="0"/>
                    <w:spacing w:before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6</w:t>
                  </w:r>
                </w:p>
              </w:tc>
              <w:tc>
                <w:tcPr>
                  <w:tcW w:w="1213" w:type="dxa"/>
                  <w:tcBorders>
                    <w:tl2br w:val="nil"/>
                    <w:tr2bl w:val="nil"/>
                  </w:tcBorders>
                  <w:noWrap w:val="0"/>
                  <w:vAlign w:val="center"/>
                </w:tcPr>
                <w:p>
                  <w:pPr>
                    <w:keepNext w:val="0"/>
                    <w:keepLines w:val="0"/>
                    <w:pageBreakBefore w:val="0"/>
                    <w:widowControl w:val="0"/>
                    <w:tabs>
                      <w:tab w:val="right" w:leader="dot" w:pos="9180"/>
                    </w:tabs>
                    <w:kinsoku/>
                    <w:wordWrap/>
                    <w:overflowPunct/>
                    <w:topLinePunct w:val="0"/>
                    <w:autoSpaceDE/>
                    <w:autoSpaceDN/>
                    <w:bidi w:val="0"/>
                    <w:adjustRightInd w:val="0"/>
                    <w:snapToGrid w:val="0"/>
                    <w:spacing w:before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GB"/>
                    </w:rPr>
                    <w:t>60</w:t>
                  </w:r>
                </w:p>
              </w:tc>
              <w:tc>
                <w:tcPr>
                  <w:tcW w:w="9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10.00 </w:t>
                  </w:r>
                </w:p>
              </w:tc>
              <w:tc>
                <w:tcPr>
                  <w:tcW w:w="10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023" w:type="dxa"/>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NO</w:t>
                  </w:r>
                  <w:r>
                    <w:rPr>
                      <w:rFonts w:hint="default" w:ascii="Times New Roman" w:hAnsi="Times New Roman" w:eastAsia="宋体" w:cs="Times New Roman"/>
                      <w:b w:val="0"/>
                      <w:bCs w:val="0"/>
                      <w:color w:val="auto"/>
                      <w:sz w:val="18"/>
                      <w:szCs w:val="18"/>
                      <w:highlight w:val="none"/>
                      <w:vertAlign w:val="subscript"/>
                    </w:rPr>
                    <w:t>2</w:t>
                  </w:r>
                </w:p>
              </w:tc>
              <w:tc>
                <w:tcPr>
                  <w:tcW w:w="2288" w:type="dxa"/>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rPr>
                    <w:t>年平均浓度</w:t>
                  </w:r>
                </w:p>
              </w:tc>
              <w:tc>
                <w:tcPr>
                  <w:tcW w:w="1412" w:type="dxa"/>
                  <w:tcBorders>
                    <w:tl2br w:val="nil"/>
                    <w:tr2bl w:val="nil"/>
                  </w:tcBorders>
                  <w:noWrap w:val="0"/>
                  <w:vAlign w:val="center"/>
                </w:tcPr>
                <w:p>
                  <w:pPr>
                    <w:keepNext w:val="0"/>
                    <w:keepLines w:val="0"/>
                    <w:pageBreakBefore w:val="0"/>
                    <w:widowControl w:val="0"/>
                    <w:tabs>
                      <w:tab w:val="right" w:leader="dot" w:pos="9180"/>
                    </w:tabs>
                    <w:kinsoku/>
                    <w:wordWrap/>
                    <w:overflowPunct/>
                    <w:topLinePunct w:val="0"/>
                    <w:autoSpaceDE/>
                    <w:autoSpaceDN/>
                    <w:bidi w:val="0"/>
                    <w:adjustRightInd w:val="0"/>
                    <w:snapToGrid w:val="0"/>
                    <w:spacing w:before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20</w:t>
                  </w:r>
                </w:p>
              </w:tc>
              <w:tc>
                <w:tcPr>
                  <w:tcW w:w="1213" w:type="dxa"/>
                  <w:tcBorders>
                    <w:tl2br w:val="nil"/>
                    <w:tr2bl w:val="nil"/>
                  </w:tcBorders>
                  <w:noWrap w:val="0"/>
                  <w:vAlign w:val="center"/>
                </w:tcPr>
                <w:p>
                  <w:pPr>
                    <w:keepNext w:val="0"/>
                    <w:keepLines w:val="0"/>
                    <w:pageBreakBefore w:val="0"/>
                    <w:widowControl w:val="0"/>
                    <w:tabs>
                      <w:tab w:val="right" w:leader="dot" w:pos="9180"/>
                    </w:tabs>
                    <w:kinsoku/>
                    <w:wordWrap/>
                    <w:overflowPunct/>
                    <w:topLinePunct w:val="0"/>
                    <w:autoSpaceDE/>
                    <w:autoSpaceDN/>
                    <w:bidi w:val="0"/>
                    <w:adjustRightInd w:val="0"/>
                    <w:snapToGrid w:val="0"/>
                    <w:spacing w:before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GB"/>
                    </w:rPr>
                    <w:t>40</w:t>
                  </w:r>
                </w:p>
              </w:tc>
              <w:tc>
                <w:tcPr>
                  <w:tcW w:w="9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50.00 </w:t>
                  </w:r>
                </w:p>
              </w:tc>
              <w:tc>
                <w:tcPr>
                  <w:tcW w:w="10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1023" w:type="dxa"/>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PM</w:t>
                  </w:r>
                  <w:r>
                    <w:rPr>
                      <w:rFonts w:hint="default" w:ascii="Times New Roman" w:hAnsi="Times New Roman" w:eastAsia="宋体" w:cs="Times New Roman"/>
                      <w:b w:val="0"/>
                      <w:bCs w:val="0"/>
                      <w:color w:val="auto"/>
                      <w:sz w:val="18"/>
                      <w:szCs w:val="18"/>
                      <w:highlight w:val="none"/>
                      <w:vertAlign w:val="subscript"/>
                    </w:rPr>
                    <w:t>2.5</w:t>
                  </w:r>
                </w:p>
              </w:tc>
              <w:tc>
                <w:tcPr>
                  <w:tcW w:w="2288" w:type="dxa"/>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rPr>
                    <w:t>年平均浓度</w:t>
                  </w:r>
                </w:p>
              </w:tc>
              <w:tc>
                <w:tcPr>
                  <w:tcW w:w="1412" w:type="dxa"/>
                  <w:tcBorders>
                    <w:tl2br w:val="nil"/>
                    <w:tr2bl w:val="nil"/>
                  </w:tcBorders>
                  <w:noWrap w:val="0"/>
                  <w:vAlign w:val="center"/>
                </w:tcPr>
                <w:p>
                  <w:pPr>
                    <w:keepNext w:val="0"/>
                    <w:keepLines w:val="0"/>
                    <w:pageBreakBefore w:val="0"/>
                    <w:widowControl w:val="0"/>
                    <w:tabs>
                      <w:tab w:val="right" w:leader="dot" w:pos="9180"/>
                    </w:tabs>
                    <w:kinsoku/>
                    <w:wordWrap/>
                    <w:overflowPunct/>
                    <w:topLinePunct w:val="0"/>
                    <w:autoSpaceDE/>
                    <w:autoSpaceDN/>
                    <w:bidi w:val="0"/>
                    <w:adjustRightInd w:val="0"/>
                    <w:snapToGrid w:val="0"/>
                    <w:spacing w:before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29</w:t>
                  </w:r>
                </w:p>
              </w:tc>
              <w:tc>
                <w:tcPr>
                  <w:tcW w:w="1213" w:type="dxa"/>
                  <w:tcBorders>
                    <w:tl2br w:val="nil"/>
                    <w:tr2bl w:val="nil"/>
                  </w:tcBorders>
                  <w:noWrap w:val="0"/>
                  <w:vAlign w:val="center"/>
                </w:tcPr>
                <w:p>
                  <w:pPr>
                    <w:keepNext w:val="0"/>
                    <w:keepLines w:val="0"/>
                    <w:pageBreakBefore w:val="0"/>
                    <w:widowControl w:val="0"/>
                    <w:tabs>
                      <w:tab w:val="right" w:leader="dot" w:pos="9180"/>
                    </w:tabs>
                    <w:kinsoku/>
                    <w:wordWrap/>
                    <w:overflowPunct/>
                    <w:topLinePunct w:val="0"/>
                    <w:autoSpaceDE/>
                    <w:autoSpaceDN/>
                    <w:bidi w:val="0"/>
                    <w:adjustRightInd w:val="0"/>
                    <w:snapToGrid w:val="0"/>
                    <w:spacing w:before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color w:val="auto"/>
                      <w:sz w:val="18"/>
                      <w:szCs w:val="18"/>
                      <w:highlight w:val="none"/>
                    </w:rPr>
                    <w:t>35</w:t>
                  </w:r>
                </w:p>
              </w:tc>
              <w:tc>
                <w:tcPr>
                  <w:tcW w:w="9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82.86 </w:t>
                  </w:r>
                </w:p>
              </w:tc>
              <w:tc>
                <w:tcPr>
                  <w:tcW w:w="10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1023" w:type="dxa"/>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PM</w:t>
                  </w:r>
                  <w:r>
                    <w:rPr>
                      <w:rFonts w:hint="default" w:ascii="Times New Roman" w:hAnsi="Times New Roman" w:eastAsia="宋体" w:cs="Times New Roman"/>
                      <w:b w:val="0"/>
                      <w:bCs w:val="0"/>
                      <w:color w:val="auto"/>
                      <w:sz w:val="18"/>
                      <w:szCs w:val="18"/>
                      <w:highlight w:val="none"/>
                      <w:vertAlign w:val="subscript"/>
                    </w:rPr>
                    <w:t>10</w:t>
                  </w:r>
                </w:p>
              </w:tc>
              <w:tc>
                <w:tcPr>
                  <w:tcW w:w="2288" w:type="dxa"/>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rPr>
                    <w:t>年平均浓度</w:t>
                  </w:r>
                </w:p>
              </w:tc>
              <w:tc>
                <w:tcPr>
                  <w:tcW w:w="1412" w:type="dxa"/>
                  <w:tcBorders>
                    <w:tl2br w:val="nil"/>
                    <w:tr2bl w:val="nil"/>
                  </w:tcBorders>
                  <w:noWrap w:val="0"/>
                  <w:vAlign w:val="center"/>
                </w:tcPr>
                <w:p>
                  <w:pPr>
                    <w:keepNext w:val="0"/>
                    <w:keepLines w:val="0"/>
                    <w:pageBreakBefore w:val="0"/>
                    <w:widowControl w:val="0"/>
                    <w:tabs>
                      <w:tab w:val="right" w:leader="dot" w:pos="9180"/>
                    </w:tabs>
                    <w:kinsoku/>
                    <w:wordWrap/>
                    <w:overflowPunct/>
                    <w:topLinePunct w:val="0"/>
                    <w:autoSpaceDE/>
                    <w:autoSpaceDN/>
                    <w:bidi w:val="0"/>
                    <w:adjustRightInd w:val="0"/>
                    <w:snapToGrid w:val="0"/>
                    <w:spacing w:before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55</w:t>
                  </w:r>
                </w:p>
              </w:tc>
              <w:tc>
                <w:tcPr>
                  <w:tcW w:w="1213" w:type="dxa"/>
                  <w:tcBorders>
                    <w:tl2br w:val="nil"/>
                    <w:tr2bl w:val="nil"/>
                  </w:tcBorders>
                  <w:noWrap w:val="0"/>
                  <w:vAlign w:val="center"/>
                </w:tcPr>
                <w:p>
                  <w:pPr>
                    <w:keepNext w:val="0"/>
                    <w:keepLines w:val="0"/>
                    <w:pageBreakBefore w:val="0"/>
                    <w:widowControl w:val="0"/>
                    <w:tabs>
                      <w:tab w:val="right" w:leader="dot" w:pos="9180"/>
                    </w:tabs>
                    <w:kinsoku/>
                    <w:wordWrap/>
                    <w:overflowPunct/>
                    <w:topLinePunct w:val="0"/>
                    <w:autoSpaceDE/>
                    <w:autoSpaceDN/>
                    <w:bidi w:val="0"/>
                    <w:adjustRightInd w:val="0"/>
                    <w:snapToGrid w:val="0"/>
                    <w:spacing w:before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GB"/>
                    </w:rPr>
                    <w:t>70</w:t>
                  </w:r>
                </w:p>
              </w:tc>
              <w:tc>
                <w:tcPr>
                  <w:tcW w:w="9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78.57 </w:t>
                  </w:r>
                </w:p>
              </w:tc>
              <w:tc>
                <w:tcPr>
                  <w:tcW w:w="10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3" w:type="dxa"/>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O</w:t>
                  </w:r>
                  <w:r>
                    <w:rPr>
                      <w:rFonts w:hint="default" w:ascii="Times New Roman" w:hAnsi="Times New Roman" w:eastAsia="宋体" w:cs="Times New Roman"/>
                      <w:b w:val="0"/>
                      <w:bCs w:val="0"/>
                      <w:color w:val="auto"/>
                      <w:sz w:val="18"/>
                      <w:szCs w:val="18"/>
                      <w:highlight w:val="none"/>
                      <w:vertAlign w:val="subscript"/>
                    </w:rPr>
                    <w:t>3</w:t>
                  </w:r>
                </w:p>
              </w:tc>
              <w:tc>
                <w:tcPr>
                  <w:tcW w:w="2288" w:type="dxa"/>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rPr>
                    <w:t>日最大8小时平均浓度的第90百分位数</w:t>
                  </w:r>
                </w:p>
              </w:tc>
              <w:tc>
                <w:tcPr>
                  <w:tcW w:w="1412" w:type="dxa"/>
                  <w:tcBorders>
                    <w:tl2br w:val="nil"/>
                    <w:tr2bl w:val="nil"/>
                  </w:tcBorders>
                  <w:noWrap w:val="0"/>
                  <w:vAlign w:val="center"/>
                </w:tcPr>
                <w:p>
                  <w:pPr>
                    <w:keepNext w:val="0"/>
                    <w:keepLines w:val="0"/>
                    <w:pageBreakBefore w:val="0"/>
                    <w:widowControl w:val="0"/>
                    <w:tabs>
                      <w:tab w:val="right" w:leader="dot" w:pos="9180"/>
                    </w:tabs>
                    <w:kinsoku/>
                    <w:wordWrap/>
                    <w:overflowPunct/>
                    <w:topLinePunct w:val="0"/>
                    <w:autoSpaceDE/>
                    <w:autoSpaceDN/>
                    <w:bidi w:val="0"/>
                    <w:adjustRightInd w:val="0"/>
                    <w:snapToGrid w:val="0"/>
                    <w:spacing w:before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90</w:t>
                  </w:r>
                </w:p>
              </w:tc>
              <w:tc>
                <w:tcPr>
                  <w:tcW w:w="1213" w:type="dxa"/>
                  <w:tcBorders>
                    <w:tl2br w:val="nil"/>
                    <w:tr2bl w:val="nil"/>
                  </w:tcBorders>
                  <w:noWrap w:val="0"/>
                  <w:vAlign w:val="center"/>
                </w:tcPr>
                <w:p>
                  <w:pPr>
                    <w:keepNext w:val="0"/>
                    <w:keepLines w:val="0"/>
                    <w:pageBreakBefore w:val="0"/>
                    <w:widowControl w:val="0"/>
                    <w:tabs>
                      <w:tab w:val="right" w:leader="dot" w:pos="9180"/>
                    </w:tabs>
                    <w:kinsoku/>
                    <w:wordWrap/>
                    <w:overflowPunct/>
                    <w:topLinePunct w:val="0"/>
                    <w:autoSpaceDE/>
                    <w:autoSpaceDN/>
                    <w:bidi w:val="0"/>
                    <w:adjustRightInd w:val="0"/>
                    <w:snapToGrid w:val="0"/>
                    <w:spacing w:before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color w:val="auto"/>
                      <w:sz w:val="18"/>
                      <w:szCs w:val="18"/>
                      <w:highlight w:val="none"/>
                    </w:rPr>
                    <w:t>160</w:t>
                  </w:r>
                </w:p>
              </w:tc>
              <w:tc>
                <w:tcPr>
                  <w:tcW w:w="9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56.25 </w:t>
                  </w:r>
                </w:p>
              </w:tc>
              <w:tc>
                <w:tcPr>
                  <w:tcW w:w="10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1023" w:type="dxa"/>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CO</w:t>
                  </w:r>
                </w:p>
                <w:p>
                  <w:pPr>
                    <w:pStyle w:val="7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18"/>
                      <w:szCs w:val="18"/>
                      <w:highlight w:val="none"/>
                      <w:lang w:eastAsia="zh-CN"/>
                    </w:rPr>
                  </w:pPr>
                  <w:r>
                    <w:rPr>
                      <w:rFonts w:hint="eastAsia" w:ascii="Times New Roman" w:hAnsi="Times New Roman" w:eastAsia="宋体" w:cs="Times New Roman"/>
                      <w:b w:val="0"/>
                      <w:bCs w:val="0"/>
                      <w:color w:val="auto"/>
                      <w:sz w:val="18"/>
                      <w:szCs w:val="18"/>
                      <w:highlight w:val="none"/>
                      <w:lang w:eastAsia="zh-CN"/>
                    </w:rPr>
                    <w:t>（</w:t>
                  </w:r>
                  <w:r>
                    <w:rPr>
                      <w:rFonts w:hint="default" w:ascii="Times New Roman" w:hAnsi="Times New Roman" w:eastAsia="宋体" w:cs="Times New Roman"/>
                      <w:b w:val="0"/>
                      <w:bCs w:val="0"/>
                      <w:color w:val="auto"/>
                      <w:sz w:val="18"/>
                      <w:szCs w:val="18"/>
                      <w:highlight w:val="none"/>
                    </w:rPr>
                    <w:t>mg/m</w:t>
                  </w:r>
                  <w:r>
                    <w:rPr>
                      <w:rFonts w:hint="default" w:ascii="Times New Roman" w:hAnsi="Times New Roman" w:eastAsia="宋体" w:cs="Times New Roman"/>
                      <w:b w:val="0"/>
                      <w:bCs w:val="0"/>
                      <w:color w:val="auto"/>
                      <w:sz w:val="18"/>
                      <w:szCs w:val="18"/>
                      <w:highlight w:val="none"/>
                      <w:vertAlign w:val="superscript"/>
                    </w:rPr>
                    <w:t>3</w:t>
                  </w:r>
                  <w:r>
                    <w:rPr>
                      <w:rFonts w:hint="eastAsia" w:ascii="Times New Roman" w:hAnsi="Times New Roman" w:eastAsia="宋体" w:cs="Times New Roman"/>
                      <w:b w:val="0"/>
                      <w:bCs w:val="0"/>
                      <w:color w:val="auto"/>
                      <w:sz w:val="18"/>
                      <w:szCs w:val="18"/>
                      <w:highlight w:val="none"/>
                      <w:lang w:eastAsia="zh-CN"/>
                    </w:rPr>
                    <w:t>）</w:t>
                  </w:r>
                </w:p>
              </w:tc>
              <w:tc>
                <w:tcPr>
                  <w:tcW w:w="2288" w:type="dxa"/>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rPr>
                    <w:t>日均浓度的第95百分位数</w:t>
                  </w:r>
                </w:p>
              </w:tc>
              <w:tc>
                <w:tcPr>
                  <w:tcW w:w="1412" w:type="dxa"/>
                  <w:tcBorders>
                    <w:tl2br w:val="nil"/>
                    <w:tr2bl w:val="nil"/>
                  </w:tcBorders>
                  <w:noWrap w:val="0"/>
                  <w:vAlign w:val="center"/>
                </w:tcPr>
                <w:p>
                  <w:pPr>
                    <w:keepNext w:val="0"/>
                    <w:keepLines w:val="0"/>
                    <w:pageBreakBefore w:val="0"/>
                    <w:widowControl w:val="0"/>
                    <w:tabs>
                      <w:tab w:val="right" w:leader="dot" w:pos="9180"/>
                    </w:tabs>
                    <w:kinsoku/>
                    <w:wordWrap/>
                    <w:overflowPunct/>
                    <w:topLinePunct w:val="0"/>
                    <w:autoSpaceDE/>
                    <w:autoSpaceDN/>
                    <w:bidi w:val="0"/>
                    <w:adjustRightInd w:val="0"/>
                    <w:snapToGrid w:val="0"/>
                    <w:spacing w:beforeAutospacing="0" w:line="240" w:lineRule="auto"/>
                    <w:ind w:firstLine="0" w:firstLineChars="0"/>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cs="Times New Roman"/>
                      <w:color w:val="auto"/>
                      <w:sz w:val="18"/>
                      <w:szCs w:val="18"/>
                      <w:highlight w:val="none"/>
                      <w:lang w:val="en-US" w:eastAsia="zh-CN"/>
                    </w:rPr>
                    <w:t>1.2</w:t>
                  </w:r>
                </w:p>
              </w:tc>
              <w:tc>
                <w:tcPr>
                  <w:tcW w:w="1213" w:type="dxa"/>
                  <w:tcBorders>
                    <w:tl2br w:val="nil"/>
                    <w:tr2bl w:val="nil"/>
                  </w:tcBorders>
                  <w:noWrap w:val="0"/>
                  <w:vAlign w:val="center"/>
                </w:tcPr>
                <w:p>
                  <w:pPr>
                    <w:keepNext w:val="0"/>
                    <w:keepLines w:val="0"/>
                    <w:pageBreakBefore w:val="0"/>
                    <w:widowControl w:val="0"/>
                    <w:tabs>
                      <w:tab w:val="right" w:leader="dot" w:pos="9180"/>
                    </w:tabs>
                    <w:kinsoku/>
                    <w:wordWrap/>
                    <w:overflowPunct/>
                    <w:topLinePunct w:val="0"/>
                    <w:autoSpaceDE/>
                    <w:autoSpaceDN/>
                    <w:bidi w:val="0"/>
                    <w:adjustRightInd w:val="0"/>
                    <w:snapToGrid w:val="0"/>
                    <w:spacing w:beforeAutospacing="0"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color w:val="auto"/>
                      <w:sz w:val="18"/>
                      <w:szCs w:val="18"/>
                      <w:highlight w:val="none"/>
                    </w:rPr>
                    <w:t>4</w:t>
                  </w:r>
                </w:p>
              </w:tc>
              <w:tc>
                <w:tcPr>
                  <w:tcW w:w="9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30.00 </w:t>
                  </w:r>
                </w:p>
              </w:tc>
              <w:tc>
                <w:tcPr>
                  <w:tcW w:w="10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由表</w:t>
            </w:r>
            <w:r>
              <w:rPr>
                <w:rFonts w:hint="eastAsia" w:ascii="Times New Roman" w:hAnsi="Times New Roman" w:eastAsia="宋体" w:cs="Times New Roman"/>
                <w:color w:val="auto"/>
                <w:kern w:val="0"/>
                <w:sz w:val="21"/>
                <w:szCs w:val="21"/>
                <w:highlight w:val="none"/>
                <w:lang w:val="en-US" w:eastAsia="zh-CN"/>
              </w:rPr>
              <w:t>3</w:t>
            </w:r>
            <w:r>
              <w:rPr>
                <w:rFonts w:hint="eastAsia" w:cs="Times New Roman"/>
                <w:color w:val="auto"/>
                <w:kern w:val="0"/>
                <w:sz w:val="21"/>
                <w:szCs w:val="21"/>
                <w:highlight w:val="none"/>
                <w:lang w:val="en-US" w:eastAsia="zh-CN"/>
              </w:rPr>
              <w:t>.1.5</w:t>
            </w:r>
            <w:r>
              <w:rPr>
                <w:rFonts w:hint="eastAsia" w:ascii="Times New Roman" w:hAnsi="Times New Roman" w:eastAsia="宋体" w:cs="Times New Roman"/>
                <w:color w:val="auto"/>
                <w:kern w:val="0"/>
                <w:sz w:val="21"/>
                <w:szCs w:val="21"/>
                <w:highlight w:val="none"/>
              </w:rPr>
              <w:t>-1</w:t>
            </w:r>
            <w:r>
              <w:rPr>
                <w:rFonts w:ascii="Times New Roman" w:hAnsi="Times New Roman" w:eastAsia="宋体" w:cs="Times New Roman"/>
                <w:color w:val="auto"/>
                <w:kern w:val="0"/>
                <w:sz w:val="21"/>
                <w:szCs w:val="21"/>
                <w:highlight w:val="none"/>
              </w:rPr>
              <w:t>可知，</w:t>
            </w:r>
            <w:r>
              <w:rPr>
                <w:rFonts w:hint="eastAsia" w:cs="Times New Roman"/>
                <w:color w:val="auto"/>
                <w:kern w:val="0"/>
                <w:sz w:val="21"/>
                <w:szCs w:val="21"/>
                <w:highlight w:val="none"/>
                <w:lang w:val="en-US" w:eastAsia="zh-CN"/>
              </w:rPr>
              <w:t>宣汉县</w:t>
            </w:r>
            <w:r>
              <w:rPr>
                <w:rFonts w:hint="eastAsia" w:ascii="Times New Roman" w:hAnsi="Times New Roman" w:eastAsia="宋体" w:cs="Times New Roman"/>
                <w:color w:val="auto"/>
                <w:kern w:val="0"/>
                <w:sz w:val="21"/>
                <w:szCs w:val="21"/>
                <w:highlight w:val="none"/>
              </w:rPr>
              <w:t>环境空气中基本污染物PM</w:t>
            </w:r>
            <w:r>
              <w:rPr>
                <w:rFonts w:hint="eastAsia" w:ascii="Times New Roman" w:hAnsi="Times New Roman" w:eastAsia="宋体" w:cs="Times New Roman"/>
                <w:color w:val="auto"/>
                <w:kern w:val="0"/>
                <w:sz w:val="21"/>
                <w:szCs w:val="21"/>
                <w:highlight w:val="none"/>
                <w:vertAlign w:val="subscript"/>
              </w:rPr>
              <w:t>2.5</w:t>
            </w:r>
            <w:r>
              <w:rPr>
                <w:rFonts w:hint="eastAsia" w:ascii="Times New Roman" w:hAnsi="Times New Roman" w:eastAsia="宋体" w:cs="Times New Roman"/>
                <w:color w:val="auto"/>
                <w:kern w:val="0"/>
                <w:sz w:val="21"/>
                <w:szCs w:val="21"/>
                <w:highlight w:val="none"/>
              </w:rPr>
              <w:t>、PM</w:t>
            </w:r>
            <w:r>
              <w:rPr>
                <w:rFonts w:hint="eastAsia" w:ascii="Times New Roman" w:hAnsi="Times New Roman" w:eastAsia="宋体" w:cs="Times New Roman"/>
                <w:color w:val="auto"/>
                <w:kern w:val="0"/>
                <w:sz w:val="21"/>
                <w:szCs w:val="21"/>
                <w:highlight w:val="none"/>
                <w:vertAlign w:val="subscript"/>
              </w:rPr>
              <w:t>10</w:t>
            </w:r>
            <w:r>
              <w:rPr>
                <w:rFonts w:hint="eastAsia" w:ascii="Times New Roman" w:hAnsi="Times New Roman" w:eastAsia="宋体" w:cs="Times New Roman"/>
                <w:color w:val="auto"/>
                <w:kern w:val="0"/>
                <w:sz w:val="21"/>
                <w:szCs w:val="21"/>
                <w:highlight w:val="none"/>
              </w:rPr>
              <w:t>、SO</w:t>
            </w:r>
            <w:r>
              <w:rPr>
                <w:rFonts w:hint="eastAsia" w:ascii="Times New Roman" w:hAnsi="Times New Roman" w:eastAsia="宋体" w:cs="Times New Roman"/>
                <w:color w:val="auto"/>
                <w:kern w:val="0"/>
                <w:sz w:val="21"/>
                <w:szCs w:val="21"/>
                <w:highlight w:val="none"/>
                <w:vertAlign w:val="subscript"/>
              </w:rPr>
              <w:t>2</w:t>
            </w:r>
            <w:r>
              <w:rPr>
                <w:rFonts w:hint="eastAsia" w:ascii="Times New Roman" w:hAnsi="Times New Roman" w:eastAsia="宋体" w:cs="Times New Roman"/>
                <w:color w:val="auto"/>
                <w:kern w:val="0"/>
                <w:sz w:val="21"/>
                <w:szCs w:val="21"/>
                <w:highlight w:val="none"/>
              </w:rPr>
              <w:t>、NO</w:t>
            </w:r>
            <w:r>
              <w:rPr>
                <w:rFonts w:hint="eastAsia" w:ascii="Times New Roman" w:hAnsi="Times New Roman" w:eastAsia="宋体" w:cs="Times New Roman"/>
                <w:color w:val="auto"/>
                <w:kern w:val="0"/>
                <w:sz w:val="21"/>
                <w:szCs w:val="21"/>
                <w:highlight w:val="none"/>
                <w:vertAlign w:val="subscript"/>
              </w:rPr>
              <w:t>2</w:t>
            </w:r>
            <w:r>
              <w:rPr>
                <w:rFonts w:hint="eastAsia" w:ascii="Times New Roman" w:hAnsi="Times New Roman" w:eastAsia="宋体" w:cs="Times New Roman"/>
                <w:color w:val="auto"/>
                <w:kern w:val="0"/>
                <w:sz w:val="21"/>
                <w:szCs w:val="21"/>
                <w:highlight w:val="none"/>
              </w:rPr>
              <w:t>、CO和O</w:t>
            </w:r>
            <w:r>
              <w:rPr>
                <w:rFonts w:hint="eastAsia" w:ascii="Times New Roman" w:hAnsi="Times New Roman" w:eastAsia="宋体" w:cs="Times New Roman"/>
                <w:color w:val="auto"/>
                <w:kern w:val="0"/>
                <w:sz w:val="21"/>
                <w:szCs w:val="21"/>
                <w:highlight w:val="none"/>
                <w:vertAlign w:val="subscript"/>
              </w:rPr>
              <w:t>3</w:t>
            </w:r>
            <w:r>
              <w:rPr>
                <w:rFonts w:hint="eastAsia" w:ascii="Times New Roman" w:hAnsi="Times New Roman" w:eastAsia="宋体" w:cs="Times New Roman"/>
                <w:color w:val="auto"/>
                <w:kern w:val="0"/>
                <w:sz w:val="21"/>
                <w:szCs w:val="21"/>
                <w:highlight w:val="none"/>
              </w:rPr>
              <w:t>浓度均符合《环境空气质量标准》</w:t>
            </w: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rPr>
              <w:t>GB3096-2012</w:t>
            </w: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rPr>
              <w:t>中的二级标准要求</w:t>
            </w:r>
            <w:r>
              <w:rPr>
                <w:rFonts w:hint="eastAsia" w:ascii="Times New Roman" w:hAnsi="Times New Roman" w:eastAsia="宋体" w:cs="Times New Roman"/>
                <w:color w:val="auto"/>
                <w:kern w:val="0"/>
                <w:sz w:val="21"/>
                <w:szCs w:val="21"/>
                <w:highlight w:val="none"/>
                <w:lang w:eastAsia="zh-CN"/>
              </w:rPr>
              <w:t>，故项目所在的</w:t>
            </w:r>
            <w:r>
              <w:rPr>
                <w:rFonts w:hint="eastAsia" w:cs="Times New Roman"/>
                <w:color w:val="auto"/>
                <w:kern w:val="0"/>
                <w:sz w:val="21"/>
                <w:szCs w:val="21"/>
                <w:highlight w:val="none"/>
                <w:lang w:val="en-US" w:eastAsia="zh-CN"/>
              </w:rPr>
              <w:t>宣汉县</w:t>
            </w:r>
            <w:r>
              <w:rPr>
                <w:rFonts w:hint="eastAsia" w:ascii="Times New Roman" w:hAnsi="Times New Roman" w:eastAsia="宋体" w:cs="Times New Roman"/>
                <w:color w:val="auto"/>
                <w:kern w:val="0"/>
                <w:sz w:val="21"/>
                <w:szCs w:val="21"/>
                <w:highlight w:val="none"/>
                <w:lang w:eastAsia="zh-CN"/>
              </w:rPr>
              <w:t>为达标区</w:t>
            </w:r>
            <w:r>
              <w:rPr>
                <w:rFonts w:hint="eastAsia" w:ascii="Times New Roman" w:hAnsi="Times New Roman" w:eastAsia="宋体" w:cs="Times New Roman"/>
                <w:color w:val="auto"/>
                <w:kern w:val="0"/>
                <w:sz w:val="21"/>
                <w:szCs w:val="21"/>
                <w:highlight w:val="none"/>
              </w:rPr>
              <w:t>。</w:t>
            </w:r>
          </w:p>
          <w:p>
            <w:pPr>
              <w:keepNext w:val="0"/>
              <w:keepLines w:val="0"/>
              <w:pageBreakBefore w:val="0"/>
              <w:widowControl w:val="0"/>
              <w:tabs>
                <w:tab w:val="left" w:pos="662"/>
              </w:tabs>
              <w:kinsoku/>
              <w:wordWrap/>
              <w:overflowPunct/>
              <w:topLinePunct w:val="0"/>
              <w:autoSpaceDE/>
              <w:autoSpaceDN/>
              <w:bidi w:val="0"/>
              <w:adjustRightInd w:val="0"/>
              <w:snapToGrid w:val="0"/>
              <w:spacing w:line="360" w:lineRule="auto"/>
              <w:ind w:firstLine="422" w:firstLineChars="200"/>
              <w:textAlignment w:val="auto"/>
              <w:rPr>
                <w:rFonts w:hint="eastAsia" w:ascii="Times New Roman" w:hAnsi="Times New Roman" w:eastAsia="宋体" w:cs="Times New Roman"/>
                <w:b/>
                <w:bCs/>
                <w:color w:val="auto"/>
                <w:kern w:val="0"/>
                <w:sz w:val="21"/>
                <w:szCs w:val="21"/>
                <w:highlight w:val="none"/>
              </w:rPr>
            </w:pPr>
            <w:r>
              <w:rPr>
                <w:rFonts w:hint="eastAsia" w:ascii="Times New Roman" w:hAnsi="Times New Roman" w:eastAsia="宋体" w:cs="Times New Roman"/>
                <w:b/>
                <w:bCs/>
                <w:color w:val="auto"/>
                <w:kern w:val="0"/>
                <w:sz w:val="21"/>
                <w:szCs w:val="21"/>
                <w:highlight w:val="none"/>
                <w:lang w:val="en-US" w:eastAsia="zh-CN"/>
              </w:rPr>
              <w:t>3.1.</w:t>
            </w:r>
            <w:r>
              <w:rPr>
                <w:rFonts w:hint="eastAsia" w:cs="Times New Roman"/>
                <w:b/>
                <w:bCs/>
                <w:color w:val="auto"/>
                <w:kern w:val="0"/>
                <w:sz w:val="21"/>
                <w:szCs w:val="21"/>
                <w:highlight w:val="none"/>
                <w:lang w:val="en-US" w:eastAsia="zh-CN"/>
              </w:rPr>
              <w:t>5</w:t>
            </w:r>
            <w:r>
              <w:rPr>
                <w:rFonts w:hint="eastAsia" w:ascii="Times New Roman" w:hAnsi="Times New Roman" w:eastAsia="宋体" w:cs="Times New Roman"/>
                <w:b/>
                <w:bCs/>
                <w:color w:val="auto"/>
                <w:kern w:val="0"/>
                <w:sz w:val="21"/>
                <w:szCs w:val="21"/>
                <w:highlight w:val="none"/>
                <w:lang w:val="en-US" w:eastAsia="zh-CN"/>
              </w:rPr>
              <w:t>.2</w:t>
            </w:r>
            <w:r>
              <w:rPr>
                <w:rFonts w:hint="eastAsia" w:ascii="Times New Roman" w:hAnsi="Times New Roman" w:eastAsia="宋体" w:cs="Times New Roman"/>
                <w:b/>
                <w:bCs/>
                <w:color w:val="auto"/>
                <w:kern w:val="0"/>
                <w:sz w:val="21"/>
                <w:szCs w:val="21"/>
                <w:highlight w:val="none"/>
              </w:rPr>
              <w:t>地表水环境质量现状</w:t>
            </w:r>
          </w:p>
          <w:p>
            <w:pPr>
              <w:keepNext w:val="0"/>
              <w:keepLines w:val="0"/>
              <w:pageBreakBefore w:val="0"/>
              <w:widowControl w:val="0"/>
              <w:tabs>
                <w:tab w:val="left" w:pos="662"/>
              </w:tabs>
              <w:kinsoku/>
              <w:wordWrap/>
              <w:overflowPunct/>
              <w:topLinePunct w:val="0"/>
              <w:autoSpaceDE/>
              <w:autoSpaceDN/>
              <w:bidi w:val="0"/>
              <w:adjustRightInd w:val="0"/>
              <w:snapToGrid w:val="0"/>
              <w:spacing w:line="360" w:lineRule="auto"/>
              <w:ind w:firstLine="420" w:firstLineChars="200"/>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（1）区域环境质量达标判断</w:t>
            </w:r>
          </w:p>
          <w:p>
            <w:pPr>
              <w:keepNext w:val="0"/>
              <w:keepLines w:val="0"/>
              <w:pageBreakBefore w:val="0"/>
              <w:widowControl w:val="0"/>
              <w:tabs>
                <w:tab w:val="left" w:pos="662"/>
              </w:tabs>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rPr>
              <w:t>本项目位于巴河流域，巴河属于渠江流域，根据达州市2023年1月～11月地表水水质月报，巴河水系均</w:t>
            </w:r>
            <w:r>
              <w:rPr>
                <w:rFonts w:hint="eastAsia" w:ascii="Times New Roman" w:hAnsi="Times New Roman" w:eastAsia="宋体" w:cs="Times New Roman"/>
                <w:color w:val="auto"/>
                <w:kern w:val="0"/>
                <w:sz w:val="21"/>
                <w:szCs w:val="21"/>
                <w:highlight w:val="none"/>
              </w:rPr>
              <w:t>达到地表水</w:t>
            </w:r>
            <w:r>
              <w:rPr>
                <w:rFonts w:hint="default" w:ascii="Times New Roman" w:hAnsi="Times New Roman" w:eastAsia="宋体" w:cs="Times New Roman"/>
                <w:color w:val="auto"/>
                <w:kern w:val="0"/>
                <w:sz w:val="21"/>
                <w:szCs w:val="21"/>
                <w:highlight w:val="none"/>
              </w:rPr>
              <w:t>Ⅱ</w:t>
            </w:r>
            <w:r>
              <w:rPr>
                <w:rFonts w:hint="eastAsia" w:ascii="Times New Roman" w:hAnsi="Times New Roman" w:eastAsia="宋体" w:cs="Times New Roman"/>
                <w:color w:val="auto"/>
                <w:kern w:val="0"/>
                <w:sz w:val="21"/>
                <w:szCs w:val="21"/>
                <w:highlight w:val="none"/>
              </w:rPr>
              <w:t>类水质要求。</w:t>
            </w:r>
          </w:p>
          <w:p>
            <w:pPr>
              <w:keepNext w:val="0"/>
              <w:keepLines w:val="0"/>
              <w:pageBreakBefore w:val="0"/>
              <w:widowControl w:val="0"/>
              <w:tabs>
                <w:tab w:val="left" w:pos="662"/>
              </w:tabs>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color w:val="auto"/>
                <w:kern w:val="0"/>
                <w:sz w:val="21"/>
                <w:szCs w:val="21"/>
                <w:highlight w:val="none"/>
                <w:lang w:eastAsia="zh-CN"/>
              </w:rPr>
            </w:pP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2</w:t>
            </w:r>
            <w:r>
              <w:rPr>
                <w:rFonts w:hint="eastAsia" w:cs="Times New Roman"/>
                <w:color w:val="auto"/>
                <w:kern w:val="0"/>
                <w:sz w:val="21"/>
                <w:szCs w:val="21"/>
                <w:highlight w:val="none"/>
                <w:lang w:eastAsia="zh-CN"/>
              </w:rPr>
              <w:t>）水质现状监测</w:t>
            </w:r>
          </w:p>
          <w:p>
            <w:pPr>
              <w:keepNext w:val="0"/>
              <w:keepLines w:val="0"/>
              <w:pageBreakBefore w:val="0"/>
              <w:widowControl w:val="0"/>
              <w:tabs>
                <w:tab w:val="left" w:pos="662"/>
              </w:tabs>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为了了解</w:t>
            </w:r>
            <w:r>
              <w:rPr>
                <w:rFonts w:hint="eastAsia" w:cs="Times New Roman"/>
                <w:color w:val="auto"/>
                <w:kern w:val="0"/>
                <w:sz w:val="21"/>
                <w:szCs w:val="21"/>
                <w:highlight w:val="none"/>
                <w:lang w:val="en-US" w:eastAsia="zh-CN"/>
              </w:rPr>
              <w:t>堰沟</w:t>
            </w:r>
            <w:r>
              <w:rPr>
                <w:rFonts w:hint="eastAsia" w:ascii="Times New Roman" w:hAnsi="Times New Roman" w:eastAsia="宋体" w:cs="Times New Roman"/>
                <w:color w:val="auto"/>
                <w:kern w:val="0"/>
                <w:sz w:val="21"/>
                <w:szCs w:val="21"/>
                <w:highlight w:val="none"/>
              </w:rPr>
              <w:t>河段的水质现状，本次环评对</w:t>
            </w:r>
            <w:r>
              <w:rPr>
                <w:rFonts w:hint="eastAsia" w:cs="Times New Roman"/>
                <w:color w:val="auto"/>
                <w:kern w:val="0"/>
                <w:sz w:val="21"/>
                <w:szCs w:val="21"/>
                <w:highlight w:val="none"/>
                <w:lang w:val="en-US" w:eastAsia="zh-CN"/>
              </w:rPr>
              <w:t>堰沟</w:t>
            </w:r>
            <w:r>
              <w:rPr>
                <w:rFonts w:hint="eastAsia" w:ascii="Times New Roman" w:hAnsi="Times New Roman" w:eastAsia="宋体" w:cs="Times New Roman"/>
                <w:color w:val="auto"/>
                <w:kern w:val="0"/>
                <w:sz w:val="21"/>
                <w:szCs w:val="21"/>
                <w:highlight w:val="none"/>
              </w:rPr>
              <w:t>进行了地表水水质监测，具体情况如下：</w:t>
            </w:r>
          </w:p>
          <w:p>
            <w:pPr>
              <w:keepNext w:val="0"/>
              <w:keepLines w:val="0"/>
              <w:pageBreakBefore w:val="0"/>
              <w:widowControl w:val="0"/>
              <w:tabs>
                <w:tab w:val="left" w:pos="662"/>
              </w:tabs>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1</w:t>
            </w: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监测布点情况</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表</w:t>
            </w:r>
            <w:r>
              <w:rPr>
                <w:rFonts w:hint="eastAsia" w:ascii="Times New Roman" w:hAnsi="Times New Roman" w:eastAsia="宋体" w:cs="Times New Roman"/>
                <w:b w:val="0"/>
                <w:bCs w:val="0"/>
                <w:color w:val="auto"/>
                <w:kern w:val="0"/>
                <w:sz w:val="21"/>
                <w:szCs w:val="21"/>
                <w:highlight w:val="none"/>
                <w:lang w:val="en-US" w:eastAsia="zh-CN"/>
              </w:rPr>
              <w:t>3</w:t>
            </w:r>
            <w:r>
              <w:rPr>
                <w:rFonts w:hint="eastAsia" w:cs="Times New Roman"/>
                <w:b w:val="0"/>
                <w:bCs w:val="0"/>
                <w:color w:val="auto"/>
                <w:kern w:val="0"/>
                <w:sz w:val="21"/>
                <w:szCs w:val="21"/>
                <w:highlight w:val="none"/>
                <w:lang w:val="en-US" w:eastAsia="zh-CN"/>
              </w:rPr>
              <w:t>.1.5</w:t>
            </w:r>
            <w:r>
              <w:rPr>
                <w:rFonts w:hint="default" w:ascii="Times New Roman" w:hAnsi="Times New Roman" w:eastAsia="宋体" w:cs="Times New Roman"/>
                <w:b w:val="0"/>
                <w:bCs w:val="0"/>
                <w:color w:val="auto"/>
                <w:kern w:val="0"/>
                <w:sz w:val="21"/>
                <w:szCs w:val="21"/>
                <w:highlight w:val="none"/>
              </w:rPr>
              <w:t>-</w:t>
            </w:r>
            <w:r>
              <w:rPr>
                <w:rFonts w:hint="eastAsia" w:ascii="Times New Roman" w:hAnsi="Times New Roman" w:eastAsia="宋体" w:cs="Times New Roman"/>
                <w:b w:val="0"/>
                <w:bCs w:val="0"/>
                <w:color w:val="auto"/>
                <w:kern w:val="0"/>
                <w:sz w:val="21"/>
                <w:szCs w:val="21"/>
                <w:highlight w:val="none"/>
                <w:lang w:val="en-US" w:eastAsia="zh-CN"/>
              </w:rPr>
              <w:t>2</w:t>
            </w:r>
            <w:r>
              <w:rPr>
                <w:rFonts w:hint="default" w:ascii="Times New Roman" w:hAnsi="Times New Roman" w:eastAsia="宋体" w:cs="Times New Roman"/>
                <w:b w:val="0"/>
                <w:bCs w:val="0"/>
                <w:color w:val="auto"/>
                <w:kern w:val="0"/>
                <w:sz w:val="21"/>
                <w:szCs w:val="21"/>
                <w:highlight w:val="none"/>
              </w:rPr>
              <w:t xml:space="preserve">  地表水现状监测点位、监测因子一览表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5"/>
              <w:gridCol w:w="5775"/>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监测点位</w:t>
                  </w:r>
                </w:p>
              </w:tc>
              <w:tc>
                <w:tcPr>
                  <w:tcW w:w="5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监测因子</w:t>
                  </w:r>
                </w:p>
              </w:tc>
              <w:tc>
                <w:tcPr>
                  <w:tcW w:w="11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114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W1（</w:t>
                  </w:r>
                  <w:r>
                    <w:rPr>
                      <w:rFonts w:hint="eastAsia"/>
                      <w:color w:val="auto"/>
                      <w:sz w:val="18"/>
                      <w:szCs w:val="18"/>
                      <w:highlight w:val="none"/>
                      <w:lang w:val="en-US" w:eastAsia="zh-CN"/>
                    </w:rPr>
                    <w:t>水库上游500m处</w:t>
                  </w:r>
                  <w:r>
                    <w:rPr>
                      <w:rFonts w:hint="eastAsia"/>
                      <w:color w:val="auto"/>
                      <w:sz w:val="18"/>
                      <w:szCs w:val="18"/>
                      <w:highlight w:val="none"/>
                      <w:vertAlign w:val="baseline"/>
                      <w:lang w:val="en-US" w:eastAsia="zh-CN"/>
                    </w:rPr>
                    <w:t>）</w:t>
                  </w:r>
                </w:p>
              </w:tc>
              <w:tc>
                <w:tcPr>
                  <w:tcW w:w="5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heme="minorHAnsi" w:hAnsiTheme="minorHAnsi" w:eastAsiaTheme="minorEastAsia" w:cstheme="minorBidi"/>
                      <w:color w:val="auto"/>
                      <w:kern w:val="2"/>
                      <w:sz w:val="18"/>
                      <w:szCs w:val="18"/>
                      <w:highlight w:val="none"/>
                      <w:vertAlign w:val="baseline"/>
                      <w:lang w:val="en-US" w:eastAsia="zh-CN" w:bidi="ar-SA"/>
                    </w:rPr>
                  </w:pPr>
                  <w:r>
                    <w:rPr>
                      <w:rFonts w:hint="default"/>
                      <w:color w:val="auto"/>
                      <w:sz w:val="18"/>
                      <w:szCs w:val="18"/>
                      <w:highlight w:val="none"/>
                      <w:vertAlign w:val="baseline"/>
                      <w:lang w:val="en-US" w:eastAsia="zh-CN"/>
                    </w:rPr>
                    <w:t>水温、pH 值、溶解氧、高锰酸盐指数、化学需氧量、五日生化需氧量、氨氮、总磷、总氮、铜、锌、氟化物、硒、砷、汞、镉、六价铬、铅、氰化物、挥发酚、石油类、阴离子表面活性剂、硫化物、粪大肠菌群</w:t>
                  </w:r>
                </w:p>
              </w:tc>
              <w:tc>
                <w:tcPr>
                  <w:tcW w:w="1142"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2024年1月11日～1月13日，</w:t>
                  </w:r>
                  <w:r>
                    <w:rPr>
                      <w:rFonts w:hint="default"/>
                      <w:color w:val="auto"/>
                      <w:sz w:val="18"/>
                      <w:szCs w:val="18"/>
                      <w:highlight w:val="none"/>
                      <w:vertAlign w:val="baseline"/>
                      <w:lang w:val="en-US" w:eastAsia="zh-CN"/>
                    </w:rPr>
                    <w:t>监测 3 天，每日 1 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W2（</w:t>
                  </w:r>
                  <w:r>
                    <w:rPr>
                      <w:rFonts w:hint="eastAsia"/>
                      <w:color w:val="auto"/>
                      <w:sz w:val="18"/>
                      <w:szCs w:val="18"/>
                      <w:highlight w:val="none"/>
                      <w:lang w:val="en-US" w:eastAsia="zh-CN"/>
                    </w:rPr>
                    <w:t>库区内</w:t>
                  </w:r>
                  <w:r>
                    <w:rPr>
                      <w:rFonts w:hint="eastAsia"/>
                      <w:color w:val="auto"/>
                      <w:sz w:val="18"/>
                      <w:szCs w:val="18"/>
                      <w:highlight w:val="none"/>
                      <w:vertAlign w:val="baseline"/>
                      <w:lang w:val="en-US" w:eastAsia="zh-CN"/>
                    </w:rPr>
                    <w:t>）</w:t>
                  </w:r>
                </w:p>
              </w:tc>
              <w:tc>
                <w:tcPr>
                  <w:tcW w:w="5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18"/>
                      <w:szCs w:val="18"/>
                      <w:highlight w:val="none"/>
                      <w:vertAlign w:val="baseline"/>
                      <w:lang w:val="en-US" w:eastAsia="zh-CN"/>
                    </w:rPr>
                  </w:pPr>
                  <w:r>
                    <w:rPr>
                      <w:rFonts w:hint="default"/>
                      <w:color w:val="auto"/>
                      <w:sz w:val="18"/>
                      <w:szCs w:val="18"/>
                      <w:highlight w:val="none"/>
                      <w:vertAlign w:val="baseline"/>
                      <w:lang w:val="en-US" w:eastAsia="zh-CN"/>
                    </w:rPr>
                    <w:t>水温、pH 值、溶解氧、高锰酸盐指数、化学需氧量、五日生化需氧量、氨氮、总磷、总氮、铜、锌、氟化物、硒、砷、汞、镉、六价铬、铅、氰化物、挥发酚、石油类、阴离子表面活性剂、硫化物、粪大肠菌群、硫酸盐、氯化物、硝酸盐、铁、锰</w:t>
                  </w:r>
                </w:p>
              </w:tc>
              <w:tc>
                <w:tcPr>
                  <w:tcW w:w="114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W3（</w:t>
                  </w:r>
                  <w:r>
                    <w:rPr>
                      <w:rFonts w:hint="eastAsia"/>
                      <w:color w:val="auto"/>
                      <w:sz w:val="18"/>
                      <w:szCs w:val="18"/>
                      <w:highlight w:val="none"/>
                      <w:lang w:val="en-US" w:eastAsia="zh-CN"/>
                    </w:rPr>
                    <w:t>水库下游河口</w:t>
                  </w:r>
                  <w:r>
                    <w:rPr>
                      <w:rFonts w:hint="eastAsia"/>
                      <w:color w:val="auto"/>
                      <w:sz w:val="18"/>
                      <w:szCs w:val="18"/>
                      <w:highlight w:val="none"/>
                      <w:vertAlign w:val="baseline"/>
                      <w:lang w:val="en-US" w:eastAsia="zh-CN"/>
                    </w:rPr>
                    <w:t>）</w:t>
                  </w:r>
                </w:p>
              </w:tc>
              <w:tc>
                <w:tcPr>
                  <w:tcW w:w="5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heme="minorHAnsi" w:hAnsiTheme="minorHAnsi" w:eastAsiaTheme="minorEastAsia" w:cstheme="minorBidi"/>
                      <w:color w:val="auto"/>
                      <w:kern w:val="2"/>
                      <w:sz w:val="18"/>
                      <w:szCs w:val="18"/>
                      <w:highlight w:val="none"/>
                      <w:vertAlign w:val="baseline"/>
                      <w:lang w:val="en-US" w:eastAsia="zh-CN" w:bidi="ar-SA"/>
                    </w:rPr>
                  </w:pPr>
                  <w:r>
                    <w:rPr>
                      <w:rFonts w:hint="default"/>
                      <w:color w:val="auto"/>
                      <w:sz w:val="18"/>
                      <w:szCs w:val="18"/>
                      <w:highlight w:val="none"/>
                      <w:vertAlign w:val="baseline"/>
                      <w:lang w:val="en-US" w:eastAsia="zh-CN"/>
                    </w:rPr>
                    <w:t>水温、pH 值、溶解氧、高锰酸盐指数、化学需氧量、五日生化需氧量、氨氮、总磷、总氮、铜、锌、氟化物、硒、砷、汞、镉、六价铬、铅、氰化物、挥发酚、石油类、阴离子表面活性剂、硫化物、粪大肠菌群</w:t>
                  </w:r>
                </w:p>
              </w:tc>
              <w:tc>
                <w:tcPr>
                  <w:tcW w:w="114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18"/>
                      <w:szCs w:val="18"/>
                      <w:highlight w:val="none"/>
                      <w:vertAlign w:val="baseline"/>
                      <w:lang w:val="en-US" w:eastAsia="zh-CN"/>
                    </w:rPr>
                  </w:pPr>
                </w:p>
              </w:tc>
            </w:tr>
          </w:tbl>
          <w:p>
            <w:pPr>
              <w:keepNext w:val="0"/>
              <w:keepLines w:val="0"/>
              <w:pageBreakBefore w:val="0"/>
              <w:widowControl w:val="0"/>
              <w:tabs>
                <w:tab w:val="left" w:pos="662"/>
              </w:tabs>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color w:val="auto"/>
                <w:kern w:val="0"/>
                <w:sz w:val="21"/>
                <w:szCs w:val="21"/>
                <w:highlight w:val="none"/>
                <w:lang w:eastAsia="zh-CN"/>
              </w:rPr>
            </w:pP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2</w:t>
            </w:r>
            <w:r>
              <w:rPr>
                <w:rFonts w:hint="eastAsia" w:cs="Times New Roman"/>
                <w:color w:val="auto"/>
                <w:kern w:val="0"/>
                <w:sz w:val="21"/>
                <w:szCs w:val="21"/>
                <w:highlight w:val="none"/>
                <w:lang w:eastAsia="zh-CN"/>
              </w:rPr>
              <w:t>）评价方法</w:t>
            </w:r>
          </w:p>
          <w:p>
            <w:pPr>
              <w:pStyle w:val="102"/>
              <w:spacing w:line="360" w:lineRule="auto"/>
              <w:rPr>
                <w:snapToGrid w:val="0"/>
                <w:color w:val="auto"/>
                <w:sz w:val="21"/>
                <w:szCs w:val="21"/>
                <w:highlight w:val="none"/>
              </w:rPr>
            </w:pPr>
            <w:r>
              <w:rPr>
                <w:rFonts w:hint="eastAsia"/>
                <w:snapToGrid w:val="0"/>
                <w:color w:val="auto"/>
                <w:sz w:val="21"/>
                <w:szCs w:val="21"/>
                <w:highlight w:val="none"/>
              </w:rPr>
              <w:t>评价方法：采用单因子污染指数法，其计算公式为：</w:t>
            </w:r>
          </w:p>
          <w:p>
            <w:pPr>
              <w:pStyle w:val="102"/>
              <w:spacing w:line="360" w:lineRule="auto"/>
              <w:jc w:val="center"/>
              <w:rPr>
                <w:color w:val="auto"/>
                <w:sz w:val="21"/>
                <w:szCs w:val="21"/>
                <w:highlight w:val="none"/>
              </w:rPr>
            </w:pPr>
            <w:r>
              <w:rPr>
                <w:color w:val="auto"/>
                <w:position w:val="-32"/>
                <w:sz w:val="21"/>
                <w:szCs w:val="21"/>
                <w:highlight w:val="none"/>
              </w:rPr>
              <w:object>
                <v:shape id="_x0000_i1025" o:spt="75" type="#_x0000_t75" style="height:36.55pt;width:44.3pt;" o:ole="t" filled="f" o:preferrelative="t" stroked="f" coordsize="21600,21600">
                  <v:path/>
                  <v:fill on="f" focussize="0,0"/>
                  <v:stroke on="f"/>
                  <v:imagedata r:id="rId9" o:title=""/>
                  <o:lock v:ext="edit" aspectratio="t"/>
                  <w10:wrap type="none"/>
                  <w10:anchorlock/>
                </v:shape>
                <o:OLEObject Type="Embed" ProgID="Equation.2" ShapeID="_x0000_i1025" DrawAspect="Content" ObjectID="_1468075725" r:id="rId8">
                  <o:LockedField>false</o:LockedField>
                </o:OLEObject>
              </w:object>
            </w:r>
          </w:p>
          <w:p>
            <w:pPr>
              <w:pStyle w:val="102"/>
              <w:spacing w:line="360" w:lineRule="auto"/>
              <w:rPr>
                <w:color w:val="auto"/>
                <w:sz w:val="21"/>
                <w:szCs w:val="21"/>
                <w:highlight w:val="none"/>
              </w:rPr>
            </w:pPr>
            <w:r>
              <w:rPr>
                <w:rFonts w:hint="eastAsia"/>
                <w:color w:val="auto"/>
                <w:sz w:val="21"/>
                <w:szCs w:val="21"/>
                <w:highlight w:val="none"/>
              </w:rPr>
              <w:t>式中：S</w:t>
            </w:r>
            <w:r>
              <w:rPr>
                <w:color w:val="auto"/>
                <w:sz w:val="21"/>
                <w:szCs w:val="21"/>
                <w:highlight w:val="none"/>
                <w:vertAlign w:val="subscript"/>
              </w:rPr>
              <w:t>ij</w:t>
            </w:r>
            <w:r>
              <w:rPr>
                <w:rFonts w:hint="eastAsia"/>
                <w:color w:val="auto"/>
                <w:sz w:val="21"/>
                <w:szCs w:val="21"/>
                <w:highlight w:val="none"/>
              </w:rPr>
              <w:t>——</w:t>
            </w:r>
            <w:r>
              <w:rPr>
                <w:color w:val="auto"/>
                <w:sz w:val="21"/>
                <w:szCs w:val="21"/>
                <w:highlight w:val="none"/>
              </w:rPr>
              <w:t>i</w:t>
            </w:r>
            <w:r>
              <w:rPr>
                <w:rFonts w:hint="eastAsia"/>
                <w:color w:val="auto"/>
                <w:sz w:val="21"/>
                <w:szCs w:val="21"/>
                <w:highlight w:val="none"/>
              </w:rPr>
              <w:t>监测点</w:t>
            </w:r>
            <w:r>
              <w:rPr>
                <w:color w:val="auto"/>
                <w:sz w:val="21"/>
                <w:szCs w:val="21"/>
                <w:highlight w:val="none"/>
              </w:rPr>
              <w:t>j</w:t>
            </w:r>
            <w:r>
              <w:rPr>
                <w:rFonts w:hint="eastAsia"/>
                <w:color w:val="auto"/>
                <w:sz w:val="21"/>
                <w:szCs w:val="21"/>
                <w:highlight w:val="none"/>
              </w:rPr>
              <w:t>因子的污染指数；</w:t>
            </w:r>
          </w:p>
          <w:p>
            <w:pPr>
              <w:pStyle w:val="102"/>
              <w:spacing w:line="360" w:lineRule="auto"/>
              <w:rPr>
                <w:color w:val="auto"/>
                <w:sz w:val="21"/>
                <w:szCs w:val="21"/>
                <w:highlight w:val="none"/>
              </w:rPr>
            </w:pPr>
            <w:r>
              <w:rPr>
                <w:color w:val="auto"/>
                <w:sz w:val="21"/>
                <w:szCs w:val="21"/>
                <w:highlight w:val="none"/>
              </w:rPr>
              <w:t xml:space="preserve">  </w:t>
            </w:r>
            <w:r>
              <w:rPr>
                <w:rFonts w:hint="eastAsia"/>
                <w:color w:val="auto"/>
                <w:sz w:val="21"/>
                <w:szCs w:val="21"/>
                <w:highlight w:val="none"/>
              </w:rPr>
              <w:t xml:space="preserve">    </w:t>
            </w:r>
            <w:r>
              <w:rPr>
                <w:color w:val="auto"/>
                <w:sz w:val="21"/>
                <w:szCs w:val="21"/>
                <w:highlight w:val="none"/>
              </w:rPr>
              <w:t>C</w:t>
            </w:r>
            <w:r>
              <w:rPr>
                <w:color w:val="auto"/>
                <w:sz w:val="21"/>
                <w:szCs w:val="21"/>
                <w:highlight w:val="none"/>
                <w:vertAlign w:val="subscript"/>
              </w:rPr>
              <w:t>ij</w:t>
            </w:r>
            <w:r>
              <w:rPr>
                <w:rFonts w:hint="eastAsia"/>
                <w:color w:val="auto"/>
                <w:sz w:val="21"/>
                <w:szCs w:val="21"/>
                <w:highlight w:val="none"/>
              </w:rPr>
              <w:t>——</w:t>
            </w:r>
            <w:r>
              <w:rPr>
                <w:color w:val="auto"/>
                <w:sz w:val="21"/>
                <w:szCs w:val="21"/>
                <w:highlight w:val="none"/>
              </w:rPr>
              <w:t>i</w:t>
            </w:r>
            <w:r>
              <w:rPr>
                <w:rFonts w:hint="eastAsia"/>
                <w:color w:val="auto"/>
                <w:sz w:val="21"/>
                <w:szCs w:val="21"/>
                <w:highlight w:val="none"/>
              </w:rPr>
              <w:t>监测点</w:t>
            </w:r>
            <w:r>
              <w:rPr>
                <w:color w:val="auto"/>
                <w:sz w:val="21"/>
                <w:szCs w:val="21"/>
                <w:highlight w:val="none"/>
              </w:rPr>
              <w:t>j</w:t>
            </w:r>
            <w:r>
              <w:rPr>
                <w:rFonts w:hint="eastAsia"/>
                <w:color w:val="auto"/>
                <w:sz w:val="21"/>
                <w:szCs w:val="21"/>
                <w:highlight w:val="none"/>
              </w:rPr>
              <w:t>因子的实测浓度（</w:t>
            </w:r>
            <w:r>
              <w:rPr>
                <w:color w:val="auto"/>
                <w:sz w:val="21"/>
                <w:szCs w:val="21"/>
                <w:highlight w:val="none"/>
              </w:rPr>
              <w:t>mg/L</w:t>
            </w:r>
            <w:r>
              <w:rPr>
                <w:rFonts w:hint="eastAsia"/>
                <w:color w:val="auto"/>
                <w:sz w:val="21"/>
                <w:szCs w:val="21"/>
                <w:highlight w:val="none"/>
              </w:rPr>
              <w:t>）；</w:t>
            </w:r>
          </w:p>
          <w:p>
            <w:pPr>
              <w:pStyle w:val="102"/>
              <w:spacing w:line="360" w:lineRule="auto"/>
              <w:rPr>
                <w:color w:val="auto"/>
                <w:sz w:val="21"/>
                <w:szCs w:val="21"/>
                <w:highlight w:val="none"/>
              </w:rPr>
            </w:pPr>
            <w:r>
              <w:rPr>
                <w:color w:val="auto"/>
                <w:sz w:val="21"/>
                <w:szCs w:val="21"/>
                <w:highlight w:val="none"/>
              </w:rPr>
              <w:t xml:space="preserve">  </w:t>
            </w:r>
            <w:r>
              <w:rPr>
                <w:rFonts w:hint="eastAsia"/>
                <w:color w:val="auto"/>
                <w:sz w:val="21"/>
                <w:szCs w:val="21"/>
                <w:highlight w:val="none"/>
              </w:rPr>
              <w:t xml:space="preserve">   </w:t>
            </w:r>
            <w:r>
              <w:rPr>
                <w:color w:val="auto"/>
                <w:sz w:val="21"/>
                <w:szCs w:val="21"/>
                <w:highlight w:val="none"/>
              </w:rPr>
              <w:t xml:space="preserve"> C</w:t>
            </w:r>
            <w:r>
              <w:rPr>
                <w:color w:val="auto"/>
                <w:sz w:val="21"/>
                <w:szCs w:val="21"/>
                <w:highlight w:val="none"/>
                <w:vertAlign w:val="subscript"/>
              </w:rPr>
              <w:t>sj</w:t>
            </w:r>
            <w:r>
              <w:rPr>
                <w:rFonts w:hint="eastAsia"/>
                <w:color w:val="auto"/>
                <w:sz w:val="21"/>
                <w:szCs w:val="21"/>
                <w:highlight w:val="none"/>
              </w:rPr>
              <w:t>——</w:t>
            </w:r>
            <w:r>
              <w:rPr>
                <w:color w:val="auto"/>
                <w:sz w:val="21"/>
                <w:szCs w:val="21"/>
                <w:highlight w:val="none"/>
              </w:rPr>
              <w:t>j</w:t>
            </w:r>
            <w:r>
              <w:rPr>
                <w:rFonts w:hint="eastAsia"/>
                <w:color w:val="auto"/>
                <w:sz w:val="21"/>
                <w:szCs w:val="21"/>
                <w:highlight w:val="none"/>
              </w:rPr>
              <w:t>因子的环境质量标准值（</w:t>
            </w:r>
            <w:r>
              <w:rPr>
                <w:color w:val="auto"/>
                <w:sz w:val="21"/>
                <w:szCs w:val="21"/>
                <w:highlight w:val="none"/>
              </w:rPr>
              <w:t>mg/L</w:t>
            </w:r>
            <w:r>
              <w:rPr>
                <w:rFonts w:hint="eastAsia"/>
                <w:color w:val="auto"/>
                <w:sz w:val="21"/>
                <w:szCs w:val="21"/>
                <w:highlight w:val="none"/>
              </w:rPr>
              <w:t>）。</w:t>
            </w:r>
          </w:p>
          <w:p>
            <w:pPr>
              <w:pStyle w:val="102"/>
              <w:spacing w:line="360" w:lineRule="auto"/>
              <w:rPr>
                <w:color w:val="auto"/>
                <w:sz w:val="21"/>
                <w:szCs w:val="21"/>
                <w:highlight w:val="none"/>
              </w:rPr>
            </w:pPr>
            <w:r>
              <w:rPr>
                <w:rFonts w:hint="eastAsia"/>
                <w:color w:val="auto"/>
                <w:sz w:val="21"/>
                <w:szCs w:val="21"/>
                <w:highlight w:val="none"/>
              </w:rPr>
              <w:t>对于p</w:t>
            </w:r>
            <w:r>
              <w:rPr>
                <w:color w:val="auto"/>
                <w:sz w:val="21"/>
                <w:szCs w:val="21"/>
                <w:highlight w:val="none"/>
              </w:rPr>
              <w:t>H</w:t>
            </w:r>
            <w:r>
              <w:rPr>
                <w:rFonts w:hint="eastAsia"/>
                <w:color w:val="auto"/>
                <w:sz w:val="21"/>
                <w:szCs w:val="21"/>
                <w:highlight w:val="none"/>
              </w:rPr>
              <w:t>因子，则采用区间标准，计算模式为：</w:t>
            </w:r>
          </w:p>
          <w:p>
            <w:pPr>
              <w:pStyle w:val="102"/>
              <w:spacing w:line="360" w:lineRule="auto"/>
              <w:rPr>
                <w:rFonts w:hint="eastAsia"/>
                <w:color w:val="auto"/>
                <w:sz w:val="21"/>
                <w:szCs w:val="21"/>
                <w:highlight w:val="none"/>
              </w:rPr>
            </w:pPr>
            <w:r>
              <w:rPr>
                <w:rFonts w:hint="eastAsia"/>
                <w:color w:val="auto"/>
                <w:sz w:val="21"/>
                <w:szCs w:val="21"/>
                <w:highlight w:val="none"/>
              </w:rPr>
              <w:t>当实测p</w:t>
            </w:r>
            <w:r>
              <w:rPr>
                <w:color w:val="auto"/>
                <w:sz w:val="21"/>
                <w:szCs w:val="21"/>
                <w:highlight w:val="none"/>
              </w:rPr>
              <w:t>H</w:t>
            </w:r>
            <w:r>
              <w:rPr>
                <w:rFonts w:hint="eastAsia"/>
                <w:color w:val="auto"/>
                <w:sz w:val="21"/>
                <w:szCs w:val="21"/>
                <w:highlight w:val="none"/>
              </w:rPr>
              <w:t>≤</w:t>
            </w:r>
            <w:r>
              <w:rPr>
                <w:color w:val="auto"/>
                <w:sz w:val="21"/>
                <w:szCs w:val="21"/>
                <w:highlight w:val="none"/>
              </w:rPr>
              <w:t>7.0</w:t>
            </w:r>
            <w:r>
              <w:rPr>
                <w:rFonts w:hint="eastAsia"/>
                <w:color w:val="auto"/>
                <w:sz w:val="21"/>
                <w:szCs w:val="21"/>
                <w:highlight w:val="none"/>
              </w:rPr>
              <w:t>时，</w:t>
            </w:r>
          </w:p>
          <w:p>
            <w:pPr>
              <w:pStyle w:val="102"/>
              <w:spacing w:line="360" w:lineRule="auto"/>
              <w:jc w:val="center"/>
              <w:rPr>
                <w:color w:val="auto"/>
                <w:sz w:val="21"/>
                <w:szCs w:val="21"/>
                <w:highlight w:val="none"/>
              </w:rPr>
            </w:pPr>
            <w:r>
              <w:rPr>
                <w:color w:val="auto"/>
                <w:position w:val="-30"/>
                <w:sz w:val="21"/>
                <w:szCs w:val="21"/>
                <w:highlight w:val="none"/>
              </w:rPr>
              <w:object>
                <v:shape id="_x0000_i1026" o:spt="75" type="#_x0000_t75" style="height:35pt;width:99.7pt;" o:ole="t" filled="f" o:preferrelative="t" stroked="f" coordsize="21600,21600">
                  <v:path/>
                  <v:fill on="f" focussize="0,0"/>
                  <v:stroke on="f"/>
                  <v:imagedata r:id="rId11" o:title=""/>
                  <o:lock v:ext="edit" aspectratio="t"/>
                  <w10:wrap type="none"/>
                  <w10:anchorlock/>
                </v:shape>
                <o:OLEObject Type="Embed" ProgID="Equation.2" ShapeID="_x0000_i1026" DrawAspect="Content" ObjectID="_1468075726" r:id="rId10">
                  <o:LockedField>false</o:LockedField>
                </o:OLEObject>
              </w:object>
            </w:r>
          </w:p>
          <w:p>
            <w:pPr>
              <w:pStyle w:val="102"/>
              <w:spacing w:line="360" w:lineRule="auto"/>
              <w:rPr>
                <w:rFonts w:hint="eastAsia"/>
                <w:color w:val="auto"/>
                <w:sz w:val="21"/>
                <w:szCs w:val="21"/>
                <w:highlight w:val="none"/>
              </w:rPr>
            </w:pPr>
            <w:r>
              <w:rPr>
                <w:rFonts w:hint="eastAsia"/>
                <w:color w:val="auto"/>
                <w:sz w:val="21"/>
                <w:szCs w:val="21"/>
                <w:highlight w:val="none"/>
              </w:rPr>
              <w:t>当实测p</w:t>
            </w:r>
            <w:r>
              <w:rPr>
                <w:color w:val="auto"/>
                <w:sz w:val="21"/>
                <w:szCs w:val="21"/>
                <w:highlight w:val="none"/>
              </w:rPr>
              <w:t>H</w:t>
            </w:r>
            <w:r>
              <w:rPr>
                <w:rFonts w:hint="eastAsia"/>
                <w:color w:val="auto"/>
                <w:sz w:val="21"/>
                <w:szCs w:val="21"/>
                <w:highlight w:val="none"/>
              </w:rPr>
              <w:t>＞</w:t>
            </w:r>
            <w:r>
              <w:rPr>
                <w:color w:val="auto"/>
                <w:sz w:val="21"/>
                <w:szCs w:val="21"/>
                <w:highlight w:val="none"/>
              </w:rPr>
              <w:t>7.0</w:t>
            </w:r>
            <w:r>
              <w:rPr>
                <w:rFonts w:hint="eastAsia"/>
                <w:color w:val="auto"/>
                <w:sz w:val="21"/>
                <w:szCs w:val="21"/>
                <w:highlight w:val="none"/>
              </w:rPr>
              <w:t>时，</w:t>
            </w:r>
          </w:p>
          <w:p>
            <w:pPr>
              <w:pStyle w:val="102"/>
              <w:spacing w:line="360" w:lineRule="auto"/>
              <w:jc w:val="center"/>
              <w:rPr>
                <w:color w:val="auto"/>
                <w:sz w:val="21"/>
                <w:szCs w:val="21"/>
                <w:highlight w:val="none"/>
              </w:rPr>
            </w:pPr>
            <w:r>
              <w:rPr>
                <w:color w:val="auto"/>
                <w:position w:val="-30"/>
                <w:sz w:val="21"/>
                <w:szCs w:val="21"/>
                <w:highlight w:val="none"/>
              </w:rPr>
              <w:object>
                <v:shape id="_x0000_i1027" o:spt="75" type="#_x0000_t75" style="height:35.55pt;width:103.25pt;" o:ole="t" filled="f" o:preferrelative="t" stroked="f" coordsize="21600,21600">
                  <v:path/>
                  <v:fill on="f" focussize="0,0"/>
                  <v:stroke on="f"/>
                  <v:imagedata r:id="rId13" o:title=""/>
                  <o:lock v:ext="edit" aspectratio="t"/>
                  <w10:wrap type="none"/>
                  <w10:anchorlock/>
                </v:shape>
                <o:OLEObject Type="Embed" ProgID="Equation.2" ShapeID="_x0000_i1027" DrawAspect="Content" ObjectID="_1468075727" r:id="rId12">
                  <o:LockedField>false</o:LockedField>
                </o:OLEObject>
              </w:object>
            </w:r>
          </w:p>
          <w:p>
            <w:pPr>
              <w:pStyle w:val="102"/>
              <w:spacing w:line="360" w:lineRule="auto"/>
              <w:rPr>
                <w:color w:val="auto"/>
                <w:sz w:val="21"/>
                <w:szCs w:val="21"/>
                <w:highlight w:val="none"/>
              </w:rPr>
            </w:pPr>
            <w:r>
              <w:rPr>
                <w:rFonts w:hint="eastAsia"/>
                <w:color w:val="auto"/>
                <w:sz w:val="21"/>
                <w:szCs w:val="21"/>
                <w:highlight w:val="none"/>
              </w:rPr>
              <w:t>式中：</w:t>
            </w:r>
            <w:r>
              <w:rPr>
                <w:color w:val="auto"/>
                <w:sz w:val="21"/>
                <w:szCs w:val="21"/>
                <w:highlight w:val="none"/>
              </w:rPr>
              <w:t>S</w:t>
            </w:r>
            <w:r>
              <w:rPr>
                <w:color w:val="auto"/>
                <w:sz w:val="21"/>
                <w:szCs w:val="21"/>
                <w:highlight w:val="none"/>
                <w:vertAlign w:val="subscript"/>
              </w:rPr>
              <w:t>pHi</w:t>
            </w:r>
            <w:r>
              <w:rPr>
                <w:rFonts w:hint="eastAsia"/>
                <w:color w:val="auto"/>
                <w:sz w:val="21"/>
                <w:szCs w:val="21"/>
                <w:highlight w:val="none"/>
              </w:rPr>
              <w:t>——</w:t>
            </w:r>
            <w:r>
              <w:rPr>
                <w:color w:val="auto"/>
                <w:sz w:val="21"/>
                <w:szCs w:val="21"/>
                <w:highlight w:val="none"/>
              </w:rPr>
              <w:t>i</w:t>
            </w:r>
            <w:r>
              <w:rPr>
                <w:rFonts w:hint="eastAsia"/>
                <w:color w:val="auto"/>
                <w:sz w:val="21"/>
                <w:szCs w:val="21"/>
                <w:highlight w:val="none"/>
              </w:rPr>
              <w:t>监测点的</w:t>
            </w:r>
            <w:r>
              <w:rPr>
                <w:color w:val="auto"/>
                <w:sz w:val="21"/>
                <w:szCs w:val="21"/>
                <w:highlight w:val="none"/>
              </w:rPr>
              <w:t>pH</w:t>
            </w:r>
            <w:r>
              <w:rPr>
                <w:rFonts w:hint="eastAsia"/>
                <w:color w:val="auto"/>
                <w:sz w:val="21"/>
                <w:szCs w:val="21"/>
                <w:highlight w:val="none"/>
              </w:rPr>
              <w:t>评价指数；</w:t>
            </w:r>
          </w:p>
          <w:p>
            <w:pPr>
              <w:pStyle w:val="102"/>
              <w:spacing w:line="360" w:lineRule="auto"/>
              <w:rPr>
                <w:color w:val="auto"/>
                <w:sz w:val="21"/>
                <w:szCs w:val="21"/>
                <w:highlight w:val="none"/>
              </w:rPr>
            </w:pPr>
            <w:r>
              <w:rPr>
                <w:color w:val="auto"/>
                <w:sz w:val="21"/>
                <w:szCs w:val="21"/>
                <w:highlight w:val="none"/>
              </w:rPr>
              <w:t xml:space="preserve">     </w:t>
            </w:r>
            <w:r>
              <w:rPr>
                <w:rFonts w:hint="eastAsia"/>
                <w:color w:val="auto"/>
                <w:sz w:val="21"/>
                <w:szCs w:val="21"/>
                <w:highlight w:val="none"/>
              </w:rPr>
              <w:t xml:space="preserve"> </w:t>
            </w:r>
            <w:r>
              <w:rPr>
                <w:color w:val="auto"/>
                <w:sz w:val="21"/>
                <w:szCs w:val="21"/>
                <w:highlight w:val="none"/>
              </w:rPr>
              <w:t>pH</w:t>
            </w:r>
            <w:r>
              <w:rPr>
                <w:color w:val="auto"/>
                <w:sz w:val="21"/>
                <w:szCs w:val="21"/>
                <w:highlight w:val="none"/>
                <w:vertAlign w:val="subscript"/>
              </w:rPr>
              <w:t>i</w:t>
            </w:r>
            <w:r>
              <w:rPr>
                <w:rFonts w:hint="eastAsia"/>
                <w:color w:val="auto"/>
                <w:sz w:val="21"/>
                <w:szCs w:val="21"/>
                <w:highlight w:val="none"/>
              </w:rPr>
              <w:t>——</w:t>
            </w:r>
            <w:r>
              <w:rPr>
                <w:color w:val="auto"/>
                <w:sz w:val="21"/>
                <w:szCs w:val="21"/>
                <w:highlight w:val="none"/>
              </w:rPr>
              <w:t>i</w:t>
            </w:r>
            <w:r>
              <w:rPr>
                <w:rFonts w:hint="eastAsia"/>
                <w:color w:val="auto"/>
                <w:sz w:val="21"/>
                <w:szCs w:val="21"/>
                <w:highlight w:val="none"/>
              </w:rPr>
              <w:t>监测点的水样</w:t>
            </w:r>
            <w:r>
              <w:rPr>
                <w:color w:val="auto"/>
                <w:sz w:val="21"/>
                <w:szCs w:val="21"/>
                <w:highlight w:val="none"/>
              </w:rPr>
              <w:t>pH</w:t>
            </w:r>
            <w:r>
              <w:rPr>
                <w:rFonts w:hint="eastAsia"/>
                <w:color w:val="auto"/>
                <w:sz w:val="21"/>
                <w:szCs w:val="21"/>
                <w:highlight w:val="none"/>
              </w:rPr>
              <w:t>值；</w:t>
            </w:r>
          </w:p>
          <w:p>
            <w:pPr>
              <w:pStyle w:val="102"/>
              <w:spacing w:line="360" w:lineRule="auto"/>
              <w:rPr>
                <w:color w:val="auto"/>
                <w:sz w:val="21"/>
                <w:szCs w:val="21"/>
                <w:highlight w:val="none"/>
              </w:rPr>
            </w:pPr>
            <w:r>
              <w:rPr>
                <w:color w:val="auto"/>
                <w:sz w:val="21"/>
                <w:szCs w:val="21"/>
                <w:highlight w:val="none"/>
              </w:rPr>
              <w:t xml:space="preserve">      pH</w:t>
            </w:r>
            <w:r>
              <w:rPr>
                <w:color w:val="auto"/>
                <w:sz w:val="21"/>
                <w:szCs w:val="21"/>
                <w:highlight w:val="none"/>
                <w:vertAlign w:val="subscript"/>
              </w:rPr>
              <w:t>smin</w:t>
            </w:r>
            <w:r>
              <w:rPr>
                <w:rFonts w:hint="eastAsia"/>
                <w:color w:val="auto"/>
                <w:sz w:val="21"/>
                <w:szCs w:val="21"/>
                <w:highlight w:val="none"/>
              </w:rPr>
              <w:t>——区间标准的下限值；</w:t>
            </w:r>
          </w:p>
          <w:p>
            <w:pPr>
              <w:pStyle w:val="102"/>
              <w:spacing w:line="360" w:lineRule="auto"/>
              <w:rPr>
                <w:rFonts w:hint="eastAsia"/>
                <w:color w:val="auto"/>
                <w:sz w:val="21"/>
                <w:szCs w:val="21"/>
                <w:highlight w:val="none"/>
              </w:rPr>
            </w:pPr>
            <w:r>
              <w:rPr>
                <w:color w:val="auto"/>
                <w:sz w:val="21"/>
                <w:szCs w:val="21"/>
                <w:highlight w:val="none"/>
              </w:rPr>
              <w:t xml:space="preserve">     </w:t>
            </w:r>
            <w:r>
              <w:rPr>
                <w:rFonts w:hint="eastAsia"/>
                <w:color w:val="auto"/>
                <w:sz w:val="21"/>
                <w:szCs w:val="21"/>
                <w:highlight w:val="none"/>
              </w:rPr>
              <w:t xml:space="preserve"> </w:t>
            </w:r>
            <w:r>
              <w:rPr>
                <w:color w:val="auto"/>
                <w:sz w:val="21"/>
                <w:szCs w:val="21"/>
                <w:highlight w:val="none"/>
              </w:rPr>
              <w:t>pH</w:t>
            </w:r>
            <w:r>
              <w:rPr>
                <w:color w:val="auto"/>
                <w:sz w:val="21"/>
                <w:szCs w:val="21"/>
                <w:highlight w:val="none"/>
                <w:vertAlign w:val="subscript"/>
              </w:rPr>
              <w:t>smax</w:t>
            </w:r>
            <w:r>
              <w:rPr>
                <w:rFonts w:hint="eastAsia"/>
                <w:color w:val="auto"/>
                <w:sz w:val="21"/>
                <w:szCs w:val="21"/>
                <w:highlight w:val="none"/>
              </w:rPr>
              <w:t>——区间标准的上限值。</w:t>
            </w:r>
          </w:p>
          <w:p>
            <w:pPr>
              <w:keepNext w:val="0"/>
              <w:keepLines w:val="0"/>
              <w:pageBreakBefore w:val="0"/>
              <w:widowControl w:val="0"/>
              <w:tabs>
                <w:tab w:val="left" w:pos="662"/>
              </w:tabs>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3</w:t>
            </w: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监测结果</w:t>
            </w:r>
          </w:p>
          <w:p>
            <w:pPr>
              <w:keepNext w:val="0"/>
              <w:keepLines w:val="0"/>
              <w:pageBreakBefore w:val="0"/>
              <w:widowControl w:val="0"/>
              <w:tabs>
                <w:tab w:val="left" w:pos="662"/>
              </w:tabs>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val="0"/>
                <w:color w:val="auto"/>
                <w:kern w:val="0"/>
                <w:sz w:val="21"/>
                <w:szCs w:val="21"/>
                <w:highlight w:val="none"/>
              </w:rPr>
            </w:pPr>
            <w:r>
              <w:rPr>
                <w:rFonts w:hint="eastAsia" w:ascii="Times New Roman" w:hAnsi="Times New Roman" w:eastAsia="宋体" w:cs="Times New Roman"/>
                <w:color w:val="auto"/>
                <w:kern w:val="0"/>
                <w:sz w:val="21"/>
                <w:szCs w:val="21"/>
                <w:highlight w:val="none"/>
              </w:rPr>
              <w:t>各断面地</w:t>
            </w:r>
            <w:r>
              <w:rPr>
                <w:rFonts w:hint="eastAsia" w:ascii="Times New Roman" w:hAnsi="Times New Roman" w:eastAsia="宋体" w:cs="Times New Roman"/>
                <w:b w:val="0"/>
                <w:bCs w:val="0"/>
                <w:color w:val="auto"/>
                <w:kern w:val="0"/>
                <w:sz w:val="21"/>
                <w:szCs w:val="21"/>
                <w:highlight w:val="none"/>
              </w:rPr>
              <w:t>表水现状监测值和评价结果见表</w:t>
            </w:r>
            <w:r>
              <w:rPr>
                <w:rFonts w:hint="eastAsia" w:cs="Times New Roman"/>
                <w:b w:val="0"/>
                <w:bCs w:val="0"/>
                <w:color w:val="auto"/>
                <w:kern w:val="0"/>
                <w:sz w:val="21"/>
                <w:szCs w:val="21"/>
                <w:highlight w:val="none"/>
                <w:lang w:val="en-US" w:eastAsia="zh-CN"/>
              </w:rPr>
              <w:t>3.1.5-3</w:t>
            </w:r>
            <w:r>
              <w:rPr>
                <w:rFonts w:hint="eastAsia" w:ascii="Times New Roman" w:hAnsi="Times New Roman" w:eastAsia="宋体" w:cs="Times New Roman"/>
                <w:b w:val="0"/>
                <w:bCs w:val="0"/>
                <w:color w:val="auto"/>
                <w:kern w:val="0"/>
                <w:sz w:val="21"/>
                <w:szCs w:val="21"/>
                <w:highlight w:val="none"/>
              </w:rPr>
              <w:t>。</w:t>
            </w:r>
          </w:p>
          <w:p>
            <w:pPr>
              <w:spacing w:line="360" w:lineRule="auto"/>
              <w:ind w:firstLine="420" w:firstLineChars="200"/>
              <w:rPr>
                <w:rFonts w:hint="default" w:ascii="Times New Roman" w:hAnsi="Times New Roman" w:eastAsia="宋体" w:cs="Times New Roman"/>
                <w:color w:val="auto"/>
                <w:kern w:val="0"/>
                <w:szCs w:val="21"/>
                <w:highlight w:val="none"/>
              </w:rPr>
            </w:pPr>
          </w:p>
        </w:tc>
      </w:tr>
    </w:tbl>
    <w:p>
      <w:pPr>
        <w:adjustRightInd w:val="0"/>
        <w:snapToGrid w:val="0"/>
        <w:jc w:val="center"/>
        <w:rPr>
          <w:rFonts w:hint="default" w:ascii="Times New Roman" w:hAnsi="Times New Roman" w:eastAsia="宋体" w:cs="Times New Roman"/>
          <w:color w:val="auto"/>
          <w:kern w:val="0"/>
          <w:szCs w:val="21"/>
          <w:highlight w:val="none"/>
        </w:rPr>
        <w:sectPr>
          <w:pgSz w:w="11906" w:h="16838"/>
          <w:pgMar w:top="1440" w:right="1800" w:bottom="1440" w:left="1800" w:header="851" w:footer="1077" w:gutter="0"/>
          <w:cols w:space="425" w:num="1"/>
          <w:docGrid w:linePitch="312" w:charSpace="0"/>
        </w:sectPr>
      </w:pPr>
    </w:p>
    <w:tbl>
      <w:tblPr>
        <w:tblStyle w:val="29"/>
        <w:tblW w:w="492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1"/>
        <w:gridCol w:w="135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92" w:hRule="atLeast"/>
          <w:jc w:val="center"/>
        </w:trPr>
        <w:tc>
          <w:tcPr>
            <w:tcW w:w="140" w:type="pct"/>
            <w:vAlign w:val="center"/>
          </w:tcPr>
          <w:p>
            <w:pPr>
              <w:pStyle w:val="101"/>
              <w:rPr>
                <w:rFonts w:hint="default"/>
                <w:color w:val="auto"/>
                <w:highlight w:val="none"/>
              </w:rPr>
            </w:pPr>
          </w:p>
        </w:tc>
        <w:tc>
          <w:tcPr>
            <w:tcW w:w="4859" w:type="pct"/>
            <w:vAlign w:val="top"/>
          </w:tcPr>
          <w:p>
            <w:pPr>
              <w:pStyle w:val="74"/>
              <w:spacing w:line="240" w:lineRule="auto"/>
              <w:rPr>
                <w:rFonts w:hint="default" w:ascii="Times New Roman" w:hAnsi="Times New Roman" w:eastAsia="宋体" w:cs="Times New Roman"/>
                <w:b w:val="0"/>
                <w:bCs w:val="0"/>
                <w:snapToGrid w:val="0"/>
                <w:color w:val="auto"/>
                <w:sz w:val="21"/>
                <w:szCs w:val="21"/>
                <w:highlight w:val="none"/>
              </w:rPr>
            </w:pPr>
            <w:r>
              <w:rPr>
                <w:rFonts w:hint="default" w:ascii="Times New Roman" w:hAnsi="Times New Roman" w:eastAsia="宋体" w:cs="Times New Roman"/>
                <w:b w:val="0"/>
                <w:bCs w:val="0"/>
                <w:snapToGrid w:val="0"/>
                <w:color w:val="auto"/>
                <w:sz w:val="21"/>
                <w:szCs w:val="21"/>
                <w:highlight w:val="none"/>
              </w:rPr>
              <w:t>表</w:t>
            </w:r>
            <w:r>
              <w:rPr>
                <w:rFonts w:hint="default" w:ascii="Times New Roman" w:hAnsi="Times New Roman" w:eastAsia="宋体" w:cs="Times New Roman"/>
                <w:b w:val="0"/>
                <w:bCs w:val="0"/>
                <w:snapToGrid w:val="0"/>
                <w:color w:val="auto"/>
                <w:sz w:val="21"/>
                <w:szCs w:val="21"/>
                <w:highlight w:val="none"/>
                <w:lang w:val="en-US" w:eastAsia="zh-CN"/>
              </w:rPr>
              <w:t>3.1</w:t>
            </w:r>
            <w:r>
              <w:rPr>
                <w:rFonts w:hint="eastAsia" w:eastAsia="宋体" w:cs="Times New Roman"/>
                <w:b w:val="0"/>
                <w:bCs w:val="0"/>
                <w:snapToGrid w:val="0"/>
                <w:color w:val="auto"/>
                <w:sz w:val="21"/>
                <w:szCs w:val="21"/>
                <w:highlight w:val="none"/>
                <w:lang w:val="en-US" w:eastAsia="zh-CN"/>
              </w:rPr>
              <w:t>.5</w:t>
            </w:r>
            <w:r>
              <w:rPr>
                <w:rFonts w:hint="default" w:ascii="Times New Roman" w:hAnsi="Times New Roman" w:eastAsia="宋体" w:cs="Times New Roman"/>
                <w:b w:val="0"/>
                <w:bCs w:val="0"/>
                <w:snapToGrid w:val="0"/>
                <w:color w:val="auto"/>
                <w:sz w:val="21"/>
                <w:szCs w:val="21"/>
                <w:highlight w:val="none"/>
                <w:lang w:val="en-US" w:eastAsia="zh-CN"/>
              </w:rPr>
              <w:t>-</w:t>
            </w:r>
            <w:r>
              <w:rPr>
                <w:rFonts w:hint="eastAsia" w:eastAsia="宋体" w:cs="Times New Roman"/>
                <w:b w:val="0"/>
                <w:bCs w:val="0"/>
                <w:snapToGrid w:val="0"/>
                <w:color w:val="auto"/>
                <w:sz w:val="21"/>
                <w:szCs w:val="21"/>
                <w:highlight w:val="none"/>
                <w:lang w:val="en-US" w:eastAsia="zh-CN"/>
              </w:rPr>
              <w:t>3</w:t>
            </w:r>
            <w:r>
              <w:rPr>
                <w:rFonts w:hint="default" w:ascii="Times New Roman" w:hAnsi="Times New Roman" w:eastAsia="宋体" w:cs="Times New Roman"/>
                <w:b w:val="0"/>
                <w:bCs w:val="0"/>
                <w:snapToGrid w:val="0"/>
                <w:color w:val="auto"/>
                <w:sz w:val="21"/>
                <w:szCs w:val="21"/>
                <w:highlight w:val="none"/>
                <w:lang w:val="en-US" w:eastAsia="zh-CN"/>
              </w:rPr>
              <w:t xml:space="preserve"> </w:t>
            </w:r>
            <w:r>
              <w:rPr>
                <w:rFonts w:hint="default" w:ascii="Times New Roman" w:hAnsi="Times New Roman" w:eastAsia="宋体" w:cs="Times New Roman"/>
                <w:b w:val="0"/>
                <w:bCs w:val="0"/>
                <w:snapToGrid w:val="0"/>
                <w:color w:val="auto"/>
                <w:sz w:val="21"/>
                <w:szCs w:val="21"/>
                <w:highlight w:val="none"/>
              </w:rPr>
              <w:t xml:space="preserve"> 地表水水质监测结果表</w:t>
            </w:r>
          </w:p>
          <w:tbl>
            <w:tblPr>
              <w:tblStyle w:val="29"/>
              <w:tblW w:w="1334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7"/>
              <w:gridCol w:w="975"/>
              <w:gridCol w:w="1024"/>
              <w:gridCol w:w="1155"/>
              <w:gridCol w:w="1200"/>
              <w:gridCol w:w="960"/>
              <w:gridCol w:w="885"/>
              <w:gridCol w:w="1365"/>
              <w:gridCol w:w="1363"/>
              <w:gridCol w:w="947"/>
              <w:gridCol w:w="1335"/>
              <w:gridCol w:w="14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6" w:hRule="atLeast"/>
              </w:trPr>
              <w:tc>
                <w:tcPr>
                  <w:tcW w:w="611" w:type="pct"/>
                  <w:gridSpan w:val="2"/>
                  <w:tcBorders>
                    <w:top w:val="single" w:color="000000" w:sz="8" w:space="0"/>
                    <w:left w:val="single" w:color="000000" w:sz="8" w:space="0"/>
                    <w:bottom w:val="single" w:color="000000" w:sz="8" w:space="0"/>
                    <w:right w:val="single" w:color="000000" w:sz="8" w:space="0"/>
                  </w:tcBorders>
                  <w:shd w:val="clear" w:color="auto" w:fill="FFFFFF"/>
                  <w:vAlign w:val="center"/>
                  <mc:AlternateContent>
                    <mc:Choice Requires="wpsCustomData">
                      <wpsCustomData:diagonals>
                        <wpsCustomData:diagonal from="10000" to="30000">
                          <wpsCustomData:border w:val="single" w:color="000000" w:sz="8" w:space="0"/>
                        </wpsCustomData:diagonal>
                      </wpsCustomData:diagonals>
                    </mc:Choice>
                  </mc:AlternateContent>
                </w:tcPr>
                <w:p>
                  <w:pPr>
                    <w:keepNext w:val="0"/>
                    <w:keepLines w:val="0"/>
                    <w:widowControl/>
                    <w:suppressLineNumbers w:val="0"/>
                    <w:snapToGrid w:val="0"/>
                    <w:jc w:val="both"/>
                    <w:textAlignment w:val="center"/>
                    <mc:AlternateContent>
                      <mc:Choice Requires="wpsCustomData">
                        <wpsCustomData:diagonalParaType/>
                      </mc:Choice>
                    </mc:AlternateContent>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监测因子</w:t>
                  </w:r>
                </w:p>
                <w:p>
                  <w:pPr>
                    <w:keepNext w:val="0"/>
                    <w:keepLines w:val="0"/>
                    <w:widowControl/>
                    <w:suppressLineNumbers w:val="0"/>
                    <w:jc w:val="both"/>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项目</w:t>
                  </w:r>
                </w:p>
              </w:tc>
              <w:tc>
                <w:tcPr>
                  <w:tcW w:w="383" w:type="pct"/>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106"/>
                      <w:rFonts w:eastAsia="宋体"/>
                      <w:color w:val="auto"/>
                      <w:sz w:val="18"/>
                      <w:szCs w:val="18"/>
                      <w:highlight w:val="none"/>
                      <w:lang w:val="en-US" w:eastAsia="zh-CN" w:bidi="ar"/>
                    </w:rPr>
                    <w:t>pH</w:t>
                  </w:r>
                </w:p>
              </w:tc>
              <w:tc>
                <w:tcPr>
                  <w:tcW w:w="432" w:type="pct"/>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水温</w:t>
                  </w:r>
                </w:p>
              </w:tc>
              <w:tc>
                <w:tcPr>
                  <w:tcW w:w="449" w:type="pct"/>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溶解氧</w:t>
                  </w:r>
                </w:p>
              </w:tc>
              <w:tc>
                <w:tcPr>
                  <w:tcW w:w="359" w:type="pct"/>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高锰酸盐指数</w:t>
                  </w:r>
                </w:p>
              </w:tc>
              <w:tc>
                <w:tcPr>
                  <w:tcW w:w="331" w:type="pct"/>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化学需氧量</w:t>
                  </w:r>
                </w:p>
              </w:tc>
              <w:tc>
                <w:tcPr>
                  <w:tcW w:w="511" w:type="pct"/>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五日生化需氧量</w:t>
                  </w:r>
                </w:p>
              </w:tc>
              <w:tc>
                <w:tcPr>
                  <w:tcW w:w="510" w:type="pct"/>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氨氮</w:t>
                  </w:r>
                </w:p>
              </w:tc>
              <w:tc>
                <w:tcPr>
                  <w:tcW w:w="354" w:type="pct"/>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总磷</w:t>
                  </w:r>
                </w:p>
              </w:tc>
              <w:tc>
                <w:tcPr>
                  <w:tcW w:w="500" w:type="pct"/>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Style w:val="105"/>
                      <w:color w:val="auto"/>
                      <w:sz w:val="18"/>
                      <w:szCs w:val="18"/>
                      <w:highlight w:val="none"/>
                      <w:lang w:val="en-US" w:eastAsia="zh-CN" w:bidi="ar"/>
                    </w:rPr>
                    <w:t>总</w:t>
                  </w:r>
                  <w:r>
                    <w:rPr>
                      <w:rStyle w:val="105"/>
                      <w:rFonts w:hint="eastAsia"/>
                      <w:color w:val="auto"/>
                      <w:sz w:val="18"/>
                      <w:szCs w:val="18"/>
                      <w:highlight w:val="none"/>
                      <w:lang w:val="en-US" w:eastAsia="zh-CN" w:bidi="ar"/>
                    </w:rPr>
                    <w:t>氮</w:t>
                  </w:r>
                </w:p>
              </w:tc>
              <w:tc>
                <w:tcPr>
                  <w:tcW w:w="553" w:type="pct"/>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246" w:type="pct"/>
                  <w:vMerge w:val="restart"/>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W1</w:t>
                  </w:r>
                </w:p>
              </w:tc>
              <w:tc>
                <w:tcPr>
                  <w:tcW w:w="365"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监测值</w:t>
                  </w:r>
                </w:p>
              </w:tc>
              <w:tc>
                <w:tcPr>
                  <w:tcW w:w="38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7.8~7.9</w:t>
                  </w:r>
                </w:p>
              </w:tc>
              <w:tc>
                <w:tcPr>
                  <w:tcW w:w="432"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9.8~10.3</w:t>
                  </w:r>
                </w:p>
              </w:tc>
              <w:tc>
                <w:tcPr>
                  <w:tcW w:w="44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8.5~8.6</w:t>
                  </w:r>
                </w:p>
              </w:tc>
              <w:tc>
                <w:tcPr>
                  <w:tcW w:w="35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1.6~1.8</w:t>
                  </w:r>
                </w:p>
              </w:tc>
              <w:tc>
                <w:tcPr>
                  <w:tcW w:w="33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ND</w:t>
                  </w:r>
                </w:p>
              </w:tc>
              <w:tc>
                <w:tcPr>
                  <w:tcW w:w="51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ND</w:t>
                  </w:r>
                </w:p>
              </w:tc>
              <w:tc>
                <w:tcPr>
                  <w:tcW w:w="51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0.025~0.043</w:t>
                  </w:r>
                </w:p>
              </w:tc>
              <w:tc>
                <w:tcPr>
                  <w:tcW w:w="3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0.08~0.09</w:t>
                  </w:r>
                </w:p>
              </w:tc>
              <w:tc>
                <w:tcPr>
                  <w:tcW w:w="50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0.2~0.64</w:t>
                  </w:r>
                </w:p>
              </w:tc>
              <w:tc>
                <w:tcPr>
                  <w:tcW w:w="55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46" w:type="pct"/>
                  <w:vMerge w:val="continue"/>
                  <w:tcBorders>
                    <w:top w:val="nil"/>
                    <w:left w:val="single" w:color="000000" w:sz="8" w:space="0"/>
                    <w:bottom w:val="single" w:color="000000" w:sz="8" w:space="0"/>
                    <w:right w:val="single" w:color="000000" w:sz="8" w:space="0"/>
                  </w:tcBorders>
                  <w:shd w:val="clear" w:color="auto" w:fill="FFFFFF"/>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365"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标准指数</w:t>
                  </w:r>
                </w:p>
              </w:tc>
              <w:tc>
                <w:tcPr>
                  <w:tcW w:w="383" w:type="pct"/>
                  <w:tcBorders>
                    <w:top w:val="nil"/>
                    <w:left w:val="nil"/>
                    <w:bottom w:val="single" w:color="000000" w:sz="8" w:space="0"/>
                    <w:right w:val="single" w:color="000000" w:sz="8" w:space="0"/>
                  </w:tcBorders>
                  <w:shd w:val="clear" w:color="auto" w:fill="FFFFFF"/>
                  <w:vAlign w:val="center"/>
                </w:tcPr>
                <w:p>
                  <w:pPr>
                    <w:jc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0.4~0.45</w:t>
                  </w:r>
                </w:p>
              </w:tc>
              <w:tc>
                <w:tcPr>
                  <w:tcW w:w="432"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449" w:type="pct"/>
                  <w:tcBorders>
                    <w:top w:val="nil"/>
                    <w:left w:val="nil"/>
                    <w:bottom w:val="single" w:color="000000" w:sz="8" w:space="0"/>
                    <w:right w:val="single" w:color="000000" w:sz="8" w:space="0"/>
                  </w:tcBorders>
                  <w:shd w:val="clear" w:color="auto" w:fill="FFFFFF"/>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359" w:type="pct"/>
                  <w:tcBorders>
                    <w:top w:val="nil"/>
                    <w:left w:val="nil"/>
                    <w:bottom w:val="single" w:color="000000" w:sz="8" w:space="0"/>
                    <w:right w:val="single" w:color="000000" w:sz="8" w:space="0"/>
                  </w:tcBorders>
                  <w:shd w:val="clear" w:color="auto" w:fill="FFFFFF"/>
                  <w:vAlign w:val="center"/>
                </w:tcPr>
                <w:p>
                  <w:pPr>
                    <w:jc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0.27~0.3</w:t>
                  </w:r>
                </w:p>
              </w:tc>
              <w:tc>
                <w:tcPr>
                  <w:tcW w:w="33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1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1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0.025~0.043</w:t>
                  </w:r>
                </w:p>
              </w:tc>
              <w:tc>
                <w:tcPr>
                  <w:tcW w:w="3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eastAsia" w:ascii="Times New Roman" w:hAnsi="Times New Roman" w:eastAsia="宋体" w:cs="Times New Roman"/>
                      <w:i w:val="0"/>
                      <w:iCs w:val="0"/>
                      <w:color w:val="auto"/>
                      <w:kern w:val="2"/>
                      <w:sz w:val="18"/>
                      <w:szCs w:val="18"/>
                      <w:highlight w:val="none"/>
                      <w:u w:val="none"/>
                      <w:lang w:val="en-US" w:eastAsia="zh-CN" w:bidi="ar-SA"/>
                    </w:rPr>
                    <w:t>0.4~0.45</w:t>
                  </w:r>
                </w:p>
              </w:tc>
              <w:tc>
                <w:tcPr>
                  <w:tcW w:w="500" w:type="pct"/>
                  <w:tcBorders>
                    <w:top w:val="nil"/>
                    <w:left w:val="nil"/>
                    <w:bottom w:val="single" w:color="000000" w:sz="8" w:space="0"/>
                    <w:right w:val="single" w:color="000000" w:sz="8" w:space="0"/>
                  </w:tcBorders>
                  <w:shd w:val="clear" w:color="auto" w:fill="FFFFFF"/>
                  <w:vAlign w:val="center"/>
                </w:tcPr>
                <w:p>
                  <w:pPr>
                    <w:jc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0.2~0.64</w:t>
                  </w:r>
                </w:p>
              </w:tc>
              <w:tc>
                <w:tcPr>
                  <w:tcW w:w="553" w:type="pct"/>
                  <w:tcBorders>
                    <w:top w:val="nil"/>
                    <w:left w:val="nil"/>
                    <w:bottom w:val="single" w:color="000000" w:sz="8" w:space="0"/>
                    <w:right w:val="single" w:color="000000" w:sz="8" w:space="0"/>
                  </w:tcBorders>
                  <w:shd w:val="clear" w:color="auto" w:fill="FFFFFF"/>
                  <w:vAlign w:val="center"/>
                </w:tcPr>
                <w:p>
                  <w:pPr>
                    <w:jc w:val="center"/>
                    <w:rPr>
                      <w:rFonts w:hint="eastAsia"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46" w:type="pct"/>
                  <w:vMerge w:val="continue"/>
                  <w:tcBorders>
                    <w:top w:val="nil"/>
                    <w:left w:val="single" w:color="000000" w:sz="8" w:space="0"/>
                    <w:bottom w:val="single" w:color="000000" w:sz="8" w:space="0"/>
                    <w:right w:val="single" w:color="000000" w:sz="8" w:space="0"/>
                  </w:tcBorders>
                  <w:shd w:val="clear" w:color="auto" w:fill="FFFFFF"/>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365"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达标情况</w:t>
                  </w:r>
                </w:p>
              </w:tc>
              <w:tc>
                <w:tcPr>
                  <w:tcW w:w="38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432"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44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35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33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51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51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3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50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55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246" w:type="pct"/>
                  <w:vMerge w:val="restart"/>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W2</w:t>
                  </w:r>
                </w:p>
              </w:tc>
              <w:tc>
                <w:tcPr>
                  <w:tcW w:w="365"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监测值</w:t>
                  </w:r>
                </w:p>
              </w:tc>
              <w:tc>
                <w:tcPr>
                  <w:tcW w:w="38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7.8</w:t>
                  </w:r>
                </w:p>
              </w:tc>
              <w:tc>
                <w:tcPr>
                  <w:tcW w:w="432"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9.8~10.2</w:t>
                  </w:r>
                </w:p>
              </w:tc>
              <w:tc>
                <w:tcPr>
                  <w:tcW w:w="44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8.7~8.8</w:t>
                  </w:r>
                </w:p>
              </w:tc>
              <w:tc>
                <w:tcPr>
                  <w:tcW w:w="35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2.1~2.3</w:t>
                  </w:r>
                </w:p>
              </w:tc>
              <w:tc>
                <w:tcPr>
                  <w:tcW w:w="33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8~11</w:t>
                  </w:r>
                </w:p>
              </w:tc>
              <w:tc>
                <w:tcPr>
                  <w:tcW w:w="51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0.7</w:t>
                  </w:r>
                </w:p>
              </w:tc>
              <w:tc>
                <w:tcPr>
                  <w:tcW w:w="51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0.033</w:t>
                  </w:r>
                </w:p>
              </w:tc>
              <w:tc>
                <w:tcPr>
                  <w:tcW w:w="3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0.03~0.04</w:t>
                  </w:r>
                </w:p>
              </w:tc>
              <w:tc>
                <w:tcPr>
                  <w:tcW w:w="50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0.18~0.64</w:t>
                  </w:r>
                </w:p>
              </w:tc>
              <w:tc>
                <w:tcPr>
                  <w:tcW w:w="55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46" w:type="pct"/>
                  <w:vMerge w:val="continue"/>
                  <w:tcBorders>
                    <w:top w:val="nil"/>
                    <w:left w:val="single" w:color="000000" w:sz="8" w:space="0"/>
                    <w:bottom w:val="single" w:color="000000" w:sz="8" w:space="0"/>
                    <w:right w:val="single" w:color="000000" w:sz="8" w:space="0"/>
                  </w:tcBorders>
                  <w:shd w:val="clear" w:color="auto" w:fill="FFFFFF"/>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365"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标准指数</w:t>
                  </w:r>
                </w:p>
              </w:tc>
              <w:tc>
                <w:tcPr>
                  <w:tcW w:w="383" w:type="pct"/>
                  <w:tcBorders>
                    <w:top w:val="nil"/>
                    <w:left w:val="nil"/>
                    <w:bottom w:val="single" w:color="000000" w:sz="8" w:space="0"/>
                    <w:right w:val="single" w:color="000000" w:sz="8" w:space="0"/>
                  </w:tcBorders>
                  <w:shd w:val="clear" w:color="auto" w:fill="FFFFFF"/>
                  <w:vAlign w:val="center"/>
                </w:tcPr>
                <w:p>
                  <w:pPr>
                    <w:jc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0.4</w:t>
                  </w:r>
                </w:p>
              </w:tc>
              <w:tc>
                <w:tcPr>
                  <w:tcW w:w="432"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449" w:type="pct"/>
                  <w:tcBorders>
                    <w:top w:val="nil"/>
                    <w:left w:val="nil"/>
                    <w:bottom w:val="single" w:color="000000" w:sz="8" w:space="0"/>
                    <w:right w:val="single" w:color="000000" w:sz="8" w:space="0"/>
                  </w:tcBorders>
                  <w:shd w:val="clear" w:color="auto" w:fill="FFFFFF"/>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359" w:type="pct"/>
                  <w:tcBorders>
                    <w:top w:val="nil"/>
                    <w:left w:val="nil"/>
                    <w:bottom w:val="single" w:color="000000" w:sz="8" w:space="0"/>
                    <w:right w:val="single" w:color="000000" w:sz="8" w:space="0"/>
                  </w:tcBorders>
                  <w:shd w:val="clear" w:color="auto" w:fill="FFFFFF"/>
                  <w:vAlign w:val="center"/>
                </w:tcPr>
                <w:p>
                  <w:pPr>
                    <w:jc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0.35~0.38</w:t>
                  </w:r>
                </w:p>
              </w:tc>
              <w:tc>
                <w:tcPr>
                  <w:tcW w:w="331" w:type="pct"/>
                  <w:tcBorders>
                    <w:top w:val="nil"/>
                    <w:left w:val="nil"/>
                    <w:bottom w:val="single" w:color="000000" w:sz="8" w:space="0"/>
                    <w:right w:val="single" w:color="000000" w:sz="8" w:space="0"/>
                  </w:tcBorders>
                  <w:shd w:val="clear" w:color="auto" w:fill="FFFFFF"/>
                  <w:vAlign w:val="center"/>
                </w:tcPr>
                <w:p>
                  <w:pPr>
                    <w:jc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0.4~0.55</w:t>
                  </w:r>
                </w:p>
              </w:tc>
              <w:tc>
                <w:tcPr>
                  <w:tcW w:w="511" w:type="pct"/>
                  <w:tcBorders>
                    <w:top w:val="nil"/>
                    <w:left w:val="nil"/>
                    <w:bottom w:val="single" w:color="000000" w:sz="8" w:space="0"/>
                    <w:right w:val="single" w:color="000000" w:sz="8" w:space="0"/>
                  </w:tcBorders>
                  <w:shd w:val="clear" w:color="auto" w:fill="FFFFFF"/>
                  <w:vAlign w:val="center"/>
                </w:tcPr>
                <w:p>
                  <w:pPr>
                    <w:jc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0.425</w:t>
                  </w:r>
                </w:p>
              </w:tc>
              <w:tc>
                <w:tcPr>
                  <w:tcW w:w="51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0.033</w:t>
                  </w:r>
                </w:p>
              </w:tc>
              <w:tc>
                <w:tcPr>
                  <w:tcW w:w="3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eastAsia" w:ascii="Times New Roman" w:hAnsi="Times New Roman" w:eastAsia="宋体" w:cs="Times New Roman"/>
                      <w:i w:val="0"/>
                      <w:iCs w:val="0"/>
                      <w:color w:val="auto"/>
                      <w:kern w:val="2"/>
                      <w:sz w:val="18"/>
                      <w:szCs w:val="18"/>
                      <w:highlight w:val="none"/>
                      <w:u w:val="none"/>
                      <w:lang w:val="en-US" w:eastAsia="zh-CN" w:bidi="ar-SA"/>
                    </w:rPr>
                    <w:t>0.15~0.2</w:t>
                  </w:r>
                </w:p>
              </w:tc>
              <w:tc>
                <w:tcPr>
                  <w:tcW w:w="500" w:type="pct"/>
                  <w:tcBorders>
                    <w:top w:val="nil"/>
                    <w:left w:val="nil"/>
                    <w:bottom w:val="single" w:color="000000" w:sz="8" w:space="0"/>
                    <w:right w:val="single" w:color="000000" w:sz="8" w:space="0"/>
                  </w:tcBorders>
                  <w:shd w:val="clear" w:color="auto" w:fill="FFFFFF"/>
                  <w:vAlign w:val="center"/>
                </w:tcPr>
                <w:p>
                  <w:pPr>
                    <w:jc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0.2~0.64</w:t>
                  </w:r>
                </w:p>
              </w:tc>
              <w:tc>
                <w:tcPr>
                  <w:tcW w:w="553" w:type="pct"/>
                  <w:tcBorders>
                    <w:top w:val="nil"/>
                    <w:left w:val="nil"/>
                    <w:bottom w:val="single" w:color="000000" w:sz="8" w:space="0"/>
                    <w:right w:val="single" w:color="000000" w:sz="8" w:space="0"/>
                  </w:tcBorders>
                  <w:shd w:val="clear" w:color="auto" w:fill="FFFFFF"/>
                  <w:vAlign w:val="center"/>
                </w:tcPr>
                <w:p>
                  <w:pPr>
                    <w:jc w:val="center"/>
                    <w:rPr>
                      <w:rFonts w:hint="eastAsia"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46" w:type="pct"/>
                  <w:vMerge w:val="continue"/>
                  <w:tcBorders>
                    <w:top w:val="nil"/>
                    <w:left w:val="single" w:color="000000" w:sz="8" w:space="0"/>
                    <w:bottom w:val="single" w:color="000000" w:sz="8" w:space="0"/>
                    <w:right w:val="single" w:color="000000" w:sz="8" w:space="0"/>
                  </w:tcBorders>
                  <w:shd w:val="clear" w:color="auto" w:fill="FFFFFF"/>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365"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达标情况</w:t>
                  </w:r>
                </w:p>
              </w:tc>
              <w:tc>
                <w:tcPr>
                  <w:tcW w:w="38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432"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44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35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33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51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51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3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50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55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246" w:type="pct"/>
                  <w:vMerge w:val="restart"/>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W3</w:t>
                  </w:r>
                </w:p>
              </w:tc>
              <w:tc>
                <w:tcPr>
                  <w:tcW w:w="365"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监测值</w:t>
                  </w:r>
                </w:p>
              </w:tc>
              <w:tc>
                <w:tcPr>
                  <w:tcW w:w="38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7.7~7.8</w:t>
                  </w:r>
                </w:p>
              </w:tc>
              <w:tc>
                <w:tcPr>
                  <w:tcW w:w="432"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9.8~10.2</w:t>
                  </w:r>
                </w:p>
              </w:tc>
              <w:tc>
                <w:tcPr>
                  <w:tcW w:w="44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8.8~8.9</w:t>
                  </w:r>
                </w:p>
              </w:tc>
              <w:tc>
                <w:tcPr>
                  <w:tcW w:w="35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1.2~1.4</w:t>
                  </w:r>
                </w:p>
              </w:tc>
              <w:tc>
                <w:tcPr>
                  <w:tcW w:w="33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12~14</w:t>
                  </w:r>
                </w:p>
              </w:tc>
              <w:tc>
                <w:tcPr>
                  <w:tcW w:w="51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2.1~2.5</w:t>
                  </w:r>
                </w:p>
              </w:tc>
              <w:tc>
                <w:tcPr>
                  <w:tcW w:w="51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0.028</w:t>
                  </w:r>
                </w:p>
              </w:tc>
              <w:tc>
                <w:tcPr>
                  <w:tcW w:w="3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0.04~0.05</w:t>
                  </w:r>
                </w:p>
              </w:tc>
              <w:tc>
                <w:tcPr>
                  <w:tcW w:w="50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0.38~0.65</w:t>
                  </w:r>
                </w:p>
              </w:tc>
              <w:tc>
                <w:tcPr>
                  <w:tcW w:w="55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46" w:type="pct"/>
                  <w:vMerge w:val="continue"/>
                  <w:tcBorders>
                    <w:top w:val="nil"/>
                    <w:left w:val="single" w:color="000000" w:sz="8" w:space="0"/>
                    <w:bottom w:val="single" w:color="000000" w:sz="8" w:space="0"/>
                    <w:right w:val="single" w:color="000000" w:sz="8" w:space="0"/>
                  </w:tcBorders>
                  <w:shd w:val="clear" w:color="auto" w:fill="FFFFFF"/>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365"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标准指数</w:t>
                  </w:r>
                </w:p>
              </w:tc>
              <w:tc>
                <w:tcPr>
                  <w:tcW w:w="383" w:type="pct"/>
                  <w:tcBorders>
                    <w:top w:val="nil"/>
                    <w:left w:val="nil"/>
                    <w:bottom w:val="single" w:color="000000" w:sz="8" w:space="0"/>
                    <w:right w:val="single" w:color="000000" w:sz="8" w:space="0"/>
                  </w:tcBorders>
                  <w:shd w:val="clear" w:color="auto" w:fill="FFFFFF"/>
                  <w:vAlign w:val="center"/>
                </w:tcPr>
                <w:p>
                  <w:pPr>
                    <w:jc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0.35~0.4</w:t>
                  </w:r>
                </w:p>
              </w:tc>
              <w:tc>
                <w:tcPr>
                  <w:tcW w:w="432"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449" w:type="pct"/>
                  <w:tcBorders>
                    <w:top w:val="nil"/>
                    <w:left w:val="nil"/>
                    <w:bottom w:val="single" w:color="000000" w:sz="8" w:space="0"/>
                    <w:right w:val="single" w:color="000000" w:sz="8" w:space="0"/>
                  </w:tcBorders>
                  <w:shd w:val="clear" w:color="auto" w:fill="FFFFFF"/>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359" w:type="pct"/>
                  <w:tcBorders>
                    <w:top w:val="nil"/>
                    <w:left w:val="nil"/>
                    <w:bottom w:val="single" w:color="000000" w:sz="8" w:space="0"/>
                    <w:right w:val="single" w:color="000000" w:sz="8" w:space="0"/>
                  </w:tcBorders>
                  <w:shd w:val="clear" w:color="auto" w:fill="FFFFFF"/>
                  <w:vAlign w:val="center"/>
                </w:tcPr>
                <w:p>
                  <w:pPr>
                    <w:jc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0.2~0.23</w:t>
                  </w:r>
                </w:p>
              </w:tc>
              <w:tc>
                <w:tcPr>
                  <w:tcW w:w="331" w:type="pct"/>
                  <w:tcBorders>
                    <w:top w:val="nil"/>
                    <w:left w:val="nil"/>
                    <w:bottom w:val="single" w:color="000000" w:sz="8" w:space="0"/>
                    <w:right w:val="single" w:color="000000" w:sz="8" w:space="0"/>
                  </w:tcBorders>
                  <w:shd w:val="clear" w:color="auto" w:fill="FFFFFF"/>
                  <w:vAlign w:val="center"/>
                </w:tcPr>
                <w:p>
                  <w:pPr>
                    <w:jc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0.6~0.7</w:t>
                  </w:r>
                </w:p>
              </w:tc>
              <w:tc>
                <w:tcPr>
                  <w:tcW w:w="511" w:type="pct"/>
                  <w:tcBorders>
                    <w:top w:val="nil"/>
                    <w:left w:val="nil"/>
                    <w:bottom w:val="single" w:color="000000" w:sz="8" w:space="0"/>
                    <w:right w:val="single" w:color="000000" w:sz="8" w:space="0"/>
                  </w:tcBorders>
                  <w:shd w:val="clear" w:color="auto" w:fill="FFFFFF"/>
                  <w:vAlign w:val="center"/>
                </w:tcPr>
                <w:p>
                  <w:pPr>
                    <w:jc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0.525~0.625</w:t>
                  </w:r>
                </w:p>
              </w:tc>
              <w:tc>
                <w:tcPr>
                  <w:tcW w:w="51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0.028</w:t>
                  </w:r>
                </w:p>
              </w:tc>
              <w:tc>
                <w:tcPr>
                  <w:tcW w:w="3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eastAsia" w:ascii="Times New Roman" w:hAnsi="Times New Roman" w:eastAsia="宋体" w:cs="Times New Roman"/>
                      <w:i w:val="0"/>
                      <w:iCs w:val="0"/>
                      <w:color w:val="auto"/>
                      <w:kern w:val="2"/>
                      <w:sz w:val="18"/>
                      <w:szCs w:val="18"/>
                      <w:highlight w:val="none"/>
                      <w:u w:val="none"/>
                      <w:lang w:val="en-US" w:eastAsia="zh-CN" w:bidi="ar-SA"/>
                    </w:rPr>
                    <w:t>0.2~0.25</w:t>
                  </w:r>
                </w:p>
              </w:tc>
              <w:tc>
                <w:tcPr>
                  <w:tcW w:w="500" w:type="pct"/>
                  <w:tcBorders>
                    <w:top w:val="nil"/>
                    <w:left w:val="nil"/>
                    <w:bottom w:val="single" w:color="000000" w:sz="8" w:space="0"/>
                    <w:right w:val="single" w:color="000000" w:sz="8" w:space="0"/>
                  </w:tcBorders>
                  <w:shd w:val="clear" w:color="auto" w:fill="FFFFFF"/>
                  <w:vAlign w:val="center"/>
                </w:tcPr>
                <w:p>
                  <w:pPr>
                    <w:jc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0.2~0.64</w:t>
                  </w:r>
                </w:p>
              </w:tc>
              <w:tc>
                <w:tcPr>
                  <w:tcW w:w="553" w:type="pct"/>
                  <w:tcBorders>
                    <w:top w:val="nil"/>
                    <w:left w:val="nil"/>
                    <w:bottom w:val="single" w:color="000000" w:sz="8" w:space="0"/>
                    <w:right w:val="single" w:color="000000" w:sz="8" w:space="0"/>
                  </w:tcBorders>
                  <w:shd w:val="clear" w:color="auto" w:fill="FFFFFF"/>
                  <w:vAlign w:val="center"/>
                </w:tcPr>
                <w:p>
                  <w:pPr>
                    <w:jc w:val="center"/>
                    <w:rPr>
                      <w:rFonts w:hint="eastAsia"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46" w:type="pct"/>
                  <w:vMerge w:val="continue"/>
                  <w:tcBorders>
                    <w:top w:val="nil"/>
                    <w:left w:val="single" w:color="000000" w:sz="8" w:space="0"/>
                    <w:bottom w:val="single" w:color="000000" w:sz="8" w:space="0"/>
                    <w:right w:val="single" w:color="000000" w:sz="8" w:space="0"/>
                  </w:tcBorders>
                  <w:shd w:val="clear" w:color="auto" w:fill="FFFFFF"/>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365"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达标情况</w:t>
                  </w:r>
                </w:p>
              </w:tc>
              <w:tc>
                <w:tcPr>
                  <w:tcW w:w="38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432"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44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35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33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51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51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3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50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55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11" w:type="pct"/>
                  <w:gridSpan w:val="2"/>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评价标准值</w:t>
                  </w:r>
                </w:p>
              </w:tc>
              <w:tc>
                <w:tcPr>
                  <w:tcW w:w="38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6~9</w:t>
                  </w:r>
                </w:p>
              </w:tc>
              <w:tc>
                <w:tcPr>
                  <w:tcW w:w="432"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44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w:t>
                  </w:r>
                </w:p>
              </w:tc>
              <w:tc>
                <w:tcPr>
                  <w:tcW w:w="35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w:t>
                  </w:r>
                </w:p>
              </w:tc>
              <w:tc>
                <w:tcPr>
                  <w:tcW w:w="33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51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w:t>
                  </w:r>
                </w:p>
              </w:tc>
              <w:tc>
                <w:tcPr>
                  <w:tcW w:w="51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3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50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106"/>
                      <w:rFonts w:eastAsia="宋体"/>
                      <w:color w:val="auto"/>
                      <w:sz w:val="18"/>
                      <w:szCs w:val="18"/>
                      <w:highlight w:val="none"/>
                      <w:lang w:val="en-US" w:eastAsia="zh-CN" w:bidi="ar"/>
                    </w:rPr>
                    <w:t>≤</w:t>
                  </w:r>
                  <w:r>
                    <w:rPr>
                      <w:rStyle w:val="106"/>
                      <w:rFonts w:hint="eastAsia" w:eastAsia="宋体"/>
                      <w:color w:val="auto"/>
                      <w:sz w:val="18"/>
                      <w:szCs w:val="18"/>
                      <w:highlight w:val="none"/>
                      <w:lang w:val="en-US" w:eastAsia="zh-CN" w:bidi="ar"/>
                    </w:rPr>
                    <w:t>1</w:t>
                  </w:r>
                </w:p>
              </w:tc>
              <w:tc>
                <w:tcPr>
                  <w:tcW w:w="55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611" w:type="pct"/>
                  <w:gridSpan w:val="2"/>
                  <w:tcBorders>
                    <w:top w:val="nil"/>
                    <w:left w:val="single" w:color="000000" w:sz="8" w:space="0"/>
                    <w:bottom w:val="single" w:color="000000" w:sz="8" w:space="0"/>
                    <w:right w:val="single" w:color="000000" w:sz="8" w:space="0"/>
                  </w:tcBorders>
                  <w:shd w:val="clear" w:color="auto" w:fill="FFFFFF"/>
                  <w:vAlign w:val="center"/>
                  <mc:AlternateContent>
                    <mc:Choice Requires="wpsCustomData">
                      <wpsCustomData:diagonals>
                        <wpsCustomData:diagonal from="10000" to="30000">
                          <wpsCustomData:border w:val="single" w:color="auto" w:sz="0" w:space="0"/>
                        </wpsCustomData:diagonal>
                      </wpsCustomData:diagonals>
                    </mc:Choice>
                  </mc:AlternateContent>
                </w:tcPr>
                <w:p>
                  <w:pPr>
                    <w:keepNext w:val="0"/>
                    <w:keepLines w:val="0"/>
                    <w:widowControl/>
                    <w:suppressLineNumbers w:val="0"/>
                    <w:snapToGrid w:val="0"/>
                    <w:jc w:val="both"/>
                    <w:textAlignment w:val="center"/>
                    <mc:AlternateContent>
                      <mc:Choice Requires="wpsCustomData">
                        <wpsCustomData:diagonalParaType/>
                      </mc:Choice>
                    </mc:AlternateContent>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监测因子</w:t>
                  </w:r>
                </w:p>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项目</w:t>
                  </w:r>
                </w:p>
              </w:tc>
              <w:tc>
                <w:tcPr>
                  <w:tcW w:w="38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硒</w:t>
                  </w:r>
                </w:p>
              </w:tc>
              <w:tc>
                <w:tcPr>
                  <w:tcW w:w="432"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砷</w:t>
                  </w:r>
                </w:p>
              </w:tc>
              <w:tc>
                <w:tcPr>
                  <w:tcW w:w="44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汞</w:t>
                  </w:r>
                </w:p>
              </w:tc>
              <w:tc>
                <w:tcPr>
                  <w:tcW w:w="35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镉</w:t>
                  </w:r>
                </w:p>
              </w:tc>
              <w:tc>
                <w:tcPr>
                  <w:tcW w:w="33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六价铬</w:t>
                  </w:r>
                </w:p>
              </w:tc>
              <w:tc>
                <w:tcPr>
                  <w:tcW w:w="51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铅</w:t>
                  </w:r>
                </w:p>
              </w:tc>
              <w:tc>
                <w:tcPr>
                  <w:tcW w:w="51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氰化物</w:t>
                  </w:r>
                </w:p>
              </w:tc>
              <w:tc>
                <w:tcPr>
                  <w:tcW w:w="3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挥发酚</w:t>
                  </w:r>
                </w:p>
              </w:tc>
              <w:tc>
                <w:tcPr>
                  <w:tcW w:w="50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石油类</w:t>
                  </w:r>
                </w:p>
              </w:tc>
              <w:tc>
                <w:tcPr>
                  <w:tcW w:w="55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阴离子表面活性剂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246" w:type="pct"/>
                  <w:vMerge w:val="restart"/>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W1</w:t>
                  </w:r>
                </w:p>
              </w:tc>
              <w:tc>
                <w:tcPr>
                  <w:tcW w:w="365"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监测值</w:t>
                  </w:r>
                </w:p>
              </w:tc>
              <w:tc>
                <w:tcPr>
                  <w:tcW w:w="38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ND</w:t>
                  </w:r>
                </w:p>
              </w:tc>
              <w:tc>
                <w:tcPr>
                  <w:tcW w:w="432"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ND</w:t>
                  </w:r>
                </w:p>
              </w:tc>
              <w:tc>
                <w:tcPr>
                  <w:tcW w:w="44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ND</w:t>
                  </w:r>
                </w:p>
              </w:tc>
              <w:tc>
                <w:tcPr>
                  <w:tcW w:w="35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ND</w:t>
                  </w:r>
                </w:p>
              </w:tc>
              <w:tc>
                <w:tcPr>
                  <w:tcW w:w="33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ND</w:t>
                  </w:r>
                </w:p>
              </w:tc>
              <w:tc>
                <w:tcPr>
                  <w:tcW w:w="51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ND</w:t>
                  </w:r>
                </w:p>
              </w:tc>
              <w:tc>
                <w:tcPr>
                  <w:tcW w:w="51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ND</w:t>
                  </w:r>
                </w:p>
              </w:tc>
              <w:tc>
                <w:tcPr>
                  <w:tcW w:w="3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ND</w:t>
                  </w:r>
                </w:p>
              </w:tc>
              <w:tc>
                <w:tcPr>
                  <w:tcW w:w="50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ND</w:t>
                  </w:r>
                </w:p>
              </w:tc>
              <w:tc>
                <w:tcPr>
                  <w:tcW w:w="55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46" w:type="pct"/>
                  <w:vMerge w:val="continue"/>
                  <w:tcBorders>
                    <w:top w:val="nil"/>
                    <w:left w:val="single" w:color="000000" w:sz="8" w:space="0"/>
                    <w:bottom w:val="single" w:color="000000" w:sz="8" w:space="0"/>
                    <w:right w:val="single" w:color="000000" w:sz="8" w:space="0"/>
                  </w:tcBorders>
                  <w:shd w:val="clear" w:color="auto" w:fill="FFFFFF"/>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365"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标准指数</w:t>
                  </w:r>
                </w:p>
              </w:tc>
              <w:tc>
                <w:tcPr>
                  <w:tcW w:w="38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432"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44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5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3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1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1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0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5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46" w:type="pct"/>
                  <w:vMerge w:val="continue"/>
                  <w:tcBorders>
                    <w:top w:val="nil"/>
                    <w:left w:val="single" w:color="000000" w:sz="8" w:space="0"/>
                    <w:bottom w:val="single" w:color="000000" w:sz="8" w:space="0"/>
                    <w:right w:val="single" w:color="000000" w:sz="8" w:space="0"/>
                  </w:tcBorders>
                  <w:shd w:val="clear" w:color="auto" w:fill="FFFFFF"/>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365"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达标情况</w:t>
                  </w:r>
                </w:p>
              </w:tc>
              <w:tc>
                <w:tcPr>
                  <w:tcW w:w="38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432"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44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35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33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51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51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3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50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55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246" w:type="pct"/>
                  <w:vMerge w:val="restart"/>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W2</w:t>
                  </w:r>
                </w:p>
              </w:tc>
              <w:tc>
                <w:tcPr>
                  <w:tcW w:w="365"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监测值</w:t>
                  </w:r>
                </w:p>
              </w:tc>
              <w:tc>
                <w:tcPr>
                  <w:tcW w:w="38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ND</w:t>
                  </w:r>
                </w:p>
              </w:tc>
              <w:tc>
                <w:tcPr>
                  <w:tcW w:w="432"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ND</w:t>
                  </w:r>
                </w:p>
              </w:tc>
              <w:tc>
                <w:tcPr>
                  <w:tcW w:w="44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ND</w:t>
                  </w:r>
                </w:p>
              </w:tc>
              <w:tc>
                <w:tcPr>
                  <w:tcW w:w="35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ND</w:t>
                  </w:r>
                </w:p>
              </w:tc>
              <w:tc>
                <w:tcPr>
                  <w:tcW w:w="33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ND</w:t>
                  </w:r>
                </w:p>
              </w:tc>
              <w:tc>
                <w:tcPr>
                  <w:tcW w:w="51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ND</w:t>
                  </w:r>
                </w:p>
              </w:tc>
              <w:tc>
                <w:tcPr>
                  <w:tcW w:w="51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ND</w:t>
                  </w:r>
                </w:p>
              </w:tc>
              <w:tc>
                <w:tcPr>
                  <w:tcW w:w="3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ND</w:t>
                  </w:r>
                </w:p>
              </w:tc>
              <w:tc>
                <w:tcPr>
                  <w:tcW w:w="50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ND</w:t>
                  </w:r>
                </w:p>
              </w:tc>
              <w:tc>
                <w:tcPr>
                  <w:tcW w:w="55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46" w:type="pct"/>
                  <w:vMerge w:val="continue"/>
                  <w:tcBorders>
                    <w:top w:val="nil"/>
                    <w:left w:val="single" w:color="000000" w:sz="8" w:space="0"/>
                    <w:bottom w:val="single" w:color="000000" w:sz="8" w:space="0"/>
                    <w:right w:val="single" w:color="000000" w:sz="8" w:space="0"/>
                  </w:tcBorders>
                  <w:shd w:val="clear" w:color="auto" w:fill="FFFFFF"/>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365"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标准指数</w:t>
                  </w:r>
                </w:p>
              </w:tc>
              <w:tc>
                <w:tcPr>
                  <w:tcW w:w="38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432"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44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5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3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1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1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0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5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46" w:type="pct"/>
                  <w:vMerge w:val="continue"/>
                  <w:tcBorders>
                    <w:top w:val="nil"/>
                    <w:left w:val="single" w:color="000000" w:sz="8" w:space="0"/>
                    <w:bottom w:val="single" w:color="000000" w:sz="8" w:space="0"/>
                    <w:right w:val="single" w:color="000000" w:sz="8" w:space="0"/>
                  </w:tcBorders>
                  <w:shd w:val="clear" w:color="auto" w:fill="FFFFFF"/>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365"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达标情况</w:t>
                  </w:r>
                </w:p>
              </w:tc>
              <w:tc>
                <w:tcPr>
                  <w:tcW w:w="38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432"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44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35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33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51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51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3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50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55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246" w:type="pct"/>
                  <w:vMerge w:val="restart"/>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W3</w:t>
                  </w:r>
                </w:p>
              </w:tc>
              <w:tc>
                <w:tcPr>
                  <w:tcW w:w="365"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监测值</w:t>
                  </w:r>
                </w:p>
              </w:tc>
              <w:tc>
                <w:tcPr>
                  <w:tcW w:w="38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ND</w:t>
                  </w:r>
                </w:p>
              </w:tc>
              <w:tc>
                <w:tcPr>
                  <w:tcW w:w="432"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ND</w:t>
                  </w:r>
                </w:p>
              </w:tc>
              <w:tc>
                <w:tcPr>
                  <w:tcW w:w="44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ND</w:t>
                  </w:r>
                </w:p>
              </w:tc>
              <w:tc>
                <w:tcPr>
                  <w:tcW w:w="35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ND</w:t>
                  </w:r>
                </w:p>
              </w:tc>
              <w:tc>
                <w:tcPr>
                  <w:tcW w:w="33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ND</w:t>
                  </w:r>
                </w:p>
              </w:tc>
              <w:tc>
                <w:tcPr>
                  <w:tcW w:w="51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ND</w:t>
                  </w:r>
                </w:p>
              </w:tc>
              <w:tc>
                <w:tcPr>
                  <w:tcW w:w="51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ND</w:t>
                  </w:r>
                </w:p>
              </w:tc>
              <w:tc>
                <w:tcPr>
                  <w:tcW w:w="3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ND</w:t>
                  </w:r>
                </w:p>
              </w:tc>
              <w:tc>
                <w:tcPr>
                  <w:tcW w:w="50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ND</w:t>
                  </w:r>
                </w:p>
              </w:tc>
              <w:tc>
                <w:tcPr>
                  <w:tcW w:w="55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46" w:type="pct"/>
                  <w:vMerge w:val="continue"/>
                  <w:tcBorders>
                    <w:top w:val="nil"/>
                    <w:left w:val="single" w:color="000000" w:sz="8" w:space="0"/>
                    <w:bottom w:val="single" w:color="000000" w:sz="8" w:space="0"/>
                    <w:right w:val="single" w:color="000000" w:sz="8" w:space="0"/>
                  </w:tcBorders>
                  <w:shd w:val="clear" w:color="auto" w:fill="FFFFFF"/>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365"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标准指数</w:t>
                  </w:r>
                </w:p>
              </w:tc>
              <w:tc>
                <w:tcPr>
                  <w:tcW w:w="38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432"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44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5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3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1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1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0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5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46" w:type="pct"/>
                  <w:vMerge w:val="continue"/>
                  <w:tcBorders>
                    <w:top w:val="nil"/>
                    <w:left w:val="single" w:color="000000" w:sz="8" w:space="0"/>
                    <w:bottom w:val="single" w:color="000000" w:sz="8" w:space="0"/>
                    <w:right w:val="single" w:color="000000" w:sz="8" w:space="0"/>
                  </w:tcBorders>
                  <w:shd w:val="clear" w:color="auto" w:fill="FFFFFF"/>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365"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达标情况</w:t>
                  </w:r>
                </w:p>
              </w:tc>
              <w:tc>
                <w:tcPr>
                  <w:tcW w:w="38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432"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44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35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33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51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51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3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50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55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11" w:type="pct"/>
                  <w:gridSpan w:val="2"/>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评价标准</w:t>
                  </w:r>
                </w:p>
              </w:tc>
              <w:tc>
                <w:tcPr>
                  <w:tcW w:w="38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≤0.01</w:t>
                  </w:r>
                </w:p>
              </w:tc>
              <w:tc>
                <w:tcPr>
                  <w:tcW w:w="432"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≤0.05</w:t>
                  </w:r>
                </w:p>
              </w:tc>
              <w:tc>
                <w:tcPr>
                  <w:tcW w:w="44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≤0.0001</w:t>
                  </w:r>
                </w:p>
              </w:tc>
              <w:tc>
                <w:tcPr>
                  <w:tcW w:w="35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≤0.005</w:t>
                  </w:r>
                </w:p>
              </w:tc>
              <w:tc>
                <w:tcPr>
                  <w:tcW w:w="33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≤0.05</w:t>
                  </w:r>
                </w:p>
              </w:tc>
              <w:tc>
                <w:tcPr>
                  <w:tcW w:w="51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≤0.05</w:t>
                  </w:r>
                </w:p>
              </w:tc>
              <w:tc>
                <w:tcPr>
                  <w:tcW w:w="51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3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≤0.005</w:t>
                  </w:r>
                </w:p>
              </w:tc>
              <w:tc>
                <w:tcPr>
                  <w:tcW w:w="50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≤0.05</w:t>
                  </w:r>
                </w:p>
              </w:tc>
              <w:tc>
                <w:tcPr>
                  <w:tcW w:w="55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611" w:type="pct"/>
                  <w:gridSpan w:val="2"/>
                  <w:tcBorders>
                    <w:top w:val="nil"/>
                    <w:left w:val="single" w:color="000000" w:sz="8" w:space="0"/>
                    <w:bottom w:val="single" w:color="000000" w:sz="8" w:space="0"/>
                    <w:right w:val="single" w:color="000000" w:sz="8" w:space="0"/>
                  </w:tcBorders>
                  <w:shd w:val="clear" w:color="auto" w:fill="FFFFFF"/>
                  <w:vAlign w:val="center"/>
                  <mc:AlternateContent>
                    <mc:Choice Requires="wpsCustomData">
                      <wpsCustomData:diagonals>
                        <wpsCustomData:diagonal from="10000" to="30000">
                          <wpsCustomData:border w:val="single" w:color="auto" w:sz="0" w:space="0"/>
                        </wpsCustomData:diagonal>
                      </wpsCustomData:diagonals>
                    </mc:Choice>
                  </mc:AlternateContent>
                </w:tcPr>
                <w:p>
                  <w:pPr>
                    <w:keepNext w:val="0"/>
                    <w:keepLines w:val="0"/>
                    <w:widowControl/>
                    <w:suppressLineNumbers w:val="0"/>
                    <w:snapToGrid w:val="0"/>
                    <w:jc w:val="both"/>
                    <w:textAlignment w:val="center"/>
                    <mc:AlternateContent>
                      <mc:Choice Requires="wpsCustomData">
                        <wpsCustomData:diagonalParaType/>
                      </mc:Choice>
                    </mc:AlternateContent>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监测因子</w:t>
                  </w:r>
                </w:p>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项目</w:t>
                  </w:r>
                </w:p>
              </w:tc>
              <w:tc>
                <w:tcPr>
                  <w:tcW w:w="38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硫酸盐</w:t>
                  </w:r>
                </w:p>
              </w:tc>
              <w:tc>
                <w:tcPr>
                  <w:tcW w:w="432"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氯化物</w:t>
                  </w:r>
                </w:p>
              </w:tc>
              <w:tc>
                <w:tcPr>
                  <w:tcW w:w="44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硝酸盐</w:t>
                  </w:r>
                </w:p>
              </w:tc>
              <w:tc>
                <w:tcPr>
                  <w:tcW w:w="35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铁</w:t>
                  </w:r>
                </w:p>
              </w:tc>
              <w:tc>
                <w:tcPr>
                  <w:tcW w:w="33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锰</w:t>
                  </w:r>
                </w:p>
              </w:tc>
              <w:tc>
                <w:tcPr>
                  <w:tcW w:w="51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硫化物</w:t>
                  </w:r>
                </w:p>
              </w:tc>
              <w:tc>
                <w:tcPr>
                  <w:tcW w:w="51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粪大肠菌群</w:t>
                  </w:r>
                </w:p>
              </w:tc>
              <w:tc>
                <w:tcPr>
                  <w:tcW w:w="3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锌</w:t>
                  </w:r>
                </w:p>
              </w:tc>
              <w:tc>
                <w:tcPr>
                  <w:tcW w:w="50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氟化物</w:t>
                  </w:r>
                </w:p>
              </w:tc>
              <w:tc>
                <w:tcPr>
                  <w:tcW w:w="55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246" w:type="pct"/>
                  <w:vMerge w:val="restart"/>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W1</w:t>
                  </w:r>
                </w:p>
              </w:tc>
              <w:tc>
                <w:tcPr>
                  <w:tcW w:w="365"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监测值</w:t>
                  </w:r>
                </w:p>
              </w:tc>
              <w:tc>
                <w:tcPr>
                  <w:tcW w:w="38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432"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44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5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3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1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ND</w:t>
                  </w:r>
                </w:p>
              </w:tc>
              <w:tc>
                <w:tcPr>
                  <w:tcW w:w="51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120~170</w:t>
                  </w:r>
                </w:p>
              </w:tc>
              <w:tc>
                <w:tcPr>
                  <w:tcW w:w="3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ND</w:t>
                  </w:r>
                </w:p>
              </w:tc>
              <w:tc>
                <w:tcPr>
                  <w:tcW w:w="500" w:type="pct"/>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0.147~0.153</w:t>
                  </w:r>
                </w:p>
              </w:tc>
              <w:tc>
                <w:tcPr>
                  <w:tcW w:w="553" w:type="pct"/>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46" w:type="pct"/>
                  <w:vMerge w:val="continue"/>
                  <w:tcBorders>
                    <w:top w:val="nil"/>
                    <w:left w:val="single" w:color="000000" w:sz="8" w:space="0"/>
                    <w:bottom w:val="single" w:color="000000" w:sz="8" w:space="0"/>
                    <w:right w:val="single" w:color="000000" w:sz="8" w:space="0"/>
                  </w:tcBorders>
                  <w:shd w:val="clear" w:color="auto" w:fill="FFFFFF"/>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365"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标准指数</w:t>
                  </w:r>
                </w:p>
              </w:tc>
              <w:tc>
                <w:tcPr>
                  <w:tcW w:w="38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432"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44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5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3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11" w:type="pct"/>
                  <w:tcBorders>
                    <w:top w:val="nil"/>
                    <w:left w:val="nil"/>
                    <w:bottom w:val="single" w:color="000000" w:sz="8" w:space="0"/>
                    <w:right w:val="single" w:color="000000" w:sz="8" w:space="0"/>
                  </w:tcBorders>
                  <w:shd w:val="clear" w:color="auto" w:fill="FFFFFF"/>
                  <w:vAlign w:val="center"/>
                </w:tcPr>
                <w:p>
                  <w:pPr>
                    <w:jc w:val="center"/>
                    <w:rPr>
                      <w:rFonts w:hint="eastAsia"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w:t>
                  </w:r>
                </w:p>
              </w:tc>
              <w:tc>
                <w:tcPr>
                  <w:tcW w:w="510" w:type="pct"/>
                  <w:tcBorders>
                    <w:top w:val="nil"/>
                    <w:left w:val="nil"/>
                    <w:bottom w:val="single" w:color="000000" w:sz="8" w:space="0"/>
                    <w:right w:val="single" w:color="000000" w:sz="8" w:space="0"/>
                  </w:tcBorders>
                  <w:shd w:val="clear" w:color="auto" w:fill="FFFFFF"/>
                  <w:vAlign w:val="center"/>
                </w:tcPr>
                <w:p>
                  <w:pPr>
                    <w:jc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0.012~0.017</w:t>
                  </w:r>
                </w:p>
              </w:tc>
              <w:tc>
                <w:tcPr>
                  <w:tcW w:w="354" w:type="pct"/>
                  <w:tcBorders>
                    <w:top w:val="nil"/>
                    <w:left w:val="nil"/>
                    <w:bottom w:val="single" w:color="000000" w:sz="8" w:space="0"/>
                    <w:right w:val="single" w:color="000000" w:sz="8" w:space="0"/>
                  </w:tcBorders>
                  <w:shd w:val="clear" w:color="auto" w:fill="FFFFFF"/>
                  <w:vAlign w:val="center"/>
                </w:tcPr>
                <w:p>
                  <w:pPr>
                    <w:jc w:val="center"/>
                    <w:rPr>
                      <w:rFonts w:hint="eastAsia"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w:t>
                  </w:r>
                </w:p>
              </w:tc>
              <w:tc>
                <w:tcPr>
                  <w:tcW w:w="500" w:type="pct"/>
                  <w:tcBorders>
                    <w:top w:val="nil"/>
                    <w:left w:val="nil"/>
                    <w:bottom w:val="single" w:color="000000" w:sz="8" w:space="0"/>
                    <w:right w:val="single" w:color="000000" w:sz="8" w:space="0"/>
                  </w:tcBorders>
                  <w:shd w:val="clear" w:color="auto" w:fill="FFFFFF"/>
                  <w:vAlign w:val="center"/>
                </w:tcPr>
                <w:p>
                  <w:pPr>
                    <w:jc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0.147~0.153</w:t>
                  </w:r>
                </w:p>
              </w:tc>
              <w:tc>
                <w:tcPr>
                  <w:tcW w:w="553" w:type="pct"/>
                  <w:tcBorders>
                    <w:top w:val="nil"/>
                    <w:left w:val="nil"/>
                    <w:bottom w:val="single" w:color="000000" w:sz="8" w:space="0"/>
                    <w:right w:val="single" w:color="000000" w:sz="8" w:space="0"/>
                  </w:tcBorders>
                  <w:shd w:val="clear" w:color="auto" w:fill="FFFFFF"/>
                  <w:vAlign w:val="center"/>
                </w:tcPr>
                <w:p>
                  <w:pPr>
                    <w:jc w:val="center"/>
                    <w:rPr>
                      <w:rFonts w:hint="default" w:ascii="Times New Roman" w:hAnsi="Times New Roman" w:eastAsia="宋体" w:cs="Times New Roman"/>
                      <w:i w:val="0"/>
                      <w:iCs w:val="0"/>
                      <w:color w:val="auto"/>
                      <w:sz w:val="18"/>
                      <w:szCs w:val="18"/>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46" w:type="pct"/>
                  <w:vMerge w:val="continue"/>
                  <w:tcBorders>
                    <w:top w:val="nil"/>
                    <w:left w:val="single" w:color="000000" w:sz="8" w:space="0"/>
                    <w:bottom w:val="single" w:color="000000" w:sz="8" w:space="0"/>
                    <w:right w:val="single" w:color="000000" w:sz="8" w:space="0"/>
                  </w:tcBorders>
                  <w:shd w:val="clear" w:color="auto" w:fill="FFFFFF"/>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365"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达标情况</w:t>
                  </w:r>
                </w:p>
              </w:tc>
              <w:tc>
                <w:tcPr>
                  <w:tcW w:w="38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432"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44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5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3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1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51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3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50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55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246" w:type="pct"/>
                  <w:vMerge w:val="restart"/>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W2</w:t>
                  </w:r>
                </w:p>
              </w:tc>
              <w:tc>
                <w:tcPr>
                  <w:tcW w:w="365"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监测值</w:t>
                  </w:r>
                </w:p>
              </w:tc>
              <w:tc>
                <w:tcPr>
                  <w:tcW w:w="38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7.46~7.52</w:t>
                  </w:r>
                </w:p>
              </w:tc>
              <w:tc>
                <w:tcPr>
                  <w:tcW w:w="432"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12.8~13</w:t>
                  </w:r>
                </w:p>
              </w:tc>
              <w:tc>
                <w:tcPr>
                  <w:tcW w:w="44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7.46~7.52</w:t>
                  </w:r>
                </w:p>
              </w:tc>
              <w:tc>
                <w:tcPr>
                  <w:tcW w:w="35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0.04</w:t>
                  </w:r>
                </w:p>
              </w:tc>
              <w:tc>
                <w:tcPr>
                  <w:tcW w:w="33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0.01</w:t>
                  </w:r>
                </w:p>
              </w:tc>
              <w:tc>
                <w:tcPr>
                  <w:tcW w:w="51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ND</w:t>
                  </w:r>
                </w:p>
              </w:tc>
              <w:tc>
                <w:tcPr>
                  <w:tcW w:w="51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50~120</w:t>
                  </w:r>
                </w:p>
              </w:tc>
              <w:tc>
                <w:tcPr>
                  <w:tcW w:w="3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ND</w:t>
                  </w:r>
                </w:p>
              </w:tc>
              <w:tc>
                <w:tcPr>
                  <w:tcW w:w="50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0.113~0.159</w:t>
                  </w:r>
                </w:p>
              </w:tc>
              <w:tc>
                <w:tcPr>
                  <w:tcW w:w="55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46" w:type="pct"/>
                  <w:vMerge w:val="continue"/>
                  <w:tcBorders>
                    <w:top w:val="nil"/>
                    <w:left w:val="single" w:color="000000" w:sz="8" w:space="0"/>
                    <w:bottom w:val="single" w:color="000000" w:sz="8" w:space="0"/>
                    <w:right w:val="single" w:color="000000" w:sz="8" w:space="0"/>
                  </w:tcBorders>
                  <w:shd w:val="clear" w:color="auto" w:fill="FFFFFF"/>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365"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标准指数</w:t>
                  </w:r>
                </w:p>
              </w:tc>
              <w:tc>
                <w:tcPr>
                  <w:tcW w:w="383" w:type="pct"/>
                  <w:tcBorders>
                    <w:top w:val="nil"/>
                    <w:left w:val="nil"/>
                    <w:bottom w:val="single" w:color="000000" w:sz="8" w:space="0"/>
                    <w:right w:val="single" w:color="000000" w:sz="8" w:space="0"/>
                  </w:tcBorders>
                  <w:shd w:val="clear" w:color="auto" w:fill="FFFFFF"/>
                  <w:vAlign w:val="center"/>
                </w:tcPr>
                <w:p>
                  <w:pPr>
                    <w:jc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0.03</w:t>
                  </w:r>
                </w:p>
              </w:tc>
              <w:tc>
                <w:tcPr>
                  <w:tcW w:w="432" w:type="pct"/>
                  <w:tcBorders>
                    <w:top w:val="nil"/>
                    <w:left w:val="nil"/>
                    <w:bottom w:val="single" w:color="000000" w:sz="8" w:space="0"/>
                    <w:right w:val="single" w:color="000000" w:sz="8" w:space="0"/>
                  </w:tcBorders>
                  <w:shd w:val="clear" w:color="auto" w:fill="FFFFFF"/>
                  <w:vAlign w:val="center"/>
                </w:tcPr>
                <w:p>
                  <w:pPr>
                    <w:jc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0.051~0.052</w:t>
                  </w:r>
                </w:p>
              </w:tc>
              <w:tc>
                <w:tcPr>
                  <w:tcW w:w="449" w:type="pct"/>
                  <w:tcBorders>
                    <w:top w:val="nil"/>
                    <w:left w:val="nil"/>
                    <w:bottom w:val="single" w:color="000000" w:sz="8" w:space="0"/>
                    <w:right w:val="single" w:color="000000" w:sz="8" w:space="0"/>
                  </w:tcBorders>
                  <w:shd w:val="clear" w:color="auto" w:fill="FFFFFF"/>
                  <w:vAlign w:val="center"/>
                </w:tcPr>
                <w:p>
                  <w:pPr>
                    <w:jc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0.746~0.752</w:t>
                  </w:r>
                </w:p>
              </w:tc>
              <w:tc>
                <w:tcPr>
                  <w:tcW w:w="359" w:type="pct"/>
                  <w:tcBorders>
                    <w:top w:val="nil"/>
                    <w:left w:val="nil"/>
                    <w:bottom w:val="single" w:color="000000" w:sz="8" w:space="0"/>
                    <w:right w:val="single" w:color="000000" w:sz="8" w:space="0"/>
                  </w:tcBorders>
                  <w:shd w:val="clear" w:color="auto" w:fill="FFFFFF"/>
                  <w:vAlign w:val="center"/>
                </w:tcPr>
                <w:p>
                  <w:pPr>
                    <w:jc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0.13</w:t>
                  </w:r>
                </w:p>
              </w:tc>
              <w:tc>
                <w:tcPr>
                  <w:tcW w:w="331" w:type="pct"/>
                  <w:tcBorders>
                    <w:top w:val="nil"/>
                    <w:left w:val="nil"/>
                    <w:bottom w:val="single" w:color="000000" w:sz="8" w:space="0"/>
                    <w:right w:val="single" w:color="000000" w:sz="8" w:space="0"/>
                  </w:tcBorders>
                  <w:shd w:val="clear" w:color="auto" w:fill="FFFFFF"/>
                  <w:vAlign w:val="center"/>
                </w:tcPr>
                <w:p>
                  <w:pPr>
                    <w:jc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0.1</w:t>
                  </w:r>
                </w:p>
              </w:tc>
              <w:tc>
                <w:tcPr>
                  <w:tcW w:w="511" w:type="pct"/>
                  <w:tcBorders>
                    <w:top w:val="nil"/>
                    <w:left w:val="nil"/>
                    <w:bottom w:val="single" w:color="000000" w:sz="8" w:space="0"/>
                    <w:right w:val="single" w:color="000000" w:sz="8" w:space="0"/>
                  </w:tcBorders>
                  <w:shd w:val="clear" w:color="auto" w:fill="FFFFFF"/>
                  <w:vAlign w:val="center"/>
                </w:tcPr>
                <w:p>
                  <w:pPr>
                    <w:jc w:val="center"/>
                    <w:rPr>
                      <w:rFonts w:hint="eastAsia"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w:t>
                  </w:r>
                </w:p>
              </w:tc>
              <w:tc>
                <w:tcPr>
                  <w:tcW w:w="510" w:type="pct"/>
                  <w:tcBorders>
                    <w:top w:val="nil"/>
                    <w:left w:val="nil"/>
                    <w:bottom w:val="single" w:color="000000" w:sz="8" w:space="0"/>
                    <w:right w:val="single" w:color="000000" w:sz="8" w:space="0"/>
                  </w:tcBorders>
                  <w:shd w:val="clear" w:color="auto" w:fill="FFFFFF"/>
                  <w:vAlign w:val="center"/>
                </w:tcPr>
                <w:p>
                  <w:pPr>
                    <w:jc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0.005~0.012</w:t>
                  </w:r>
                </w:p>
              </w:tc>
              <w:tc>
                <w:tcPr>
                  <w:tcW w:w="354" w:type="pct"/>
                  <w:tcBorders>
                    <w:top w:val="nil"/>
                    <w:left w:val="nil"/>
                    <w:bottom w:val="single" w:color="000000" w:sz="8" w:space="0"/>
                    <w:right w:val="single" w:color="000000" w:sz="8" w:space="0"/>
                  </w:tcBorders>
                  <w:shd w:val="clear" w:color="auto" w:fill="FFFFFF"/>
                  <w:vAlign w:val="center"/>
                </w:tcPr>
                <w:p>
                  <w:pPr>
                    <w:jc w:val="center"/>
                    <w:rPr>
                      <w:rFonts w:hint="eastAsia"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w:t>
                  </w:r>
                </w:p>
              </w:tc>
              <w:tc>
                <w:tcPr>
                  <w:tcW w:w="500" w:type="pct"/>
                  <w:tcBorders>
                    <w:top w:val="nil"/>
                    <w:left w:val="nil"/>
                    <w:bottom w:val="single" w:color="000000" w:sz="8" w:space="0"/>
                    <w:right w:val="single" w:color="000000" w:sz="8" w:space="0"/>
                  </w:tcBorders>
                  <w:shd w:val="clear" w:color="auto" w:fill="FFFFFF"/>
                  <w:vAlign w:val="center"/>
                </w:tcPr>
                <w:p>
                  <w:pPr>
                    <w:jc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0.113~0.159</w:t>
                  </w:r>
                </w:p>
              </w:tc>
              <w:tc>
                <w:tcPr>
                  <w:tcW w:w="553" w:type="pct"/>
                  <w:tcBorders>
                    <w:top w:val="nil"/>
                    <w:left w:val="nil"/>
                    <w:bottom w:val="single" w:color="000000" w:sz="8" w:space="0"/>
                    <w:right w:val="single" w:color="000000" w:sz="8" w:space="0"/>
                  </w:tcBorders>
                  <w:shd w:val="clear" w:color="auto" w:fill="FFFFFF"/>
                  <w:vAlign w:val="center"/>
                </w:tcPr>
                <w:p>
                  <w:pPr>
                    <w:jc w:val="cente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46" w:type="pct"/>
                  <w:vMerge w:val="continue"/>
                  <w:tcBorders>
                    <w:top w:val="nil"/>
                    <w:left w:val="single" w:color="000000" w:sz="8" w:space="0"/>
                    <w:bottom w:val="single" w:color="000000" w:sz="8" w:space="0"/>
                    <w:right w:val="single" w:color="000000" w:sz="8" w:space="0"/>
                  </w:tcBorders>
                  <w:shd w:val="clear" w:color="auto" w:fill="FFFFFF"/>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365"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达标情况</w:t>
                  </w:r>
                </w:p>
              </w:tc>
              <w:tc>
                <w:tcPr>
                  <w:tcW w:w="38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432"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44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35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33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51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51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3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50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55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246" w:type="pct"/>
                  <w:vMerge w:val="restart"/>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W3</w:t>
                  </w:r>
                </w:p>
              </w:tc>
              <w:tc>
                <w:tcPr>
                  <w:tcW w:w="365"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监测值</w:t>
                  </w:r>
                </w:p>
              </w:tc>
              <w:tc>
                <w:tcPr>
                  <w:tcW w:w="38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432"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44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5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3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1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ND</w:t>
                  </w:r>
                </w:p>
              </w:tc>
              <w:tc>
                <w:tcPr>
                  <w:tcW w:w="51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2400~4300</w:t>
                  </w:r>
                </w:p>
              </w:tc>
              <w:tc>
                <w:tcPr>
                  <w:tcW w:w="3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ND</w:t>
                  </w:r>
                </w:p>
              </w:tc>
              <w:tc>
                <w:tcPr>
                  <w:tcW w:w="50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0.084~0.087</w:t>
                  </w:r>
                </w:p>
              </w:tc>
              <w:tc>
                <w:tcPr>
                  <w:tcW w:w="55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46" w:type="pct"/>
                  <w:vMerge w:val="continue"/>
                  <w:tcBorders>
                    <w:top w:val="nil"/>
                    <w:left w:val="single" w:color="000000" w:sz="8" w:space="0"/>
                    <w:bottom w:val="single" w:color="000000" w:sz="8" w:space="0"/>
                    <w:right w:val="single" w:color="000000" w:sz="8" w:space="0"/>
                  </w:tcBorders>
                  <w:shd w:val="clear" w:color="auto" w:fill="FFFFFF"/>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365"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标准指数</w:t>
                  </w:r>
                </w:p>
              </w:tc>
              <w:tc>
                <w:tcPr>
                  <w:tcW w:w="38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432"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44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5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3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11" w:type="pct"/>
                  <w:tcBorders>
                    <w:top w:val="nil"/>
                    <w:left w:val="nil"/>
                    <w:bottom w:val="single" w:color="000000" w:sz="8" w:space="0"/>
                    <w:right w:val="single" w:color="000000" w:sz="8" w:space="0"/>
                  </w:tcBorders>
                  <w:shd w:val="clear" w:color="auto" w:fill="FFFFFF"/>
                  <w:vAlign w:val="center"/>
                </w:tcPr>
                <w:p>
                  <w:pPr>
                    <w:jc w:val="center"/>
                    <w:rPr>
                      <w:rFonts w:hint="eastAsia"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w:t>
                  </w:r>
                </w:p>
              </w:tc>
              <w:tc>
                <w:tcPr>
                  <w:tcW w:w="51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0.24~0.43</w:t>
                  </w:r>
                </w:p>
              </w:tc>
              <w:tc>
                <w:tcPr>
                  <w:tcW w:w="354" w:type="pct"/>
                  <w:tcBorders>
                    <w:top w:val="nil"/>
                    <w:left w:val="nil"/>
                    <w:bottom w:val="single" w:color="000000" w:sz="8" w:space="0"/>
                    <w:right w:val="single" w:color="000000" w:sz="8" w:space="0"/>
                  </w:tcBorders>
                  <w:shd w:val="clear" w:color="auto" w:fill="FFFFFF"/>
                  <w:vAlign w:val="center"/>
                </w:tcPr>
                <w:p>
                  <w:pPr>
                    <w:jc w:val="center"/>
                    <w:rPr>
                      <w:rFonts w:hint="eastAsia"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w:t>
                  </w:r>
                </w:p>
              </w:tc>
              <w:tc>
                <w:tcPr>
                  <w:tcW w:w="500" w:type="pct"/>
                  <w:tcBorders>
                    <w:top w:val="nil"/>
                    <w:left w:val="nil"/>
                    <w:bottom w:val="single" w:color="000000" w:sz="8" w:space="0"/>
                    <w:right w:val="single" w:color="000000" w:sz="8" w:space="0"/>
                  </w:tcBorders>
                  <w:shd w:val="clear" w:color="auto" w:fill="FFFFFF"/>
                  <w:vAlign w:val="center"/>
                </w:tcPr>
                <w:p>
                  <w:pP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0.084~0.087</w:t>
                  </w:r>
                </w:p>
              </w:tc>
              <w:tc>
                <w:tcPr>
                  <w:tcW w:w="553" w:type="pct"/>
                  <w:tcBorders>
                    <w:top w:val="nil"/>
                    <w:left w:val="nil"/>
                    <w:bottom w:val="single" w:color="000000" w:sz="8" w:space="0"/>
                    <w:right w:val="single" w:color="000000" w:sz="8" w:space="0"/>
                  </w:tcBorders>
                  <w:shd w:val="clear" w:color="auto" w:fill="FFFFFF"/>
                  <w:vAlign w:val="center"/>
                </w:tcPr>
                <w:p>
                  <w:pPr>
                    <w:jc w:val="cente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46" w:type="pct"/>
                  <w:vMerge w:val="continue"/>
                  <w:tcBorders>
                    <w:top w:val="nil"/>
                    <w:left w:val="single" w:color="000000" w:sz="8" w:space="0"/>
                    <w:bottom w:val="single" w:color="000000" w:sz="8" w:space="0"/>
                    <w:right w:val="single" w:color="000000" w:sz="8" w:space="0"/>
                  </w:tcBorders>
                  <w:shd w:val="clear" w:color="auto" w:fill="FFFFFF"/>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365"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达标情况</w:t>
                  </w:r>
                </w:p>
              </w:tc>
              <w:tc>
                <w:tcPr>
                  <w:tcW w:w="38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432"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44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5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33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1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51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3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50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达标</w:t>
                  </w:r>
                </w:p>
              </w:tc>
              <w:tc>
                <w:tcPr>
                  <w:tcW w:w="55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611" w:type="pct"/>
                  <w:gridSpan w:val="2"/>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Style w:val="105"/>
                      <w:color w:val="auto"/>
                      <w:sz w:val="18"/>
                      <w:szCs w:val="18"/>
                      <w:highlight w:val="none"/>
                      <w:lang w:val="en-US" w:eastAsia="zh-CN" w:bidi="ar"/>
                    </w:rPr>
                    <w:t>评价标准</w:t>
                  </w:r>
                </w:p>
              </w:tc>
              <w:tc>
                <w:tcPr>
                  <w:tcW w:w="38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≤250</w:t>
                  </w:r>
                </w:p>
              </w:tc>
              <w:tc>
                <w:tcPr>
                  <w:tcW w:w="432"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≤250</w:t>
                  </w:r>
                </w:p>
              </w:tc>
              <w:tc>
                <w:tcPr>
                  <w:tcW w:w="44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359"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≤0.3</w:t>
                  </w:r>
                </w:p>
              </w:tc>
              <w:tc>
                <w:tcPr>
                  <w:tcW w:w="33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≤0.1</w:t>
                  </w:r>
                </w:p>
              </w:tc>
              <w:tc>
                <w:tcPr>
                  <w:tcW w:w="511"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w:t>
                  </w:r>
                </w:p>
              </w:tc>
              <w:tc>
                <w:tcPr>
                  <w:tcW w:w="51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≤10000</w:t>
                  </w:r>
                </w:p>
              </w:tc>
              <w:tc>
                <w:tcPr>
                  <w:tcW w:w="354"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500"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553" w:type="pct"/>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p>
              </w:tc>
            </w:tr>
          </w:tbl>
          <w:p>
            <w:pPr>
              <w:spacing w:line="360" w:lineRule="auto"/>
              <w:ind w:firstLine="420" w:firstLineChars="200"/>
              <w:rPr>
                <w:rFonts w:hint="eastAsia"/>
                <w:color w:val="auto"/>
                <w:sz w:val="21"/>
                <w:szCs w:val="21"/>
                <w:highlight w:val="none"/>
                <w:lang w:val="en-US" w:eastAsia="zh-CN"/>
              </w:rPr>
            </w:pPr>
            <w:r>
              <w:rPr>
                <w:rFonts w:hint="eastAsia"/>
                <w:color w:val="auto"/>
                <w:sz w:val="21"/>
                <w:szCs w:val="21"/>
                <w:highlight w:val="none"/>
                <w:lang w:val="en-US" w:eastAsia="zh-CN"/>
              </w:rPr>
              <w:t>由上表可知，堰沟水库各监测断面各监测因子均满足《地表水环境质量标准》（GB3838 －2002）中Ⅲ类水质标准要求。</w:t>
            </w:r>
          </w:p>
        </w:tc>
      </w:tr>
    </w:tbl>
    <w:p>
      <w:pPr>
        <w:adjustRightInd w:val="0"/>
        <w:snapToGrid w:val="0"/>
        <w:jc w:val="center"/>
        <w:rPr>
          <w:rFonts w:hint="default" w:ascii="Times New Roman" w:hAnsi="Times New Roman" w:eastAsia="宋体" w:cs="Times New Roman"/>
          <w:bCs/>
          <w:color w:val="auto"/>
          <w:szCs w:val="21"/>
          <w:highlight w:val="none"/>
        </w:rPr>
        <w:sectPr>
          <w:pgSz w:w="16838" w:h="11906" w:orient="landscape"/>
          <w:pgMar w:top="1800" w:right="1440" w:bottom="1800" w:left="1440" w:header="851" w:footer="1077" w:gutter="0"/>
          <w:cols w:space="425" w:num="1"/>
          <w:docGrid w:linePitch="312" w:charSpace="0"/>
        </w:sectPr>
      </w:pPr>
    </w:p>
    <w:tbl>
      <w:tblPr>
        <w:tblStyle w:val="29"/>
        <w:tblW w:w="91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2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869" w:type="dxa"/>
            <w:vAlign w:val="center"/>
          </w:tcPr>
          <w:p>
            <w:pPr>
              <w:adjustRightInd w:val="0"/>
              <w:snapToGrid w:val="0"/>
              <w:jc w:val="center"/>
              <w:rPr>
                <w:rFonts w:hint="default" w:ascii="Times New Roman" w:hAnsi="Times New Roman" w:eastAsia="宋体" w:cs="Times New Roman"/>
                <w:bCs/>
                <w:color w:val="auto"/>
                <w:szCs w:val="21"/>
                <w:highlight w:val="none"/>
              </w:rPr>
            </w:pPr>
          </w:p>
        </w:tc>
        <w:tc>
          <w:tcPr>
            <w:tcW w:w="8288" w:type="dxa"/>
            <w:vAlign w:val="top"/>
          </w:tcPr>
          <w:p>
            <w:pPr>
              <w:keepNext w:val="0"/>
              <w:keepLines w:val="0"/>
              <w:pageBreakBefore w:val="0"/>
              <w:widowControl w:val="0"/>
              <w:tabs>
                <w:tab w:val="left" w:pos="662"/>
              </w:tabs>
              <w:kinsoku/>
              <w:wordWrap/>
              <w:overflowPunct/>
              <w:topLinePunct w:val="0"/>
              <w:autoSpaceDE/>
              <w:autoSpaceDN/>
              <w:bidi w:val="0"/>
              <w:adjustRightInd w:val="0"/>
              <w:snapToGrid w:val="0"/>
              <w:spacing w:line="360" w:lineRule="auto"/>
              <w:ind w:firstLine="422" w:firstLineChars="200"/>
              <w:textAlignment w:val="auto"/>
              <w:rPr>
                <w:rFonts w:hint="eastAsia" w:ascii="Times New Roman" w:hAnsi="Times New Roman" w:eastAsia="宋体" w:cs="Times New Roman"/>
                <w:b/>
                <w:bCs/>
                <w:color w:val="auto"/>
                <w:kern w:val="0"/>
                <w:sz w:val="21"/>
                <w:szCs w:val="21"/>
                <w:highlight w:val="none"/>
              </w:rPr>
            </w:pPr>
            <w:r>
              <w:rPr>
                <w:rFonts w:hint="eastAsia" w:ascii="Times New Roman" w:hAnsi="Times New Roman" w:eastAsia="宋体" w:cs="Times New Roman"/>
                <w:b/>
                <w:bCs/>
                <w:color w:val="auto"/>
                <w:kern w:val="0"/>
                <w:sz w:val="21"/>
                <w:szCs w:val="21"/>
                <w:highlight w:val="none"/>
                <w:lang w:val="en-US" w:eastAsia="zh-CN"/>
              </w:rPr>
              <w:t>3.1.</w:t>
            </w:r>
            <w:r>
              <w:rPr>
                <w:rFonts w:hint="eastAsia" w:cs="Times New Roman"/>
                <w:b/>
                <w:bCs/>
                <w:color w:val="auto"/>
                <w:kern w:val="0"/>
                <w:sz w:val="21"/>
                <w:szCs w:val="21"/>
                <w:highlight w:val="none"/>
                <w:lang w:val="en-US" w:eastAsia="zh-CN"/>
              </w:rPr>
              <w:t>5</w:t>
            </w:r>
            <w:r>
              <w:rPr>
                <w:rFonts w:hint="eastAsia" w:ascii="Times New Roman" w:hAnsi="Times New Roman" w:eastAsia="宋体" w:cs="Times New Roman"/>
                <w:b/>
                <w:bCs/>
                <w:color w:val="auto"/>
                <w:kern w:val="0"/>
                <w:sz w:val="21"/>
                <w:szCs w:val="21"/>
                <w:highlight w:val="none"/>
                <w:lang w:val="en-US" w:eastAsia="zh-CN"/>
              </w:rPr>
              <w:t>.4土壤环境</w:t>
            </w:r>
            <w:r>
              <w:rPr>
                <w:rFonts w:hint="eastAsia" w:ascii="Times New Roman" w:hAnsi="Times New Roman" w:eastAsia="宋体" w:cs="Times New Roman"/>
                <w:b/>
                <w:bCs/>
                <w:color w:val="auto"/>
                <w:kern w:val="0"/>
                <w:sz w:val="21"/>
                <w:szCs w:val="21"/>
                <w:highlight w:val="none"/>
              </w:rPr>
              <w:t>质量现状</w:t>
            </w:r>
          </w:p>
          <w:p>
            <w:pPr>
              <w:keepNext w:val="0"/>
              <w:keepLines w:val="0"/>
              <w:pageBreakBefore w:val="0"/>
              <w:widowControl w:val="0"/>
              <w:tabs>
                <w:tab w:val="left" w:pos="662"/>
              </w:tabs>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为了解本工程底泥环境质量现状，本评价布置 1 个底泥监测点对本工程土壤环境质量进行了监测。</w:t>
            </w:r>
          </w:p>
          <w:p>
            <w:pPr>
              <w:keepNext w:val="0"/>
              <w:keepLines w:val="0"/>
              <w:pageBreakBefore w:val="0"/>
              <w:widowControl w:val="0"/>
              <w:tabs>
                <w:tab w:val="left" w:pos="662"/>
              </w:tabs>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（1）监测方案</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表</w:t>
            </w:r>
            <w:r>
              <w:rPr>
                <w:rFonts w:hint="eastAsia" w:ascii="Times New Roman" w:hAnsi="Times New Roman" w:eastAsia="宋体" w:cs="Times New Roman"/>
                <w:b w:val="0"/>
                <w:bCs w:val="0"/>
                <w:color w:val="auto"/>
                <w:kern w:val="0"/>
                <w:sz w:val="21"/>
                <w:szCs w:val="21"/>
                <w:highlight w:val="none"/>
                <w:lang w:val="en-US" w:eastAsia="zh-CN"/>
              </w:rPr>
              <w:t>3</w:t>
            </w:r>
            <w:r>
              <w:rPr>
                <w:rFonts w:hint="eastAsia" w:cs="Times New Roman"/>
                <w:b w:val="0"/>
                <w:bCs w:val="0"/>
                <w:color w:val="auto"/>
                <w:kern w:val="0"/>
                <w:sz w:val="21"/>
                <w:szCs w:val="21"/>
                <w:highlight w:val="none"/>
                <w:lang w:val="en-US" w:eastAsia="zh-CN"/>
              </w:rPr>
              <w:t>.1.5</w:t>
            </w:r>
            <w:r>
              <w:rPr>
                <w:rFonts w:hint="default" w:ascii="Times New Roman" w:hAnsi="Times New Roman" w:eastAsia="宋体" w:cs="Times New Roman"/>
                <w:b w:val="0"/>
                <w:bCs w:val="0"/>
                <w:color w:val="auto"/>
                <w:kern w:val="0"/>
                <w:sz w:val="21"/>
                <w:szCs w:val="21"/>
                <w:highlight w:val="none"/>
              </w:rPr>
              <w:t>-</w:t>
            </w:r>
            <w:r>
              <w:rPr>
                <w:rFonts w:hint="eastAsia" w:ascii="Times New Roman" w:hAnsi="Times New Roman" w:eastAsia="宋体" w:cs="Times New Roman"/>
                <w:b w:val="0"/>
                <w:bCs w:val="0"/>
                <w:color w:val="auto"/>
                <w:kern w:val="0"/>
                <w:sz w:val="21"/>
                <w:szCs w:val="21"/>
                <w:highlight w:val="none"/>
                <w:lang w:val="en-US" w:eastAsia="zh-CN"/>
              </w:rPr>
              <w:t>4</w:t>
            </w:r>
            <w:r>
              <w:rPr>
                <w:rFonts w:hint="default" w:ascii="Times New Roman" w:hAnsi="Times New Roman" w:eastAsia="宋体" w:cs="Times New Roman"/>
                <w:b w:val="0"/>
                <w:bCs w:val="0"/>
                <w:color w:val="auto"/>
                <w:kern w:val="0"/>
                <w:sz w:val="21"/>
                <w:szCs w:val="21"/>
                <w:highlight w:val="none"/>
              </w:rPr>
              <w:t xml:space="preserve">  </w:t>
            </w:r>
            <w:r>
              <w:rPr>
                <w:rFonts w:hint="eastAsia" w:ascii="Times New Roman" w:hAnsi="Times New Roman" w:eastAsia="宋体" w:cs="Times New Roman"/>
                <w:b w:val="0"/>
                <w:bCs w:val="0"/>
                <w:color w:val="auto"/>
                <w:kern w:val="0"/>
                <w:sz w:val="21"/>
                <w:szCs w:val="21"/>
                <w:highlight w:val="none"/>
                <w:lang w:val="en-US" w:eastAsia="zh-CN"/>
              </w:rPr>
              <w:t>土壤</w:t>
            </w:r>
            <w:r>
              <w:rPr>
                <w:rFonts w:hint="default" w:ascii="Times New Roman" w:hAnsi="Times New Roman" w:eastAsia="宋体" w:cs="Times New Roman"/>
                <w:b w:val="0"/>
                <w:bCs w:val="0"/>
                <w:color w:val="auto"/>
                <w:kern w:val="0"/>
                <w:sz w:val="21"/>
                <w:szCs w:val="21"/>
                <w:highlight w:val="none"/>
              </w:rPr>
              <w:t>现状监测点位、监测因子一览表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2"/>
              <w:gridCol w:w="3283"/>
              <w:gridCol w:w="3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43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监测点位</w:t>
                  </w:r>
                </w:p>
              </w:tc>
              <w:tc>
                <w:tcPr>
                  <w:tcW w:w="328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监测因子</w:t>
                  </w:r>
                </w:p>
              </w:tc>
              <w:tc>
                <w:tcPr>
                  <w:tcW w:w="33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43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T1（</w:t>
                  </w:r>
                  <w:r>
                    <w:rPr>
                      <w:rFonts w:hint="eastAsia"/>
                      <w:color w:val="auto"/>
                      <w:sz w:val="18"/>
                      <w:szCs w:val="18"/>
                      <w:highlight w:val="none"/>
                      <w:lang w:val="en-US" w:eastAsia="zh-CN"/>
                    </w:rPr>
                    <w:t>库区底泥</w:t>
                  </w:r>
                  <w:r>
                    <w:rPr>
                      <w:rFonts w:hint="eastAsia"/>
                      <w:color w:val="auto"/>
                      <w:sz w:val="18"/>
                      <w:szCs w:val="18"/>
                      <w:highlight w:val="none"/>
                      <w:vertAlign w:val="baseline"/>
                      <w:lang w:val="en-US" w:eastAsia="zh-CN"/>
                    </w:rPr>
                    <w:t>）</w:t>
                  </w:r>
                </w:p>
              </w:tc>
              <w:tc>
                <w:tcPr>
                  <w:tcW w:w="3283" w:type="dxa"/>
                  <w:vAlign w:val="center"/>
                </w:tcPr>
                <w:p>
                  <w:pPr>
                    <w:keepNext w:val="0"/>
                    <w:keepLines w:val="0"/>
                    <w:widowControl/>
                    <w:suppressLineNumbers w:val="0"/>
                    <w:jc w:val="left"/>
                    <w:rPr>
                      <w:rFonts w:hint="default" w:asciiTheme="minorHAnsi" w:hAnsiTheme="minorHAnsi" w:eastAsiaTheme="minorEastAsia" w:cstheme="minorBidi"/>
                      <w:color w:val="auto"/>
                      <w:kern w:val="2"/>
                      <w:sz w:val="18"/>
                      <w:szCs w:val="18"/>
                      <w:highlight w:val="none"/>
                      <w:vertAlign w:val="baseline"/>
                      <w:lang w:val="en-US" w:eastAsia="zh-CN" w:bidi="ar-SA"/>
                    </w:rPr>
                  </w:pPr>
                  <w:r>
                    <w:rPr>
                      <w:rFonts w:hint="default" w:ascii="Times New Roman" w:hAnsi="Times New Roman" w:eastAsia="宋体" w:cs="Times New Roman"/>
                      <w:color w:val="auto"/>
                      <w:kern w:val="0"/>
                      <w:sz w:val="18"/>
                      <w:szCs w:val="18"/>
                      <w:highlight w:val="none"/>
                      <w:lang w:val="en-US" w:eastAsia="zh-CN" w:bidi="ar"/>
                    </w:rPr>
                    <w:t>pH</w:t>
                  </w:r>
                  <w:r>
                    <w:rPr>
                      <w:rFonts w:hint="eastAsia" w:ascii="宋体" w:hAnsi="宋体" w:eastAsia="宋体" w:cs="宋体"/>
                      <w:color w:val="auto"/>
                      <w:kern w:val="0"/>
                      <w:sz w:val="18"/>
                      <w:szCs w:val="18"/>
                      <w:highlight w:val="none"/>
                      <w:lang w:val="en-US" w:eastAsia="zh-CN" w:bidi="ar"/>
                    </w:rPr>
                    <w:t>、镉、汞、砷、铅、铬、铜、镍、锌</w:t>
                  </w:r>
                </w:p>
              </w:tc>
              <w:tc>
                <w:tcPr>
                  <w:tcW w:w="334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2024年1月11日</w:t>
                  </w:r>
                  <w:r>
                    <w:rPr>
                      <w:rFonts w:hint="default"/>
                      <w:color w:val="auto"/>
                      <w:sz w:val="18"/>
                      <w:szCs w:val="18"/>
                      <w:highlight w:val="none"/>
                      <w:vertAlign w:val="baseline"/>
                      <w:lang w:val="en-US" w:eastAsia="zh-CN"/>
                    </w:rPr>
                    <w:t xml:space="preserve">监测 </w:t>
                  </w:r>
                  <w:r>
                    <w:rPr>
                      <w:rFonts w:hint="eastAsia"/>
                      <w:color w:val="auto"/>
                      <w:sz w:val="18"/>
                      <w:szCs w:val="18"/>
                      <w:highlight w:val="none"/>
                      <w:vertAlign w:val="baseline"/>
                      <w:lang w:val="en-US" w:eastAsia="zh-CN"/>
                    </w:rPr>
                    <w:t xml:space="preserve">1 </w:t>
                  </w:r>
                  <w:r>
                    <w:rPr>
                      <w:rFonts w:hint="default"/>
                      <w:color w:val="auto"/>
                      <w:sz w:val="18"/>
                      <w:szCs w:val="18"/>
                      <w:highlight w:val="none"/>
                      <w:vertAlign w:val="baseline"/>
                      <w:lang w:val="en-US" w:eastAsia="zh-CN"/>
                    </w:rPr>
                    <w:t>天，每日 1 次</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②采样方法及分析：《土壤环境监测技术规范》（HJ/T166 -2004） 、土壤环境质量 农用地土壤污染风险管控标准》（GB/15618-2018）等要求进行。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评价采用单项污染指数法，计算公式为： </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Pi=Ci/Si</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式中： Pi——单项污染指数（无量纲）；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Ci——i 污染物在采样点的实测浓度；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Si——i 污染物的环境质量标准（污染物的环境质量标准 mg/kg）；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bidi="ar"/>
              </w:rPr>
              <w:t>（2）</w:t>
            </w:r>
            <w:r>
              <w:rPr>
                <w:rFonts w:hint="default" w:ascii="Times New Roman" w:hAnsi="Times New Roman" w:eastAsia="宋体" w:cs="Times New Roman"/>
                <w:color w:val="auto"/>
                <w:kern w:val="0"/>
                <w:sz w:val="21"/>
                <w:szCs w:val="21"/>
                <w:highlight w:val="none"/>
                <w:lang w:val="en-US" w:eastAsia="zh-CN" w:bidi="ar"/>
              </w:rPr>
              <w:t xml:space="preserve">监测结果及分析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底泥监测及评价结果见表 </w:t>
            </w:r>
            <w:r>
              <w:rPr>
                <w:rFonts w:hint="eastAsia" w:ascii="Times New Roman" w:hAnsi="Times New Roman" w:eastAsia="宋体" w:cs="Times New Roman"/>
                <w:b w:val="0"/>
                <w:bCs w:val="0"/>
                <w:color w:val="auto"/>
                <w:kern w:val="0"/>
                <w:sz w:val="21"/>
                <w:szCs w:val="21"/>
                <w:highlight w:val="none"/>
                <w:lang w:val="en-US" w:eastAsia="zh-CN"/>
              </w:rPr>
              <w:t>3</w:t>
            </w:r>
            <w:r>
              <w:rPr>
                <w:rFonts w:hint="eastAsia" w:cs="Times New Roman"/>
                <w:b w:val="0"/>
                <w:bCs w:val="0"/>
                <w:color w:val="auto"/>
                <w:kern w:val="0"/>
                <w:sz w:val="21"/>
                <w:szCs w:val="21"/>
                <w:highlight w:val="none"/>
                <w:lang w:val="en-US" w:eastAsia="zh-CN"/>
              </w:rPr>
              <w:t>.1.5</w:t>
            </w:r>
            <w:r>
              <w:rPr>
                <w:rFonts w:hint="default" w:ascii="Times New Roman" w:hAnsi="Times New Roman" w:eastAsia="宋体" w:cs="Times New Roman"/>
                <w:b w:val="0"/>
                <w:bCs w:val="0"/>
                <w:color w:val="auto"/>
                <w:kern w:val="0"/>
                <w:sz w:val="21"/>
                <w:szCs w:val="21"/>
                <w:highlight w:val="none"/>
              </w:rPr>
              <w:t>-</w:t>
            </w:r>
            <w:r>
              <w:rPr>
                <w:rFonts w:hint="eastAsia" w:ascii="Times New Roman" w:hAnsi="Times New Roman" w:eastAsia="宋体" w:cs="Times New Roman"/>
                <w:b w:val="0"/>
                <w:bCs w:val="0"/>
                <w:color w:val="auto"/>
                <w:kern w:val="0"/>
                <w:sz w:val="21"/>
                <w:szCs w:val="21"/>
                <w:highlight w:val="none"/>
                <w:lang w:val="en-US" w:eastAsia="zh-CN"/>
              </w:rPr>
              <w:t>5</w:t>
            </w:r>
            <w:r>
              <w:rPr>
                <w:rFonts w:hint="default" w:ascii="Times New Roman" w:hAnsi="Times New Roman" w:eastAsia="宋体" w:cs="Times New Roman"/>
                <w:color w:val="auto"/>
                <w:kern w:val="0"/>
                <w:sz w:val="21"/>
                <w:szCs w:val="21"/>
                <w:highlight w:val="none"/>
                <w:lang w:val="en-US" w:eastAsia="zh-CN" w:bidi="ar"/>
              </w:rPr>
              <w:t>。</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表</w:t>
            </w:r>
            <w:r>
              <w:rPr>
                <w:rFonts w:hint="eastAsia" w:ascii="Times New Roman" w:hAnsi="Times New Roman" w:eastAsia="宋体" w:cs="Times New Roman"/>
                <w:b w:val="0"/>
                <w:bCs w:val="0"/>
                <w:color w:val="auto"/>
                <w:kern w:val="0"/>
                <w:sz w:val="21"/>
                <w:szCs w:val="21"/>
                <w:highlight w:val="none"/>
                <w:lang w:val="en-US" w:eastAsia="zh-CN"/>
              </w:rPr>
              <w:t>3</w:t>
            </w:r>
            <w:r>
              <w:rPr>
                <w:rFonts w:hint="eastAsia" w:cs="Times New Roman"/>
                <w:b w:val="0"/>
                <w:bCs w:val="0"/>
                <w:color w:val="auto"/>
                <w:kern w:val="0"/>
                <w:sz w:val="21"/>
                <w:szCs w:val="21"/>
                <w:highlight w:val="none"/>
                <w:lang w:val="en-US" w:eastAsia="zh-CN"/>
              </w:rPr>
              <w:t>.1.5</w:t>
            </w:r>
            <w:r>
              <w:rPr>
                <w:rFonts w:hint="default" w:ascii="Times New Roman" w:hAnsi="Times New Roman" w:eastAsia="宋体" w:cs="Times New Roman"/>
                <w:b w:val="0"/>
                <w:bCs w:val="0"/>
                <w:color w:val="auto"/>
                <w:kern w:val="0"/>
                <w:sz w:val="21"/>
                <w:szCs w:val="21"/>
                <w:highlight w:val="none"/>
              </w:rPr>
              <w:t>-</w:t>
            </w:r>
            <w:r>
              <w:rPr>
                <w:rFonts w:hint="eastAsia" w:ascii="Times New Roman" w:hAnsi="Times New Roman" w:eastAsia="宋体" w:cs="Times New Roman"/>
                <w:b w:val="0"/>
                <w:bCs w:val="0"/>
                <w:color w:val="auto"/>
                <w:kern w:val="0"/>
                <w:sz w:val="21"/>
                <w:szCs w:val="21"/>
                <w:highlight w:val="none"/>
                <w:lang w:val="en-US" w:eastAsia="zh-CN"/>
              </w:rPr>
              <w:t>5</w:t>
            </w:r>
            <w:r>
              <w:rPr>
                <w:rFonts w:hint="default" w:ascii="Times New Roman" w:hAnsi="Times New Roman" w:eastAsia="宋体" w:cs="Times New Roman"/>
                <w:b w:val="0"/>
                <w:bCs w:val="0"/>
                <w:color w:val="auto"/>
                <w:kern w:val="0"/>
                <w:sz w:val="21"/>
                <w:szCs w:val="21"/>
                <w:highlight w:val="none"/>
              </w:rPr>
              <w:t xml:space="preserve">  </w:t>
            </w:r>
            <w:r>
              <w:rPr>
                <w:rFonts w:hint="eastAsia" w:ascii="Times New Roman" w:hAnsi="Times New Roman" w:eastAsia="宋体" w:cs="Times New Roman"/>
                <w:b w:val="0"/>
                <w:bCs w:val="0"/>
                <w:color w:val="auto"/>
                <w:kern w:val="0"/>
                <w:sz w:val="21"/>
                <w:szCs w:val="21"/>
                <w:highlight w:val="none"/>
                <w:lang w:val="en-US" w:eastAsia="zh-CN"/>
              </w:rPr>
              <w:t>土壤</w:t>
            </w:r>
            <w:r>
              <w:rPr>
                <w:rFonts w:hint="default" w:ascii="Times New Roman" w:hAnsi="Times New Roman" w:eastAsia="宋体" w:cs="Times New Roman"/>
                <w:b w:val="0"/>
                <w:bCs w:val="0"/>
                <w:color w:val="auto"/>
                <w:kern w:val="0"/>
                <w:sz w:val="21"/>
                <w:szCs w:val="21"/>
                <w:highlight w:val="none"/>
              </w:rPr>
              <w:t>现状</w:t>
            </w:r>
            <w:r>
              <w:rPr>
                <w:rFonts w:hint="eastAsia" w:ascii="Times New Roman" w:hAnsi="Times New Roman" w:eastAsia="宋体" w:cs="Times New Roman"/>
                <w:b w:val="0"/>
                <w:bCs w:val="0"/>
                <w:color w:val="auto"/>
                <w:kern w:val="0"/>
                <w:sz w:val="21"/>
                <w:szCs w:val="21"/>
                <w:highlight w:val="none"/>
                <w:lang w:val="en-US" w:eastAsia="zh-CN"/>
              </w:rPr>
              <w:t>结果</w:t>
            </w:r>
            <w:r>
              <w:rPr>
                <w:rFonts w:hint="default" w:ascii="Times New Roman" w:hAnsi="Times New Roman" w:eastAsia="宋体" w:cs="Times New Roman"/>
                <w:b w:val="0"/>
                <w:bCs w:val="0"/>
                <w:color w:val="auto"/>
                <w:kern w:val="0"/>
                <w:sz w:val="21"/>
                <w:szCs w:val="21"/>
                <w:highlight w:val="none"/>
              </w:rPr>
              <w:t>一览表</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957"/>
              <w:gridCol w:w="1849"/>
              <w:gridCol w:w="2282"/>
              <w:gridCol w:w="1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trPr>
              <w:tc>
                <w:tcPr>
                  <w:tcW w:w="121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Style w:val="107"/>
                      <w:rFonts w:hint="default" w:ascii="Times New Roman" w:hAnsi="Times New Roman" w:cs="Times New Roman"/>
                      <w:color w:val="auto"/>
                      <w:sz w:val="18"/>
                      <w:szCs w:val="18"/>
                      <w:highlight w:val="none"/>
                      <w:lang w:val="en-US" w:eastAsia="zh-CN" w:bidi="ar"/>
                    </w:rPr>
                  </w:pPr>
                  <w:r>
                    <w:rPr>
                      <w:rStyle w:val="107"/>
                      <w:rFonts w:hint="default" w:ascii="Times New Roman" w:hAnsi="Times New Roman" w:cs="Times New Roman"/>
                      <w:color w:val="auto"/>
                      <w:sz w:val="18"/>
                      <w:szCs w:val="18"/>
                      <w:highlight w:val="none"/>
                      <w:lang w:val="en-US" w:eastAsia="zh-CN" w:bidi="ar"/>
                    </w:rPr>
                    <w:t>类别</w:t>
                  </w:r>
                </w:p>
              </w:tc>
              <w:tc>
                <w:tcPr>
                  <w:tcW w:w="114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Style w:val="107"/>
                      <w:rFonts w:hint="default" w:ascii="Times New Roman" w:hAnsi="Times New Roman" w:cs="Times New Roman"/>
                      <w:color w:val="auto"/>
                      <w:sz w:val="18"/>
                      <w:szCs w:val="18"/>
                      <w:highlight w:val="none"/>
                      <w:lang w:val="en-US" w:eastAsia="zh-CN" w:bidi="ar"/>
                    </w:rPr>
                  </w:pPr>
                  <w:r>
                    <w:rPr>
                      <w:rStyle w:val="107"/>
                      <w:rFonts w:hint="default" w:ascii="Times New Roman" w:hAnsi="Times New Roman" w:cs="Times New Roman"/>
                      <w:color w:val="auto"/>
                      <w:sz w:val="18"/>
                      <w:szCs w:val="18"/>
                      <w:highlight w:val="none"/>
                      <w:lang w:val="en-US" w:eastAsia="zh-CN" w:bidi="ar"/>
                    </w:rPr>
                    <w:t>检测项目</w:t>
                  </w:r>
                </w:p>
              </w:tc>
              <w:tc>
                <w:tcPr>
                  <w:tcW w:w="141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Style w:val="107"/>
                      <w:rFonts w:hint="default" w:ascii="Times New Roman" w:hAnsi="Times New Roman" w:cs="Times New Roman"/>
                      <w:color w:val="auto"/>
                      <w:sz w:val="18"/>
                      <w:szCs w:val="18"/>
                      <w:highlight w:val="none"/>
                      <w:lang w:val="en-US" w:eastAsia="zh-CN" w:bidi="ar"/>
                    </w:rPr>
                  </w:pPr>
                  <w:r>
                    <w:rPr>
                      <w:rStyle w:val="107"/>
                      <w:rFonts w:hint="default" w:ascii="Times New Roman" w:hAnsi="Times New Roman" w:cs="Times New Roman"/>
                      <w:color w:val="auto"/>
                      <w:sz w:val="18"/>
                      <w:szCs w:val="18"/>
                      <w:highlight w:val="none"/>
                      <w:lang w:val="en-US" w:eastAsia="zh-CN" w:bidi="ar"/>
                    </w:rPr>
                    <w:t>单位</w:t>
                  </w:r>
                </w:p>
              </w:tc>
              <w:tc>
                <w:tcPr>
                  <w:tcW w:w="122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Style w:val="107"/>
                      <w:rFonts w:hint="eastAsia" w:ascii="Times New Roman" w:hAnsi="Times New Roman" w:cs="Times New Roman"/>
                      <w:color w:val="auto"/>
                      <w:sz w:val="18"/>
                      <w:szCs w:val="18"/>
                      <w:highlight w:val="none"/>
                      <w:lang w:val="en-US" w:eastAsia="zh-CN" w:bidi="ar"/>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1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i w:val="0"/>
                      <w:iCs w:val="0"/>
                      <w:color w:val="auto"/>
                      <w:sz w:val="18"/>
                      <w:szCs w:val="18"/>
                      <w:highlight w:val="none"/>
                      <w:u w:val="none"/>
                    </w:rPr>
                  </w:pPr>
                  <w:r>
                    <w:rPr>
                      <w:rStyle w:val="107"/>
                      <w:rFonts w:hint="default" w:ascii="Times New Roman" w:hAnsi="Times New Roman" w:cs="Times New Roman"/>
                      <w:color w:val="auto"/>
                      <w:sz w:val="18"/>
                      <w:szCs w:val="18"/>
                      <w:highlight w:val="none"/>
                      <w:lang w:val="en-US" w:eastAsia="zh-CN" w:bidi="ar"/>
                    </w:rPr>
                    <w:t>理化特性</w:t>
                  </w:r>
                </w:p>
              </w:tc>
              <w:tc>
                <w:tcPr>
                  <w:tcW w:w="1147"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pH</w:t>
                  </w:r>
                </w:p>
              </w:tc>
              <w:tc>
                <w:tcPr>
                  <w:tcW w:w="141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i w:val="0"/>
                      <w:iCs w:val="0"/>
                      <w:color w:val="auto"/>
                      <w:sz w:val="18"/>
                      <w:szCs w:val="18"/>
                      <w:highlight w:val="none"/>
                      <w:u w:val="none"/>
                    </w:rPr>
                  </w:pPr>
                  <w:r>
                    <w:rPr>
                      <w:rStyle w:val="107"/>
                      <w:rFonts w:hint="default" w:ascii="Times New Roman" w:hAnsi="Times New Roman" w:cs="Times New Roman"/>
                      <w:color w:val="auto"/>
                      <w:sz w:val="18"/>
                      <w:szCs w:val="18"/>
                      <w:highlight w:val="none"/>
                      <w:lang w:val="en-US" w:eastAsia="zh-CN" w:bidi="ar"/>
                    </w:rPr>
                    <w:t>无量纲</w:t>
                  </w:r>
                </w:p>
              </w:tc>
              <w:tc>
                <w:tcPr>
                  <w:tcW w:w="122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0"/>
                      <w:sz w:val="20"/>
                      <w:szCs w:val="20"/>
                      <w:highlight w:val="none"/>
                      <w:u w:val="none"/>
                      <w:lang w:val="en-US" w:eastAsia="zh-CN" w:bidi="ar"/>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14"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i w:val="0"/>
                      <w:iCs w:val="0"/>
                      <w:color w:val="auto"/>
                      <w:sz w:val="18"/>
                      <w:szCs w:val="18"/>
                      <w:highlight w:val="none"/>
                      <w:u w:val="none"/>
                    </w:rPr>
                  </w:pPr>
                  <w:r>
                    <w:rPr>
                      <w:rStyle w:val="107"/>
                      <w:rFonts w:hint="default" w:ascii="Times New Roman" w:hAnsi="Times New Roman" w:cs="Times New Roman"/>
                      <w:color w:val="auto"/>
                      <w:sz w:val="18"/>
                      <w:szCs w:val="18"/>
                      <w:highlight w:val="none"/>
                      <w:lang w:val="en-US" w:eastAsia="zh-CN" w:bidi="ar"/>
                    </w:rPr>
                    <w:t>重金属和无机物</w:t>
                  </w:r>
                </w:p>
              </w:tc>
              <w:tc>
                <w:tcPr>
                  <w:tcW w:w="1147"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i w:val="0"/>
                      <w:iCs w:val="0"/>
                      <w:color w:val="auto"/>
                      <w:sz w:val="18"/>
                      <w:szCs w:val="18"/>
                      <w:highlight w:val="none"/>
                      <w:u w:val="none"/>
                    </w:rPr>
                  </w:pPr>
                  <w:r>
                    <w:rPr>
                      <w:rFonts w:hint="eastAsia" w:ascii="宋体" w:hAnsi="宋体" w:eastAsia="宋体" w:cs="宋体"/>
                      <w:i w:val="0"/>
                      <w:iCs w:val="0"/>
                      <w:color w:val="auto"/>
                      <w:kern w:val="0"/>
                      <w:sz w:val="20"/>
                      <w:szCs w:val="20"/>
                      <w:highlight w:val="none"/>
                      <w:u w:val="none"/>
                      <w:lang w:val="en-US" w:eastAsia="zh-CN" w:bidi="ar"/>
                    </w:rPr>
                    <w:t>镉</w:t>
                  </w:r>
                </w:p>
              </w:tc>
              <w:tc>
                <w:tcPr>
                  <w:tcW w:w="141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i w:val="0"/>
                      <w:iCs w:val="0"/>
                      <w:color w:val="auto"/>
                      <w:sz w:val="18"/>
                      <w:szCs w:val="18"/>
                      <w:highlight w:val="none"/>
                      <w:u w:val="none"/>
                    </w:rPr>
                  </w:pPr>
                  <w:r>
                    <w:rPr>
                      <w:rStyle w:val="107"/>
                      <w:rFonts w:hint="default" w:ascii="Times New Roman" w:hAnsi="Times New Roman" w:cs="Times New Roman"/>
                      <w:color w:val="auto"/>
                      <w:sz w:val="18"/>
                      <w:szCs w:val="18"/>
                      <w:highlight w:val="none"/>
                      <w:lang w:val="en-US" w:eastAsia="zh-CN" w:bidi="ar"/>
                    </w:rPr>
                    <w:t>mg/kg</w:t>
                  </w:r>
                </w:p>
              </w:tc>
              <w:tc>
                <w:tcPr>
                  <w:tcW w:w="122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0"/>
                      <w:sz w:val="20"/>
                      <w:szCs w:val="20"/>
                      <w:highlight w:val="none"/>
                      <w:u w:val="none"/>
                      <w:lang w:val="en-US" w:eastAsia="zh-CN" w:bidi="ar"/>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14"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i w:val="0"/>
                      <w:iCs w:val="0"/>
                      <w:color w:val="auto"/>
                      <w:sz w:val="18"/>
                      <w:szCs w:val="18"/>
                      <w:highlight w:val="none"/>
                      <w:u w:val="none"/>
                    </w:rPr>
                  </w:pPr>
                </w:p>
              </w:tc>
              <w:tc>
                <w:tcPr>
                  <w:tcW w:w="1147"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i w:val="0"/>
                      <w:iCs w:val="0"/>
                      <w:color w:val="auto"/>
                      <w:sz w:val="18"/>
                      <w:szCs w:val="18"/>
                      <w:highlight w:val="none"/>
                      <w:u w:val="none"/>
                    </w:rPr>
                  </w:pPr>
                  <w:r>
                    <w:rPr>
                      <w:rFonts w:hint="eastAsia" w:ascii="宋体" w:hAnsi="宋体" w:eastAsia="宋体" w:cs="宋体"/>
                      <w:i w:val="0"/>
                      <w:iCs w:val="0"/>
                      <w:color w:val="auto"/>
                      <w:kern w:val="0"/>
                      <w:sz w:val="20"/>
                      <w:szCs w:val="20"/>
                      <w:highlight w:val="none"/>
                      <w:u w:val="none"/>
                      <w:lang w:val="en-US" w:eastAsia="zh-CN" w:bidi="ar"/>
                    </w:rPr>
                    <w:t>汞</w:t>
                  </w:r>
                </w:p>
              </w:tc>
              <w:tc>
                <w:tcPr>
                  <w:tcW w:w="141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bottom"/>
                    <w:rPr>
                      <w:rFonts w:hint="default" w:ascii="Times New Roman" w:hAnsi="Times New Roman" w:cs="Times New Roman"/>
                      <w:i w:val="0"/>
                      <w:iCs w:val="0"/>
                      <w:color w:val="auto"/>
                      <w:sz w:val="18"/>
                      <w:szCs w:val="18"/>
                      <w:highlight w:val="none"/>
                      <w:u w:val="none"/>
                    </w:rPr>
                  </w:pPr>
                  <w:r>
                    <w:rPr>
                      <w:rStyle w:val="107"/>
                      <w:rFonts w:hint="default" w:ascii="Times New Roman" w:hAnsi="Times New Roman" w:cs="Times New Roman"/>
                      <w:color w:val="auto"/>
                      <w:sz w:val="18"/>
                      <w:szCs w:val="18"/>
                      <w:highlight w:val="none"/>
                      <w:lang w:val="en-US" w:eastAsia="zh-CN" w:bidi="ar"/>
                    </w:rPr>
                    <w:t>mg/kg</w:t>
                  </w:r>
                </w:p>
              </w:tc>
              <w:tc>
                <w:tcPr>
                  <w:tcW w:w="122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0"/>
                      <w:sz w:val="20"/>
                      <w:szCs w:val="20"/>
                      <w:highlight w:val="none"/>
                      <w:u w:val="none"/>
                      <w:lang w:val="en-US" w:eastAsia="zh-CN" w:bidi="ar"/>
                    </w:rPr>
                    <w:t>0.151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14"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i w:val="0"/>
                      <w:iCs w:val="0"/>
                      <w:color w:val="auto"/>
                      <w:sz w:val="18"/>
                      <w:szCs w:val="18"/>
                      <w:highlight w:val="none"/>
                      <w:u w:val="none"/>
                    </w:rPr>
                  </w:pPr>
                </w:p>
              </w:tc>
              <w:tc>
                <w:tcPr>
                  <w:tcW w:w="1147"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i w:val="0"/>
                      <w:iCs w:val="0"/>
                      <w:color w:val="auto"/>
                      <w:sz w:val="18"/>
                      <w:szCs w:val="18"/>
                      <w:highlight w:val="none"/>
                      <w:u w:val="none"/>
                    </w:rPr>
                  </w:pPr>
                  <w:r>
                    <w:rPr>
                      <w:rFonts w:hint="eastAsia" w:ascii="宋体" w:hAnsi="宋体" w:eastAsia="宋体" w:cs="宋体"/>
                      <w:i w:val="0"/>
                      <w:iCs w:val="0"/>
                      <w:color w:val="auto"/>
                      <w:kern w:val="0"/>
                      <w:sz w:val="20"/>
                      <w:szCs w:val="20"/>
                      <w:highlight w:val="none"/>
                      <w:u w:val="none"/>
                      <w:lang w:val="en-US" w:eastAsia="zh-CN" w:bidi="ar"/>
                    </w:rPr>
                    <w:t>砷</w:t>
                  </w:r>
                </w:p>
              </w:tc>
              <w:tc>
                <w:tcPr>
                  <w:tcW w:w="141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i w:val="0"/>
                      <w:iCs w:val="0"/>
                      <w:color w:val="auto"/>
                      <w:sz w:val="18"/>
                      <w:szCs w:val="18"/>
                      <w:highlight w:val="none"/>
                      <w:u w:val="none"/>
                    </w:rPr>
                  </w:pPr>
                  <w:r>
                    <w:rPr>
                      <w:rStyle w:val="107"/>
                      <w:rFonts w:hint="default" w:ascii="Times New Roman" w:hAnsi="Times New Roman" w:cs="Times New Roman"/>
                      <w:color w:val="auto"/>
                      <w:sz w:val="18"/>
                      <w:szCs w:val="18"/>
                      <w:highlight w:val="none"/>
                      <w:lang w:val="en-US" w:eastAsia="zh-CN" w:bidi="ar"/>
                    </w:rPr>
                    <w:t>mg/kg</w:t>
                  </w:r>
                </w:p>
              </w:tc>
              <w:tc>
                <w:tcPr>
                  <w:tcW w:w="122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0"/>
                      <w:sz w:val="20"/>
                      <w:szCs w:val="20"/>
                      <w:highlight w:val="none"/>
                      <w:u w:val="none"/>
                      <w:lang w:val="en-US" w:eastAsia="zh-CN" w:bidi="ar"/>
                    </w:rPr>
                    <w:t>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14"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i w:val="0"/>
                      <w:iCs w:val="0"/>
                      <w:color w:val="auto"/>
                      <w:sz w:val="18"/>
                      <w:szCs w:val="18"/>
                      <w:highlight w:val="none"/>
                      <w:u w:val="none"/>
                    </w:rPr>
                  </w:pPr>
                </w:p>
              </w:tc>
              <w:tc>
                <w:tcPr>
                  <w:tcW w:w="1147"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i w:val="0"/>
                      <w:iCs w:val="0"/>
                      <w:color w:val="auto"/>
                      <w:sz w:val="18"/>
                      <w:szCs w:val="18"/>
                      <w:highlight w:val="none"/>
                      <w:u w:val="none"/>
                    </w:rPr>
                  </w:pPr>
                  <w:r>
                    <w:rPr>
                      <w:rFonts w:hint="eastAsia" w:ascii="宋体" w:hAnsi="宋体" w:eastAsia="宋体" w:cs="宋体"/>
                      <w:i w:val="0"/>
                      <w:iCs w:val="0"/>
                      <w:color w:val="auto"/>
                      <w:kern w:val="0"/>
                      <w:sz w:val="20"/>
                      <w:szCs w:val="20"/>
                      <w:highlight w:val="none"/>
                      <w:u w:val="none"/>
                      <w:lang w:val="en-US" w:eastAsia="zh-CN" w:bidi="ar"/>
                    </w:rPr>
                    <w:t>铅</w:t>
                  </w:r>
                </w:p>
              </w:tc>
              <w:tc>
                <w:tcPr>
                  <w:tcW w:w="141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i w:val="0"/>
                      <w:iCs w:val="0"/>
                      <w:color w:val="auto"/>
                      <w:sz w:val="18"/>
                      <w:szCs w:val="18"/>
                      <w:highlight w:val="none"/>
                      <w:u w:val="none"/>
                    </w:rPr>
                  </w:pPr>
                  <w:r>
                    <w:rPr>
                      <w:rStyle w:val="107"/>
                      <w:rFonts w:hint="default" w:ascii="Times New Roman" w:hAnsi="Times New Roman" w:cs="Times New Roman"/>
                      <w:color w:val="auto"/>
                      <w:sz w:val="18"/>
                      <w:szCs w:val="18"/>
                      <w:highlight w:val="none"/>
                      <w:lang w:val="en-US" w:eastAsia="zh-CN" w:bidi="ar"/>
                    </w:rPr>
                    <w:t>mg/kg</w:t>
                  </w:r>
                </w:p>
              </w:tc>
              <w:tc>
                <w:tcPr>
                  <w:tcW w:w="122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0"/>
                      <w:sz w:val="20"/>
                      <w:szCs w:val="20"/>
                      <w:highlight w:val="none"/>
                      <w:u w:val="none"/>
                      <w:lang w:val="en-US" w:eastAsia="zh-CN" w:bidi="ar"/>
                    </w:rPr>
                    <w:t>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14"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i w:val="0"/>
                      <w:iCs w:val="0"/>
                      <w:color w:val="auto"/>
                      <w:sz w:val="18"/>
                      <w:szCs w:val="18"/>
                      <w:highlight w:val="none"/>
                      <w:u w:val="none"/>
                    </w:rPr>
                  </w:pPr>
                </w:p>
              </w:tc>
              <w:tc>
                <w:tcPr>
                  <w:tcW w:w="1147"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i w:val="0"/>
                      <w:iCs w:val="0"/>
                      <w:color w:val="auto"/>
                      <w:sz w:val="18"/>
                      <w:szCs w:val="18"/>
                      <w:highlight w:val="none"/>
                      <w:u w:val="none"/>
                    </w:rPr>
                  </w:pPr>
                  <w:r>
                    <w:rPr>
                      <w:rFonts w:hint="eastAsia" w:ascii="宋体" w:hAnsi="宋体" w:eastAsia="宋体" w:cs="宋体"/>
                      <w:i w:val="0"/>
                      <w:iCs w:val="0"/>
                      <w:color w:val="auto"/>
                      <w:kern w:val="0"/>
                      <w:sz w:val="20"/>
                      <w:szCs w:val="20"/>
                      <w:highlight w:val="none"/>
                      <w:u w:val="none"/>
                      <w:lang w:val="en-US" w:eastAsia="zh-CN" w:bidi="ar"/>
                    </w:rPr>
                    <w:t>铬</w:t>
                  </w:r>
                </w:p>
              </w:tc>
              <w:tc>
                <w:tcPr>
                  <w:tcW w:w="141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i w:val="0"/>
                      <w:iCs w:val="0"/>
                      <w:color w:val="auto"/>
                      <w:sz w:val="18"/>
                      <w:szCs w:val="18"/>
                      <w:highlight w:val="none"/>
                      <w:u w:val="none"/>
                    </w:rPr>
                  </w:pPr>
                  <w:r>
                    <w:rPr>
                      <w:rStyle w:val="107"/>
                      <w:rFonts w:hint="default" w:ascii="Times New Roman" w:hAnsi="Times New Roman" w:cs="Times New Roman"/>
                      <w:color w:val="auto"/>
                      <w:sz w:val="18"/>
                      <w:szCs w:val="18"/>
                      <w:highlight w:val="none"/>
                      <w:lang w:val="en-US" w:eastAsia="zh-CN" w:bidi="ar"/>
                    </w:rPr>
                    <w:t>mg/kg</w:t>
                  </w:r>
                </w:p>
              </w:tc>
              <w:tc>
                <w:tcPr>
                  <w:tcW w:w="122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0"/>
                      <w:sz w:val="20"/>
                      <w:szCs w:val="20"/>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14"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i w:val="0"/>
                      <w:iCs w:val="0"/>
                      <w:color w:val="auto"/>
                      <w:sz w:val="18"/>
                      <w:szCs w:val="18"/>
                      <w:highlight w:val="none"/>
                      <w:u w:val="none"/>
                    </w:rPr>
                  </w:pPr>
                </w:p>
              </w:tc>
              <w:tc>
                <w:tcPr>
                  <w:tcW w:w="1147"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i w:val="0"/>
                      <w:iCs w:val="0"/>
                      <w:color w:val="auto"/>
                      <w:sz w:val="18"/>
                      <w:szCs w:val="18"/>
                      <w:highlight w:val="none"/>
                      <w:u w:val="none"/>
                    </w:rPr>
                  </w:pPr>
                  <w:r>
                    <w:rPr>
                      <w:rFonts w:hint="eastAsia" w:ascii="宋体" w:hAnsi="宋体" w:eastAsia="宋体" w:cs="宋体"/>
                      <w:i w:val="0"/>
                      <w:iCs w:val="0"/>
                      <w:color w:val="auto"/>
                      <w:kern w:val="0"/>
                      <w:sz w:val="20"/>
                      <w:szCs w:val="20"/>
                      <w:highlight w:val="none"/>
                      <w:u w:val="none"/>
                      <w:lang w:val="en-US" w:eastAsia="zh-CN" w:bidi="ar"/>
                    </w:rPr>
                    <w:t>铜</w:t>
                  </w:r>
                </w:p>
              </w:tc>
              <w:tc>
                <w:tcPr>
                  <w:tcW w:w="141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i w:val="0"/>
                      <w:iCs w:val="0"/>
                      <w:color w:val="auto"/>
                      <w:sz w:val="18"/>
                      <w:szCs w:val="18"/>
                      <w:highlight w:val="none"/>
                      <w:u w:val="none"/>
                    </w:rPr>
                  </w:pPr>
                  <w:r>
                    <w:rPr>
                      <w:rStyle w:val="107"/>
                      <w:rFonts w:hint="default" w:ascii="Times New Roman" w:hAnsi="Times New Roman" w:cs="Times New Roman"/>
                      <w:color w:val="auto"/>
                      <w:sz w:val="18"/>
                      <w:szCs w:val="18"/>
                      <w:highlight w:val="none"/>
                      <w:lang w:val="en-US" w:eastAsia="zh-CN" w:bidi="ar"/>
                    </w:rPr>
                    <w:t>mg/kg</w:t>
                  </w:r>
                </w:p>
              </w:tc>
              <w:tc>
                <w:tcPr>
                  <w:tcW w:w="122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0"/>
                      <w:sz w:val="20"/>
                      <w:szCs w:val="20"/>
                      <w:highlight w:val="none"/>
                      <w:u w:val="none"/>
                      <w:lang w:val="en-US" w:eastAsia="zh-CN" w:bidi="ar"/>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14"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i w:val="0"/>
                      <w:iCs w:val="0"/>
                      <w:color w:val="auto"/>
                      <w:sz w:val="18"/>
                      <w:szCs w:val="18"/>
                      <w:highlight w:val="none"/>
                      <w:u w:val="none"/>
                    </w:rPr>
                  </w:pPr>
                </w:p>
              </w:tc>
              <w:tc>
                <w:tcPr>
                  <w:tcW w:w="1147"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i w:val="0"/>
                      <w:iCs w:val="0"/>
                      <w:color w:val="auto"/>
                      <w:sz w:val="18"/>
                      <w:szCs w:val="18"/>
                      <w:highlight w:val="none"/>
                      <w:u w:val="none"/>
                    </w:rPr>
                  </w:pPr>
                  <w:r>
                    <w:rPr>
                      <w:rFonts w:hint="eastAsia" w:ascii="宋体" w:hAnsi="宋体" w:eastAsia="宋体" w:cs="宋体"/>
                      <w:i w:val="0"/>
                      <w:iCs w:val="0"/>
                      <w:color w:val="auto"/>
                      <w:kern w:val="0"/>
                      <w:sz w:val="20"/>
                      <w:szCs w:val="20"/>
                      <w:highlight w:val="none"/>
                      <w:u w:val="none"/>
                      <w:lang w:val="en-US" w:eastAsia="zh-CN" w:bidi="ar"/>
                    </w:rPr>
                    <w:t>镍</w:t>
                  </w:r>
                </w:p>
              </w:tc>
              <w:tc>
                <w:tcPr>
                  <w:tcW w:w="141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i w:val="0"/>
                      <w:iCs w:val="0"/>
                      <w:color w:val="auto"/>
                      <w:sz w:val="18"/>
                      <w:szCs w:val="18"/>
                      <w:highlight w:val="none"/>
                      <w:u w:val="none"/>
                    </w:rPr>
                  </w:pPr>
                  <w:r>
                    <w:rPr>
                      <w:rStyle w:val="107"/>
                      <w:rFonts w:hint="default" w:ascii="Times New Roman" w:hAnsi="Times New Roman" w:cs="Times New Roman"/>
                      <w:color w:val="auto"/>
                      <w:sz w:val="18"/>
                      <w:szCs w:val="18"/>
                      <w:highlight w:val="none"/>
                      <w:lang w:val="en-US" w:eastAsia="zh-CN" w:bidi="ar"/>
                    </w:rPr>
                    <w:t>mg/kg</w:t>
                  </w:r>
                </w:p>
              </w:tc>
              <w:tc>
                <w:tcPr>
                  <w:tcW w:w="122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0"/>
                      <w:sz w:val="20"/>
                      <w:szCs w:val="20"/>
                      <w:highlight w:val="none"/>
                      <w:u w:val="none"/>
                      <w:lang w:val="en-US" w:eastAsia="zh-CN" w:bidi="ar"/>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14"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cs="Times New Roman"/>
                      <w:i w:val="0"/>
                      <w:iCs w:val="0"/>
                      <w:color w:val="auto"/>
                      <w:sz w:val="18"/>
                      <w:szCs w:val="18"/>
                      <w:highlight w:val="none"/>
                      <w:u w:val="none"/>
                    </w:rPr>
                  </w:pPr>
                </w:p>
              </w:tc>
              <w:tc>
                <w:tcPr>
                  <w:tcW w:w="1147" w:type="pct"/>
                  <w:shd w:val="clear" w:color="auto" w:fill="auto"/>
                  <w:vAlign w:val="center"/>
                </w:tcPr>
                <w:p>
                  <w:pPr>
                    <w:keepNext w:val="0"/>
                    <w:keepLines w:val="0"/>
                    <w:widowControl/>
                    <w:suppressLineNumbers w:val="0"/>
                    <w:jc w:val="center"/>
                    <w:textAlignment w:val="center"/>
                    <w:rPr>
                      <w:rFonts w:hint="default" w:ascii="Times New Roman" w:hAnsi="Times New Roman" w:cs="Times New Roman"/>
                      <w:i w:val="0"/>
                      <w:iCs w:val="0"/>
                      <w:color w:val="auto"/>
                      <w:sz w:val="18"/>
                      <w:szCs w:val="18"/>
                      <w:highlight w:val="none"/>
                      <w:u w:val="none"/>
                    </w:rPr>
                  </w:pPr>
                  <w:r>
                    <w:rPr>
                      <w:rFonts w:hint="eastAsia" w:ascii="宋体" w:hAnsi="宋体" w:eastAsia="宋体" w:cs="宋体"/>
                      <w:i w:val="0"/>
                      <w:iCs w:val="0"/>
                      <w:color w:val="auto"/>
                      <w:kern w:val="0"/>
                      <w:sz w:val="20"/>
                      <w:szCs w:val="20"/>
                      <w:highlight w:val="none"/>
                      <w:u w:val="none"/>
                      <w:lang w:val="en-US" w:eastAsia="zh-CN" w:bidi="ar"/>
                    </w:rPr>
                    <w:t>锌</w:t>
                  </w:r>
                </w:p>
              </w:tc>
              <w:tc>
                <w:tcPr>
                  <w:tcW w:w="141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i w:val="0"/>
                      <w:iCs w:val="0"/>
                      <w:color w:val="auto"/>
                      <w:sz w:val="18"/>
                      <w:szCs w:val="18"/>
                      <w:highlight w:val="none"/>
                      <w:u w:val="none"/>
                    </w:rPr>
                  </w:pPr>
                  <w:r>
                    <w:rPr>
                      <w:rStyle w:val="107"/>
                      <w:rFonts w:hint="default" w:ascii="Times New Roman" w:hAnsi="Times New Roman" w:cs="Times New Roman"/>
                      <w:color w:val="auto"/>
                      <w:sz w:val="18"/>
                      <w:szCs w:val="18"/>
                      <w:highlight w:val="none"/>
                      <w:lang w:val="en-US" w:eastAsia="zh-CN" w:bidi="ar"/>
                    </w:rPr>
                    <w:t>mg/kg</w:t>
                  </w:r>
                </w:p>
              </w:tc>
              <w:tc>
                <w:tcPr>
                  <w:tcW w:w="122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0"/>
                      <w:sz w:val="20"/>
                      <w:szCs w:val="20"/>
                      <w:highlight w:val="none"/>
                      <w:u w:val="none"/>
                      <w:lang w:val="en-US" w:eastAsia="zh-CN" w:bidi="ar"/>
                    </w:rPr>
                    <w:t>0.1</w:t>
                  </w:r>
                </w:p>
              </w:tc>
            </w:tr>
          </w:tbl>
          <w:p>
            <w:pPr>
              <w:keepNext w:val="0"/>
              <w:keepLines w:val="0"/>
              <w:pageBreakBefore w:val="0"/>
              <w:widowControl w:val="0"/>
              <w:tabs>
                <w:tab w:val="left" w:pos="662"/>
              </w:tabs>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根据上表可知，工程河道底泥中铬、镍、锌、铜、铅、镉、汞、砷满足《土壤环境质量 农用地土壤污染风险管控标准》（GB/15618-2018）表 1 农用地土壤污染风险筛选值中其他类限值。</w:t>
            </w:r>
          </w:p>
          <w:p>
            <w:pPr>
              <w:keepNext w:val="0"/>
              <w:keepLines w:val="0"/>
              <w:pageBreakBefore w:val="0"/>
              <w:widowControl w:val="0"/>
              <w:tabs>
                <w:tab w:val="left" w:pos="662"/>
              </w:tabs>
              <w:kinsoku/>
              <w:wordWrap/>
              <w:overflowPunct/>
              <w:topLinePunct w:val="0"/>
              <w:autoSpaceDE/>
              <w:autoSpaceDN/>
              <w:bidi w:val="0"/>
              <w:adjustRightInd w:val="0"/>
              <w:snapToGrid w:val="0"/>
              <w:spacing w:line="360" w:lineRule="auto"/>
              <w:ind w:firstLine="422" w:firstLineChars="200"/>
              <w:textAlignment w:val="auto"/>
              <w:rPr>
                <w:rFonts w:hint="eastAsia" w:ascii="Times New Roman" w:hAnsi="Times New Roman" w:eastAsia="宋体" w:cs="Times New Roman"/>
                <w:b/>
                <w:bCs/>
                <w:color w:val="auto"/>
                <w:kern w:val="0"/>
                <w:sz w:val="21"/>
                <w:szCs w:val="21"/>
                <w:highlight w:val="none"/>
              </w:rPr>
            </w:pPr>
            <w:r>
              <w:rPr>
                <w:rFonts w:hint="eastAsia" w:ascii="Times New Roman" w:hAnsi="Times New Roman" w:eastAsia="宋体" w:cs="Times New Roman"/>
                <w:b/>
                <w:bCs/>
                <w:color w:val="auto"/>
                <w:kern w:val="0"/>
                <w:sz w:val="21"/>
                <w:szCs w:val="21"/>
                <w:highlight w:val="none"/>
                <w:lang w:val="en-US" w:eastAsia="zh-CN"/>
              </w:rPr>
              <w:t>3.1.</w:t>
            </w:r>
            <w:r>
              <w:rPr>
                <w:rFonts w:hint="eastAsia" w:cs="Times New Roman"/>
                <w:b/>
                <w:bCs/>
                <w:color w:val="auto"/>
                <w:kern w:val="0"/>
                <w:sz w:val="21"/>
                <w:szCs w:val="21"/>
                <w:highlight w:val="none"/>
                <w:lang w:val="en-US" w:eastAsia="zh-CN"/>
              </w:rPr>
              <w:t>5</w:t>
            </w:r>
            <w:r>
              <w:rPr>
                <w:rFonts w:hint="eastAsia" w:ascii="Times New Roman" w:hAnsi="Times New Roman" w:eastAsia="宋体" w:cs="Times New Roman"/>
                <w:b/>
                <w:bCs/>
                <w:color w:val="auto"/>
                <w:kern w:val="0"/>
                <w:sz w:val="21"/>
                <w:szCs w:val="21"/>
                <w:highlight w:val="none"/>
                <w:lang w:val="en-US" w:eastAsia="zh-CN"/>
              </w:rPr>
              <w:t>.3声</w:t>
            </w:r>
            <w:r>
              <w:rPr>
                <w:rFonts w:hint="eastAsia" w:ascii="Times New Roman" w:hAnsi="Times New Roman" w:eastAsia="宋体" w:cs="Times New Roman"/>
                <w:b/>
                <w:bCs/>
                <w:color w:val="auto"/>
                <w:kern w:val="0"/>
                <w:sz w:val="21"/>
                <w:szCs w:val="21"/>
                <w:highlight w:val="none"/>
              </w:rPr>
              <w:t>环境质量现状</w:t>
            </w:r>
          </w:p>
          <w:p>
            <w:pPr>
              <w:pStyle w:val="2"/>
              <w:spacing w:before="0" w:after="0" w:line="360" w:lineRule="auto"/>
              <w:ind w:right="0" w:firstLine="420" w:firstLineChars="200"/>
              <w:rPr>
                <w:rFonts w:hint="eastAsia"/>
                <w:color w:val="auto"/>
                <w:sz w:val="21"/>
                <w:szCs w:val="21"/>
                <w:highlight w:val="none"/>
                <w:lang w:val="en-US" w:eastAsia="zh-CN"/>
              </w:rPr>
            </w:pPr>
            <w:r>
              <w:rPr>
                <w:rFonts w:hint="eastAsia"/>
                <w:color w:val="auto"/>
                <w:sz w:val="21"/>
                <w:szCs w:val="21"/>
                <w:highlight w:val="none"/>
                <w:lang w:val="en-US" w:eastAsia="zh-CN"/>
              </w:rPr>
              <w:t>本次项目范围主要位于农村区域，评价范围内没有明显的噪声源，主要为居民生活噪声，为反映区域整体声环境情况，本次评价通过选择具有代表性的声环境敏感区域。</w:t>
            </w:r>
          </w:p>
          <w:p>
            <w:pPr>
              <w:keepNext w:val="0"/>
              <w:keepLines w:val="0"/>
              <w:pageBreakBefore w:val="0"/>
              <w:widowControl w:val="0"/>
              <w:tabs>
                <w:tab w:val="left" w:pos="662"/>
              </w:tabs>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（1）监测方案</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表</w:t>
            </w:r>
            <w:r>
              <w:rPr>
                <w:rFonts w:hint="eastAsia" w:ascii="Times New Roman" w:hAnsi="Times New Roman" w:eastAsia="宋体" w:cs="Times New Roman"/>
                <w:b w:val="0"/>
                <w:bCs w:val="0"/>
                <w:color w:val="auto"/>
                <w:kern w:val="0"/>
                <w:sz w:val="21"/>
                <w:szCs w:val="21"/>
                <w:highlight w:val="none"/>
                <w:lang w:val="en-US" w:eastAsia="zh-CN"/>
              </w:rPr>
              <w:t>3</w:t>
            </w:r>
            <w:r>
              <w:rPr>
                <w:rFonts w:hint="eastAsia" w:cs="Times New Roman"/>
                <w:b w:val="0"/>
                <w:bCs w:val="0"/>
                <w:color w:val="auto"/>
                <w:kern w:val="0"/>
                <w:sz w:val="21"/>
                <w:szCs w:val="21"/>
                <w:highlight w:val="none"/>
                <w:lang w:val="en-US" w:eastAsia="zh-CN"/>
              </w:rPr>
              <w:t>.1.5</w:t>
            </w:r>
            <w:r>
              <w:rPr>
                <w:rFonts w:hint="default" w:ascii="Times New Roman" w:hAnsi="Times New Roman" w:eastAsia="宋体" w:cs="Times New Roman"/>
                <w:b w:val="0"/>
                <w:bCs w:val="0"/>
                <w:color w:val="auto"/>
                <w:kern w:val="0"/>
                <w:sz w:val="21"/>
                <w:szCs w:val="21"/>
                <w:highlight w:val="none"/>
              </w:rPr>
              <w:t>-</w:t>
            </w:r>
            <w:r>
              <w:rPr>
                <w:rFonts w:hint="eastAsia" w:ascii="Times New Roman" w:hAnsi="Times New Roman" w:eastAsia="宋体" w:cs="Times New Roman"/>
                <w:b w:val="0"/>
                <w:bCs w:val="0"/>
                <w:color w:val="auto"/>
                <w:kern w:val="0"/>
                <w:sz w:val="21"/>
                <w:szCs w:val="21"/>
                <w:highlight w:val="none"/>
                <w:lang w:val="en-US" w:eastAsia="zh-CN"/>
              </w:rPr>
              <w:t>6</w:t>
            </w:r>
            <w:r>
              <w:rPr>
                <w:rFonts w:hint="default" w:ascii="Times New Roman" w:hAnsi="Times New Roman" w:eastAsia="宋体" w:cs="Times New Roman"/>
                <w:b w:val="0"/>
                <w:bCs w:val="0"/>
                <w:color w:val="auto"/>
                <w:kern w:val="0"/>
                <w:sz w:val="21"/>
                <w:szCs w:val="21"/>
                <w:highlight w:val="none"/>
              </w:rPr>
              <w:t xml:space="preserve">  </w:t>
            </w:r>
            <w:r>
              <w:rPr>
                <w:rFonts w:hint="eastAsia" w:ascii="Times New Roman" w:hAnsi="Times New Roman" w:eastAsia="宋体" w:cs="Times New Roman"/>
                <w:b w:val="0"/>
                <w:bCs w:val="0"/>
                <w:color w:val="auto"/>
                <w:kern w:val="0"/>
                <w:sz w:val="21"/>
                <w:szCs w:val="21"/>
                <w:highlight w:val="none"/>
                <w:lang w:val="en-US" w:eastAsia="zh-CN"/>
              </w:rPr>
              <w:t>声环境</w:t>
            </w:r>
            <w:r>
              <w:rPr>
                <w:rFonts w:hint="default" w:ascii="Times New Roman" w:hAnsi="Times New Roman" w:eastAsia="宋体" w:cs="Times New Roman"/>
                <w:b w:val="0"/>
                <w:bCs w:val="0"/>
                <w:color w:val="auto"/>
                <w:kern w:val="0"/>
                <w:sz w:val="21"/>
                <w:szCs w:val="21"/>
                <w:highlight w:val="none"/>
              </w:rPr>
              <w:t>现状监测点位、监测因子一览表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0"/>
              <w:gridCol w:w="3025"/>
              <w:gridCol w:w="2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监测点位</w:t>
                  </w:r>
                </w:p>
              </w:tc>
              <w:tc>
                <w:tcPr>
                  <w:tcW w:w="321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监测因子</w:t>
                  </w:r>
                </w:p>
              </w:tc>
              <w:tc>
                <w:tcPr>
                  <w:tcW w:w="233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97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18"/>
                      <w:szCs w:val="18"/>
                      <w:highlight w:val="none"/>
                      <w:vertAlign w:val="baseline"/>
                      <w:lang w:val="en-US" w:eastAsia="zh-CN"/>
                    </w:rPr>
                  </w:pPr>
                  <w:r>
                    <w:rPr>
                      <w:rFonts w:hint="eastAsia"/>
                      <w:color w:val="auto"/>
                      <w:sz w:val="18"/>
                      <w:szCs w:val="18"/>
                      <w:highlight w:val="none"/>
                      <w:vertAlign w:val="baseline"/>
                      <w:lang w:val="en-US" w:eastAsia="zh-CN"/>
                    </w:rPr>
                    <w:t>C1（</w:t>
                  </w:r>
                  <w:r>
                    <w:rPr>
                      <w:rFonts w:hint="eastAsia"/>
                      <w:color w:val="auto"/>
                      <w:sz w:val="18"/>
                      <w:szCs w:val="18"/>
                      <w:highlight w:val="none"/>
                      <w:lang w:val="en-US" w:eastAsia="zh-CN"/>
                    </w:rPr>
                    <w:t>拦沙坝北侧居民用房</w:t>
                  </w:r>
                  <w:r>
                    <w:rPr>
                      <w:rFonts w:hint="eastAsia"/>
                      <w:color w:val="auto"/>
                      <w:sz w:val="18"/>
                      <w:szCs w:val="18"/>
                      <w:highlight w:val="none"/>
                      <w:vertAlign w:val="baseline"/>
                      <w:lang w:val="en-US" w:eastAsia="zh-CN"/>
                    </w:rPr>
                    <w:t>）</w:t>
                  </w:r>
                </w:p>
              </w:tc>
              <w:tc>
                <w:tcPr>
                  <w:tcW w:w="321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heme="minorHAnsi" w:hAnsiTheme="minorHAnsi" w:eastAsiaTheme="minorEastAsia" w:cstheme="minorBidi"/>
                      <w:color w:val="auto"/>
                      <w:kern w:val="2"/>
                      <w:sz w:val="18"/>
                      <w:szCs w:val="18"/>
                      <w:highlight w:val="none"/>
                      <w:vertAlign w:val="baseline"/>
                      <w:lang w:val="en-US" w:eastAsia="zh-CN" w:bidi="ar-SA"/>
                    </w:rPr>
                  </w:pPr>
                  <w:r>
                    <w:rPr>
                      <w:rFonts w:hint="eastAsia" w:cstheme="minorBidi"/>
                      <w:color w:val="auto"/>
                      <w:kern w:val="2"/>
                      <w:sz w:val="18"/>
                      <w:szCs w:val="18"/>
                      <w:highlight w:val="none"/>
                      <w:vertAlign w:val="baseline"/>
                      <w:lang w:val="en-US" w:eastAsia="zh-CN" w:bidi="ar-SA"/>
                    </w:rPr>
                    <w:t>昼夜等效A声级</w:t>
                  </w:r>
                </w:p>
              </w:tc>
              <w:tc>
                <w:tcPr>
                  <w:tcW w:w="233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 w:val="18"/>
                      <w:szCs w:val="18"/>
                      <w:highlight w:val="none"/>
                      <w:vertAlign w:val="baseline"/>
                      <w:lang w:val="en-US" w:eastAsia="zh-CN"/>
                    </w:rPr>
                  </w:pPr>
                  <w:r>
                    <w:rPr>
                      <w:rFonts w:hint="default"/>
                      <w:color w:val="auto"/>
                      <w:sz w:val="18"/>
                      <w:szCs w:val="18"/>
                      <w:highlight w:val="none"/>
                      <w:vertAlign w:val="baseline"/>
                      <w:lang w:val="en-US" w:eastAsia="zh-CN"/>
                    </w:rPr>
                    <w:t xml:space="preserve">监测 </w:t>
                  </w:r>
                  <w:r>
                    <w:rPr>
                      <w:rFonts w:hint="eastAsia"/>
                      <w:color w:val="auto"/>
                      <w:sz w:val="18"/>
                      <w:szCs w:val="18"/>
                      <w:highlight w:val="none"/>
                      <w:vertAlign w:val="baseline"/>
                      <w:lang w:val="en-US" w:eastAsia="zh-CN"/>
                    </w:rPr>
                    <w:t>2</w:t>
                  </w:r>
                  <w:r>
                    <w:rPr>
                      <w:rFonts w:hint="default"/>
                      <w:color w:val="auto"/>
                      <w:sz w:val="18"/>
                      <w:szCs w:val="18"/>
                      <w:highlight w:val="none"/>
                      <w:vertAlign w:val="baseline"/>
                      <w:lang w:val="en-US" w:eastAsia="zh-CN"/>
                    </w:rPr>
                    <w:t xml:space="preserve"> 天，</w:t>
                  </w:r>
                  <w:r>
                    <w:rPr>
                      <w:rFonts w:hint="eastAsia"/>
                      <w:color w:val="auto"/>
                      <w:sz w:val="18"/>
                      <w:szCs w:val="18"/>
                      <w:highlight w:val="none"/>
                      <w:vertAlign w:val="baseline"/>
                      <w:lang w:val="en-US" w:eastAsia="zh-CN"/>
                    </w:rPr>
                    <w:t>昼夜各一次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97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heme="minorHAnsi" w:hAnsiTheme="minorHAnsi" w:eastAsiaTheme="minorEastAsia" w:cstheme="minorBidi"/>
                      <w:color w:val="auto"/>
                      <w:kern w:val="2"/>
                      <w:sz w:val="18"/>
                      <w:szCs w:val="18"/>
                      <w:highlight w:val="none"/>
                      <w:vertAlign w:val="baseline"/>
                      <w:lang w:val="en-US" w:eastAsia="zh-CN" w:bidi="ar-SA"/>
                    </w:rPr>
                  </w:pPr>
                  <w:r>
                    <w:rPr>
                      <w:rFonts w:hint="eastAsia"/>
                      <w:color w:val="auto"/>
                      <w:sz w:val="18"/>
                      <w:szCs w:val="18"/>
                      <w:highlight w:val="none"/>
                      <w:vertAlign w:val="baseline"/>
                      <w:lang w:val="en-US" w:eastAsia="zh-CN"/>
                    </w:rPr>
                    <w:t>C2（</w:t>
                  </w:r>
                  <w:r>
                    <w:rPr>
                      <w:rFonts w:hint="eastAsia"/>
                      <w:color w:val="auto"/>
                      <w:sz w:val="18"/>
                      <w:szCs w:val="18"/>
                      <w:highlight w:val="none"/>
                      <w:lang w:val="en-US" w:eastAsia="zh-CN"/>
                    </w:rPr>
                    <w:t>库尾居民用房</w:t>
                  </w:r>
                  <w:r>
                    <w:rPr>
                      <w:rFonts w:hint="eastAsia"/>
                      <w:color w:val="auto"/>
                      <w:sz w:val="18"/>
                      <w:szCs w:val="18"/>
                      <w:highlight w:val="none"/>
                      <w:vertAlign w:val="baseline"/>
                      <w:lang w:val="en-US" w:eastAsia="zh-CN"/>
                    </w:rPr>
                    <w:t>）</w:t>
                  </w:r>
                </w:p>
              </w:tc>
              <w:tc>
                <w:tcPr>
                  <w:tcW w:w="321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
                    </w:rPr>
                  </w:pPr>
                  <w:r>
                    <w:rPr>
                      <w:rFonts w:hint="eastAsia" w:cstheme="minorBidi"/>
                      <w:color w:val="auto"/>
                      <w:kern w:val="2"/>
                      <w:sz w:val="18"/>
                      <w:szCs w:val="18"/>
                      <w:highlight w:val="none"/>
                      <w:vertAlign w:val="baseline"/>
                      <w:lang w:val="en-US" w:eastAsia="zh-CN" w:bidi="ar-SA"/>
                    </w:rPr>
                    <w:t>昼夜等效A声级</w:t>
                  </w:r>
                </w:p>
              </w:tc>
              <w:tc>
                <w:tcPr>
                  <w:tcW w:w="233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 w:val="18"/>
                      <w:szCs w:val="18"/>
                      <w:highlight w:val="none"/>
                      <w:vertAlign w:val="baseline"/>
                      <w:lang w:val="en-US" w:eastAsia="zh-CN"/>
                    </w:rPr>
                  </w:pPr>
                  <w:r>
                    <w:rPr>
                      <w:rFonts w:hint="default"/>
                      <w:color w:val="auto"/>
                      <w:sz w:val="18"/>
                      <w:szCs w:val="18"/>
                      <w:highlight w:val="none"/>
                      <w:vertAlign w:val="baseline"/>
                      <w:lang w:val="en-US" w:eastAsia="zh-CN"/>
                    </w:rPr>
                    <w:t xml:space="preserve">监测 </w:t>
                  </w:r>
                  <w:r>
                    <w:rPr>
                      <w:rFonts w:hint="eastAsia"/>
                      <w:color w:val="auto"/>
                      <w:sz w:val="18"/>
                      <w:szCs w:val="18"/>
                      <w:highlight w:val="none"/>
                      <w:vertAlign w:val="baseline"/>
                      <w:lang w:val="en-US" w:eastAsia="zh-CN"/>
                    </w:rPr>
                    <w:t>2</w:t>
                  </w:r>
                  <w:r>
                    <w:rPr>
                      <w:rFonts w:hint="default"/>
                      <w:color w:val="auto"/>
                      <w:sz w:val="18"/>
                      <w:szCs w:val="18"/>
                      <w:highlight w:val="none"/>
                      <w:vertAlign w:val="baseline"/>
                      <w:lang w:val="en-US" w:eastAsia="zh-CN"/>
                    </w:rPr>
                    <w:t xml:space="preserve"> 天，</w:t>
                  </w:r>
                  <w:r>
                    <w:rPr>
                      <w:rFonts w:hint="eastAsia"/>
                      <w:color w:val="auto"/>
                      <w:sz w:val="18"/>
                      <w:szCs w:val="18"/>
                      <w:highlight w:val="none"/>
                      <w:vertAlign w:val="baseline"/>
                      <w:lang w:val="en-US" w:eastAsia="zh-CN"/>
                    </w:rPr>
                    <w:t>昼夜各一次</w:t>
                  </w:r>
                </w:p>
              </w:tc>
            </w:tr>
          </w:tbl>
          <w:p>
            <w:pPr>
              <w:rPr>
                <w:rFonts w:hint="eastAsia"/>
                <w:color w:val="auto"/>
                <w:sz w:val="21"/>
                <w:szCs w:val="21"/>
                <w:highlight w:val="none"/>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bidi="ar"/>
              </w:rPr>
              <w:t>（2）</w:t>
            </w:r>
            <w:r>
              <w:rPr>
                <w:rFonts w:hint="default" w:ascii="Times New Roman" w:hAnsi="Times New Roman" w:eastAsia="宋体" w:cs="Times New Roman"/>
                <w:color w:val="auto"/>
                <w:kern w:val="0"/>
                <w:sz w:val="21"/>
                <w:szCs w:val="21"/>
                <w:highlight w:val="none"/>
                <w:lang w:val="en-US" w:eastAsia="zh-CN" w:bidi="ar"/>
              </w:rPr>
              <w:t xml:space="preserve">监测结果及分析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bidi="ar"/>
              </w:rPr>
              <w:t>声环境质量现状</w:t>
            </w:r>
            <w:r>
              <w:rPr>
                <w:rFonts w:hint="default" w:ascii="Times New Roman" w:hAnsi="Times New Roman" w:eastAsia="宋体" w:cs="Times New Roman"/>
                <w:color w:val="auto"/>
                <w:kern w:val="0"/>
                <w:sz w:val="21"/>
                <w:szCs w:val="21"/>
                <w:highlight w:val="none"/>
                <w:lang w:val="en-US" w:eastAsia="zh-CN" w:bidi="ar"/>
              </w:rPr>
              <w:t xml:space="preserve">监测及评价结果见表 </w:t>
            </w:r>
            <w:r>
              <w:rPr>
                <w:rFonts w:hint="eastAsia" w:ascii="Times New Roman" w:hAnsi="Times New Roman" w:eastAsia="宋体" w:cs="Times New Roman"/>
                <w:b w:val="0"/>
                <w:bCs w:val="0"/>
                <w:color w:val="auto"/>
                <w:kern w:val="0"/>
                <w:sz w:val="21"/>
                <w:szCs w:val="21"/>
                <w:highlight w:val="none"/>
                <w:lang w:val="en-US" w:eastAsia="zh-CN"/>
              </w:rPr>
              <w:t>3</w:t>
            </w:r>
            <w:r>
              <w:rPr>
                <w:rFonts w:hint="eastAsia" w:cs="Times New Roman"/>
                <w:b w:val="0"/>
                <w:bCs w:val="0"/>
                <w:color w:val="auto"/>
                <w:kern w:val="0"/>
                <w:sz w:val="21"/>
                <w:szCs w:val="21"/>
                <w:highlight w:val="none"/>
                <w:lang w:val="en-US" w:eastAsia="zh-CN"/>
              </w:rPr>
              <w:t>.1.5</w:t>
            </w:r>
            <w:r>
              <w:rPr>
                <w:rFonts w:hint="default" w:ascii="Times New Roman" w:hAnsi="Times New Roman" w:eastAsia="宋体" w:cs="Times New Roman"/>
                <w:b w:val="0"/>
                <w:bCs w:val="0"/>
                <w:color w:val="auto"/>
                <w:kern w:val="0"/>
                <w:sz w:val="21"/>
                <w:szCs w:val="21"/>
                <w:highlight w:val="none"/>
              </w:rPr>
              <w:t>-</w:t>
            </w:r>
            <w:r>
              <w:rPr>
                <w:rFonts w:hint="eastAsia" w:ascii="Times New Roman" w:hAnsi="Times New Roman" w:eastAsia="宋体" w:cs="Times New Roman"/>
                <w:b w:val="0"/>
                <w:bCs w:val="0"/>
                <w:color w:val="auto"/>
                <w:kern w:val="0"/>
                <w:sz w:val="21"/>
                <w:szCs w:val="21"/>
                <w:highlight w:val="none"/>
                <w:lang w:val="en-US" w:eastAsia="zh-CN"/>
              </w:rPr>
              <w:t>7</w:t>
            </w:r>
            <w:r>
              <w:rPr>
                <w:rFonts w:hint="default" w:ascii="Times New Roman" w:hAnsi="Times New Roman" w:eastAsia="宋体" w:cs="Times New Roman"/>
                <w:color w:val="auto"/>
                <w:kern w:val="0"/>
                <w:sz w:val="21"/>
                <w:szCs w:val="21"/>
                <w:highlight w:val="none"/>
                <w:lang w:val="en-US" w:eastAsia="zh-CN" w:bidi="ar"/>
              </w:rPr>
              <w:t>。</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表</w:t>
            </w:r>
            <w:r>
              <w:rPr>
                <w:rFonts w:hint="eastAsia" w:ascii="Times New Roman" w:hAnsi="Times New Roman" w:eastAsia="宋体" w:cs="Times New Roman"/>
                <w:b w:val="0"/>
                <w:bCs w:val="0"/>
                <w:color w:val="auto"/>
                <w:kern w:val="0"/>
                <w:sz w:val="21"/>
                <w:szCs w:val="21"/>
                <w:highlight w:val="none"/>
                <w:lang w:val="en-US" w:eastAsia="zh-CN"/>
              </w:rPr>
              <w:t>3</w:t>
            </w:r>
            <w:r>
              <w:rPr>
                <w:rFonts w:hint="eastAsia" w:cs="Times New Roman"/>
                <w:b w:val="0"/>
                <w:bCs w:val="0"/>
                <w:color w:val="auto"/>
                <w:kern w:val="0"/>
                <w:sz w:val="21"/>
                <w:szCs w:val="21"/>
                <w:highlight w:val="none"/>
                <w:lang w:val="en-US" w:eastAsia="zh-CN"/>
              </w:rPr>
              <w:t>.1.5</w:t>
            </w:r>
            <w:r>
              <w:rPr>
                <w:rFonts w:hint="default" w:ascii="Times New Roman" w:hAnsi="Times New Roman" w:eastAsia="宋体" w:cs="Times New Roman"/>
                <w:b w:val="0"/>
                <w:bCs w:val="0"/>
                <w:color w:val="auto"/>
                <w:kern w:val="0"/>
                <w:sz w:val="21"/>
                <w:szCs w:val="21"/>
                <w:highlight w:val="none"/>
              </w:rPr>
              <w:t>-</w:t>
            </w:r>
            <w:r>
              <w:rPr>
                <w:rFonts w:hint="eastAsia" w:ascii="Times New Roman" w:hAnsi="Times New Roman" w:eastAsia="宋体" w:cs="Times New Roman"/>
                <w:b w:val="0"/>
                <w:bCs w:val="0"/>
                <w:color w:val="auto"/>
                <w:kern w:val="0"/>
                <w:sz w:val="21"/>
                <w:szCs w:val="21"/>
                <w:highlight w:val="none"/>
                <w:lang w:val="en-US" w:eastAsia="zh-CN"/>
              </w:rPr>
              <w:t>7</w:t>
            </w:r>
            <w:r>
              <w:rPr>
                <w:rFonts w:hint="default" w:ascii="Times New Roman" w:hAnsi="Times New Roman" w:eastAsia="宋体" w:cs="Times New Roman"/>
                <w:b w:val="0"/>
                <w:bCs w:val="0"/>
                <w:color w:val="auto"/>
                <w:kern w:val="0"/>
                <w:sz w:val="21"/>
                <w:szCs w:val="21"/>
                <w:highlight w:val="none"/>
              </w:rPr>
              <w:t xml:space="preserve">  </w:t>
            </w:r>
            <w:r>
              <w:rPr>
                <w:rFonts w:hint="eastAsia" w:ascii="Times New Roman" w:hAnsi="Times New Roman" w:eastAsia="宋体" w:cs="Times New Roman"/>
                <w:color w:val="auto"/>
                <w:kern w:val="0"/>
                <w:sz w:val="21"/>
                <w:szCs w:val="21"/>
                <w:highlight w:val="none"/>
                <w:lang w:val="en-US" w:eastAsia="zh-CN" w:bidi="ar"/>
              </w:rPr>
              <w:t>声环境质量现状监测</w:t>
            </w:r>
            <w:r>
              <w:rPr>
                <w:rFonts w:hint="eastAsia" w:ascii="Times New Roman" w:hAnsi="Times New Roman" w:eastAsia="宋体" w:cs="Times New Roman"/>
                <w:b w:val="0"/>
                <w:bCs w:val="0"/>
                <w:color w:val="auto"/>
                <w:kern w:val="0"/>
                <w:sz w:val="21"/>
                <w:szCs w:val="21"/>
                <w:highlight w:val="none"/>
                <w:lang w:val="en-US" w:eastAsia="zh-CN"/>
              </w:rPr>
              <w:t>结果</w:t>
            </w:r>
            <w:r>
              <w:rPr>
                <w:rFonts w:hint="default" w:ascii="Times New Roman" w:hAnsi="Times New Roman" w:eastAsia="宋体" w:cs="Times New Roman"/>
                <w:b w:val="0"/>
                <w:bCs w:val="0"/>
                <w:color w:val="auto"/>
                <w:kern w:val="0"/>
                <w:sz w:val="21"/>
                <w:szCs w:val="21"/>
                <w:highlight w:val="none"/>
              </w:rPr>
              <w:t>一览表</w:t>
            </w:r>
          </w:p>
          <w:tbl>
            <w:tblPr>
              <w:tblStyle w:val="29"/>
              <w:tblW w:w="806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496"/>
              <w:gridCol w:w="1855"/>
              <w:gridCol w:w="1855"/>
              <w:gridCol w:w="18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547" w:type="pct"/>
                  <w:vMerge w:val="restart"/>
                  <w:tcBorders>
                    <w:top w:val="single" w:color="000000" w:sz="8" w:space="0"/>
                    <w:left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监测时间</w:t>
                  </w:r>
                </w:p>
              </w:tc>
              <w:tc>
                <w:tcPr>
                  <w:tcW w:w="1149" w:type="pct"/>
                  <w:vMerge w:val="restart"/>
                  <w:tcBorders>
                    <w:top w:val="single" w:color="000000" w:sz="8" w:space="0"/>
                    <w:left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监测点位</w:t>
                  </w:r>
                </w:p>
              </w:tc>
              <w:tc>
                <w:tcPr>
                  <w:tcW w:w="2303"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监测结果</w:t>
                  </w:r>
                  <w:r>
                    <w:rPr>
                      <w:rFonts w:hint="default" w:ascii="Times New Roman" w:hAnsi="Times New Roman" w:eastAsia="宋体" w:cs="Times New Roman"/>
                      <w:i w:val="0"/>
                      <w:iCs w:val="0"/>
                      <w:color w:val="auto"/>
                      <w:kern w:val="0"/>
                      <w:sz w:val="18"/>
                      <w:szCs w:val="18"/>
                      <w:highlight w:val="none"/>
                      <w:u w:val="none"/>
                      <w:lang w:val="en-US" w:eastAsia="zh-CN" w:bidi="ar"/>
                    </w:rPr>
                    <w:t>dB(A)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547" w:type="pct"/>
                  <w:vMerge w:val="continue"/>
                  <w:tcBorders>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1149" w:type="pct"/>
                  <w:vMerge w:val="continue"/>
                  <w:tcBorders>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1149"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昼间</w:t>
                  </w:r>
                </w:p>
              </w:tc>
              <w:tc>
                <w:tcPr>
                  <w:tcW w:w="115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夜间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547" w:type="pct"/>
                  <w:vMerge w:val="restart"/>
                  <w:tcBorders>
                    <w:top w:val="nil"/>
                    <w:left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w:t>
                  </w:r>
                  <w:r>
                    <w:rPr>
                      <w:rFonts w:hint="eastAsia" w:ascii="Times New Roman" w:hAnsi="Times New Roman" w:eastAsia="宋体" w:cs="Times New Roman"/>
                      <w:i w:val="0"/>
                      <w:iCs w:val="0"/>
                      <w:color w:val="auto"/>
                      <w:kern w:val="0"/>
                      <w:sz w:val="18"/>
                      <w:szCs w:val="18"/>
                      <w:highlight w:val="none"/>
                      <w:u w:val="none"/>
                      <w:lang w:val="en-US" w:eastAsia="zh-CN" w:bidi="ar"/>
                    </w:rPr>
                    <w:t>4</w:t>
                  </w:r>
                  <w:r>
                    <w:rPr>
                      <w:rFonts w:hint="default" w:ascii="Times New Roman" w:hAnsi="Times New Roman" w:eastAsia="宋体" w:cs="Times New Roman"/>
                      <w:i w:val="0"/>
                      <w:iCs w:val="0"/>
                      <w:color w:val="auto"/>
                      <w:kern w:val="0"/>
                      <w:sz w:val="18"/>
                      <w:szCs w:val="18"/>
                      <w:highlight w:val="none"/>
                      <w:u w:val="none"/>
                      <w:lang w:val="en-US" w:eastAsia="zh-CN" w:bidi="ar"/>
                    </w:rPr>
                    <w:t>年</w:t>
                  </w:r>
                  <w:r>
                    <w:rPr>
                      <w:rFonts w:hint="eastAsia" w:ascii="Times New Roman" w:hAnsi="Times New Roman" w:eastAsia="宋体" w:cs="Times New Roman"/>
                      <w:i w:val="0"/>
                      <w:iCs w:val="0"/>
                      <w:color w:val="auto"/>
                      <w:kern w:val="0"/>
                      <w:sz w:val="18"/>
                      <w:szCs w:val="18"/>
                      <w:highlight w:val="none"/>
                      <w:u w:val="none"/>
                      <w:lang w:val="en-US" w:eastAsia="zh-CN" w:bidi="ar"/>
                    </w:rPr>
                    <w:t>1</w:t>
                  </w:r>
                  <w:r>
                    <w:rPr>
                      <w:rFonts w:hint="default" w:ascii="Times New Roman" w:hAnsi="Times New Roman" w:eastAsia="宋体" w:cs="Times New Roman"/>
                      <w:i w:val="0"/>
                      <w:iCs w:val="0"/>
                      <w:color w:val="auto"/>
                      <w:kern w:val="0"/>
                      <w:sz w:val="18"/>
                      <w:szCs w:val="18"/>
                      <w:highlight w:val="none"/>
                      <w:u w:val="none"/>
                      <w:lang w:val="en-US" w:eastAsia="zh-CN" w:bidi="ar"/>
                    </w:rPr>
                    <w:t>月1</w:t>
                  </w:r>
                  <w:r>
                    <w:rPr>
                      <w:rFonts w:hint="eastAsia" w:ascii="Times New Roman" w:hAnsi="Times New Roman" w:eastAsia="宋体" w:cs="Times New Roman"/>
                      <w:i w:val="0"/>
                      <w:iCs w:val="0"/>
                      <w:color w:val="auto"/>
                      <w:kern w:val="0"/>
                      <w:sz w:val="18"/>
                      <w:szCs w:val="18"/>
                      <w:highlight w:val="none"/>
                      <w:u w:val="none"/>
                      <w:lang w:val="en-US" w:eastAsia="zh-CN" w:bidi="ar"/>
                    </w:rPr>
                    <w:t>1</w:t>
                  </w:r>
                  <w:r>
                    <w:rPr>
                      <w:rFonts w:hint="default" w:ascii="Times New Roman" w:hAnsi="Times New Roman" w:eastAsia="宋体" w:cs="Times New Roman"/>
                      <w:i w:val="0"/>
                      <w:iCs w:val="0"/>
                      <w:color w:val="auto"/>
                      <w:kern w:val="0"/>
                      <w:sz w:val="18"/>
                      <w:szCs w:val="18"/>
                      <w:highlight w:val="none"/>
                      <w:u w:val="none"/>
                      <w:lang w:val="en-US" w:eastAsia="zh-CN" w:bidi="ar"/>
                    </w:rPr>
                    <w:t>日</w:t>
                  </w:r>
                </w:p>
              </w:tc>
              <w:tc>
                <w:tcPr>
                  <w:tcW w:w="1149"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Times New Roman" w:hAnsi="Times New Roman" w:eastAsia="宋体" w:cs="Times New Roman"/>
                      <w:i w:val="0"/>
                      <w:iCs w:val="0"/>
                      <w:color w:val="auto"/>
                      <w:kern w:val="0"/>
                      <w:sz w:val="18"/>
                      <w:szCs w:val="18"/>
                      <w:highlight w:val="none"/>
                      <w:u w:val="none"/>
                      <w:lang w:val="en-US" w:eastAsia="zh-CN" w:bidi="ar"/>
                    </w:rPr>
                    <w:t>C</w:t>
                  </w: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1149"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48</w:t>
                  </w:r>
                </w:p>
              </w:tc>
              <w:tc>
                <w:tcPr>
                  <w:tcW w:w="115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547" w:type="pct"/>
                  <w:vMerge w:val="continue"/>
                  <w:tcBorders>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1149"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Times New Roman" w:hAnsi="Times New Roman" w:eastAsia="宋体" w:cs="Times New Roman"/>
                      <w:i w:val="0"/>
                      <w:iCs w:val="0"/>
                      <w:color w:val="auto"/>
                      <w:kern w:val="0"/>
                      <w:sz w:val="18"/>
                      <w:szCs w:val="18"/>
                      <w:highlight w:val="none"/>
                      <w:u w:val="none"/>
                      <w:lang w:val="en-US" w:eastAsia="zh-CN" w:bidi="ar"/>
                    </w:rPr>
                    <w:t>C</w:t>
                  </w: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1149"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45</w:t>
                  </w:r>
                </w:p>
              </w:tc>
              <w:tc>
                <w:tcPr>
                  <w:tcW w:w="115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547" w:type="pct"/>
                  <w:vMerge w:val="restart"/>
                  <w:tcBorders>
                    <w:top w:val="nil"/>
                    <w:left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w:t>
                  </w:r>
                  <w:r>
                    <w:rPr>
                      <w:rFonts w:hint="eastAsia" w:ascii="Times New Roman" w:hAnsi="Times New Roman" w:eastAsia="宋体" w:cs="Times New Roman"/>
                      <w:i w:val="0"/>
                      <w:iCs w:val="0"/>
                      <w:color w:val="auto"/>
                      <w:kern w:val="0"/>
                      <w:sz w:val="18"/>
                      <w:szCs w:val="18"/>
                      <w:highlight w:val="none"/>
                      <w:u w:val="none"/>
                      <w:lang w:val="en-US" w:eastAsia="zh-CN" w:bidi="ar"/>
                    </w:rPr>
                    <w:t>4</w:t>
                  </w:r>
                  <w:r>
                    <w:rPr>
                      <w:rFonts w:hint="default" w:ascii="Times New Roman" w:hAnsi="Times New Roman" w:eastAsia="宋体" w:cs="Times New Roman"/>
                      <w:i w:val="0"/>
                      <w:iCs w:val="0"/>
                      <w:color w:val="auto"/>
                      <w:kern w:val="0"/>
                      <w:sz w:val="18"/>
                      <w:szCs w:val="18"/>
                      <w:highlight w:val="none"/>
                      <w:u w:val="none"/>
                      <w:lang w:val="en-US" w:eastAsia="zh-CN" w:bidi="ar"/>
                    </w:rPr>
                    <w:t>年</w:t>
                  </w:r>
                  <w:r>
                    <w:rPr>
                      <w:rFonts w:hint="eastAsia" w:ascii="Times New Roman" w:hAnsi="Times New Roman" w:eastAsia="宋体" w:cs="Times New Roman"/>
                      <w:i w:val="0"/>
                      <w:iCs w:val="0"/>
                      <w:color w:val="auto"/>
                      <w:kern w:val="0"/>
                      <w:sz w:val="18"/>
                      <w:szCs w:val="18"/>
                      <w:highlight w:val="none"/>
                      <w:u w:val="none"/>
                      <w:lang w:val="en-US" w:eastAsia="zh-CN" w:bidi="ar"/>
                    </w:rPr>
                    <w:t>1</w:t>
                  </w:r>
                  <w:r>
                    <w:rPr>
                      <w:rFonts w:hint="default" w:ascii="Times New Roman" w:hAnsi="Times New Roman" w:eastAsia="宋体" w:cs="Times New Roman"/>
                      <w:i w:val="0"/>
                      <w:iCs w:val="0"/>
                      <w:color w:val="auto"/>
                      <w:kern w:val="0"/>
                      <w:sz w:val="18"/>
                      <w:szCs w:val="18"/>
                      <w:highlight w:val="none"/>
                      <w:u w:val="none"/>
                      <w:lang w:val="en-US" w:eastAsia="zh-CN" w:bidi="ar"/>
                    </w:rPr>
                    <w:t>月</w:t>
                  </w:r>
                  <w:r>
                    <w:rPr>
                      <w:rFonts w:hint="eastAsia" w:ascii="Times New Roman" w:hAnsi="Times New Roman" w:eastAsia="宋体" w:cs="Times New Roman"/>
                      <w:i w:val="0"/>
                      <w:iCs w:val="0"/>
                      <w:color w:val="auto"/>
                      <w:kern w:val="0"/>
                      <w:sz w:val="18"/>
                      <w:szCs w:val="18"/>
                      <w:highlight w:val="none"/>
                      <w:u w:val="none"/>
                      <w:lang w:val="en-US" w:eastAsia="zh-CN" w:bidi="ar"/>
                    </w:rPr>
                    <w:t>1</w:t>
                  </w:r>
                  <w:r>
                    <w:rPr>
                      <w:rFonts w:hint="default" w:ascii="Times New Roman" w:hAnsi="Times New Roman" w:eastAsia="宋体" w:cs="Times New Roman"/>
                      <w:i w:val="0"/>
                      <w:iCs w:val="0"/>
                      <w:color w:val="auto"/>
                      <w:kern w:val="0"/>
                      <w:sz w:val="18"/>
                      <w:szCs w:val="18"/>
                      <w:highlight w:val="none"/>
                      <w:u w:val="none"/>
                      <w:lang w:val="en-US" w:eastAsia="zh-CN" w:bidi="ar"/>
                    </w:rPr>
                    <w:t>2日</w:t>
                  </w:r>
                </w:p>
              </w:tc>
              <w:tc>
                <w:tcPr>
                  <w:tcW w:w="1149"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Times New Roman" w:hAnsi="Times New Roman" w:eastAsia="宋体" w:cs="Times New Roman"/>
                      <w:i w:val="0"/>
                      <w:iCs w:val="0"/>
                      <w:color w:val="auto"/>
                      <w:kern w:val="0"/>
                      <w:sz w:val="18"/>
                      <w:szCs w:val="18"/>
                      <w:highlight w:val="none"/>
                      <w:u w:val="none"/>
                      <w:lang w:val="en-US" w:eastAsia="zh-CN" w:bidi="ar"/>
                    </w:rPr>
                    <w:t>C</w:t>
                  </w: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1149"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50</w:t>
                  </w:r>
                </w:p>
              </w:tc>
              <w:tc>
                <w:tcPr>
                  <w:tcW w:w="115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lang w:val="en-US" w:eastAsia="zh-CN"/>
                    </w:rPr>
                  </w:pPr>
                  <w:r>
                    <w:rPr>
                      <w:rFonts w:hint="eastAsia" w:ascii="Times New Roman" w:hAnsi="Times New Roman" w:eastAsia="宋体" w:cs="Times New Roman"/>
                      <w:i w:val="0"/>
                      <w:iCs w:val="0"/>
                      <w:color w:val="auto"/>
                      <w:sz w:val="18"/>
                      <w:szCs w:val="18"/>
                      <w:highlight w:val="none"/>
                      <w:u w:val="none"/>
                      <w:lang w:val="en-US" w:eastAsia="zh-CN"/>
                    </w:rPr>
                    <w:t>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547" w:type="pct"/>
                  <w:vMerge w:val="continue"/>
                  <w:tcBorders>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1149"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Times New Roman" w:hAnsi="Times New Roman" w:eastAsia="宋体" w:cs="Times New Roman"/>
                      <w:i w:val="0"/>
                      <w:iCs w:val="0"/>
                      <w:color w:val="auto"/>
                      <w:kern w:val="0"/>
                      <w:sz w:val="18"/>
                      <w:szCs w:val="18"/>
                      <w:highlight w:val="none"/>
                      <w:u w:val="none"/>
                      <w:lang w:val="en-US" w:eastAsia="zh-CN" w:bidi="ar"/>
                    </w:rPr>
                    <w:t>C</w:t>
                  </w: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1149"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46</w:t>
                  </w:r>
                </w:p>
              </w:tc>
              <w:tc>
                <w:tcPr>
                  <w:tcW w:w="115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w:t>
                  </w:r>
                  <w:r>
                    <w:rPr>
                      <w:rFonts w:hint="eastAsia" w:ascii="Times New Roman" w:hAnsi="Times New Roman" w:eastAsia="宋体" w:cs="Times New Roman"/>
                      <w:i w:val="0"/>
                      <w:iCs w:val="0"/>
                      <w:color w:val="auto"/>
                      <w:kern w:val="0"/>
                      <w:sz w:val="18"/>
                      <w:szCs w:val="18"/>
                      <w:highlight w:val="none"/>
                      <w:u w:val="none"/>
                      <w:lang w:val="en-US" w:eastAsia="zh-CN" w:bidi="ar"/>
                    </w:rPr>
                    <w:t>3</w:t>
                  </w:r>
                </w:p>
              </w:tc>
            </w:tr>
          </w:tbl>
          <w:p>
            <w:pPr>
              <w:rPr>
                <w:rFonts w:hint="eastAsia"/>
                <w:color w:val="auto"/>
                <w:sz w:val="21"/>
                <w:szCs w:val="21"/>
                <w:highlight w:val="none"/>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根据上表可知，项目监测点昼、夜间噪声均满足《声环境质量标准》（GB3096- 2008）1 类标准要求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86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与项目有关的原有环境污染和生态破坏问题</w:t>
            </w:r>
          </w:p>
        </w:tc>
        <w:tc>
          <w:tcPr>
            <w:tcW w:w="8288"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3.2.1 区域污染源现状调查及主要环境问题</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堰沟水库工程位于堰沟，尚未划分水功能区，由于堰沟为巴河左岸二级支流，巴</w:t>
            </w:r>
            <w:r>
              <w:rPr>
                <w:rFonts w:hint="eastAsia" w:cs="Times New Roman"/>
                <w:color w:val="auto"/>
                <w:kern w:val="0"/>
                <w:sz w:val="21"/>
                <w:szCs w:val="21"/>
                <w:highlight w:val="none"/>
                <w:lang w:val="en-US" w:eastAsia="zh-CN" w:bidi="ar"/>
              </w:rPr>
              <w:t>河</w:t>
            </w:r>
            <w:r>
              <w:rPr>
                <w:rFonts w:hint="eastAsia" w:ascii="Times New Roman" w:hAnsi="Times New Roman" w:eastAsia="宋体" w:cs="Times New Roman"/>
                <w:color w:val="auto"/>
                <w:kern w:val="0"/>
                <w:sz w:val="21"/>
                <w:szCs w:val="21"/>
                <w:highlight w:val="none"/>
                <w:lang w:val="en-US" w:eastAsia="zh-CN" w:bidi="ar"/>
              </w:rPr>
              <w:t>为渠江上游支流，渠江为长江上游右岸的一级支流。工程集雨范围内无大型污染企业，生活污染和农业面污染是河道两岸的主要污染源。堰沟两岸农耕不甚发达，库周农药、化肥施用量普遍较低，沿河两岸居民分散，沿线村民较少，生活污水排放量较低，河水受污染程度较轻；地处山区，生活燃料主要为林木和农作物秸秆，在居民聚居地区，存在砍伐问题。规划区域内地形坡度较大，虽然植被较好，但河床坡度陡，地势起伏大，地质构造复杂，存在水土流失问题。此外，流域内部分河段均存在生活及建筑垃圾固废倾倒入河道，对河流景观与环境质量造成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7" w:hRule="atLeast"/>
          <w:jc w:val="center"/>
        </w:trPr>
        <w:tc>
          <w:tcPr>
            <w:tcW w:w="869" w:type="dxa"/>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生态环境保护目标</w:t>
            </w:r>
          </w:p>
        </w:tc>
        <w:tc>
          <w:tcPr>
            <w:tcW w:w="8288" w:type="dxa"/>
            <w:vAlign w:val="top"/>
          </w:tcPr>
          <w:p>
            <w:pPr>
              <w:spacing w:line="360" w:lineRule="auto"/>
              <w:rPr>
                <w:rFonts w:hint="default"/>
                <w:b/>
                <w:bCs/>
                <w:color w:val="auto"/>
                <w:highlight w:val="none"/>
                <w:lang w:val="en-US" w:eastAsia="zh-CN"/>
              </w:rPr>
            </w:pPr>
            <w:r>
              <w:rPr>
                <w:rFonts w:hint="eastAsia"/>
                <w:b/>
                <w:bCs/>
                <w:color w:val="auto"/>
                <w:highlight w:val="none"/>
                <w:lang w:val="en-US" w:eastAsia="zh-CN"/>
              </w:rPr>
              <w:t>3.3.1 项目环境保护目标</w:t>
            </w:r>
          </w:p>
          <w:p>
            <w:pPr>
              <w:spacing w:line="360" w:lineRule="auto"/>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生态环境保护目标</w:t>
            </w:r>
          </w:p>
          <w:p>
            <w:pPr>
              <w:spacing w:line="360" w:lineRule="auto"/>
              <w:ind w:firstLine="420" w:firstLineChars="200"/>
              <w:rPr>
                <w:color w:val="auto"/>
                <w:highlight w:val="none"/>
              </w:rPr>
            </w:pPr>
            <w:r>
              <w:rPr>
                <w:rFonts w:hint="eastAsia"/>
                <w:color w:val="auto"/>
                <w:highlight w:val="none"/>
              </w:rPr>
              <w:t>根据现场踏勘、查阅资料，结合工程施工期、运营期特点以及工程区域环境状况，项目评价范围内不涉及自然保护区、风景名胜区、水土流失重点防治区、森林公园、地质公园、世界遗产地、国家重点文物保护单位、历史文化保护地等敏感区域，不属于生态敏感与脆弱区。根据相关资料和现场调查情况，施工区域均无鱼类索饵场、越冬场和产卵场分布，也未发现有重点保护鱼类分布，下游河段无饮用水源保护区。工程所在流域内以农业生态环境为主，未发现有珍稀保护野生动植物。</w:t>
            </w:r>
          </w:p>
          <w:p>
            <w:pPr>
              <w:spacing w:line="360" w:lineRule="auto"/>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大气环境保护目标</w:t>
            </w:r>
          </w:p>
          <w:p>
            <w:pPr>
              <w:spacing w:line="360" w:lineRule="auto"/>
              <w:ind w:firstLine="420" w:firstLineChars="200"/>
              <w:rPr>
                <w:rFonts w:hint="eastAsia" w:eastAsia="宋体"/>
                <w:color w:val="auto"/>
                <w:highlight w:val="none"/>
                <w:lang w:val="en-US" w:eastAsia="zh-CN"/>
              </w:rPr>
            </w:pPr>
            <w:r>
              <w:rPr>
                <w:rFonts w:hint="eastAsia"/>
                <w:color w:val="auto"/>
                <w:highlight w:val="none"/>
              </w:rPr>
              <w:t>参考《建设项目环境影响报告表编制技术指南（污染影响类）》中要求，大气环境评价范围为500m。主要大气环境保护目标为</w:t>
            </w:r>
            <w:r>
              <w:rPr>
                <w:rFonts w:hint="eastAsia"/>
                <w:color w:val="auto"/>
                <w:highlight w:val="none"/>
                <w:lang w:val="en-US" w:eastAsia="zh-CN"/>
              </w:rPr>
              <w:t>堰沟居民点、垭口湾散户居民、陈家岭居民点、付家河坝散户居民、下陈家河坝居民点、</w:t>
            </w:r>
            <w:bookmarkStart w:id="6" w:name="_GoBack"/>
            <w:bookmarkEnd w:id="6"/>
            <w:r>
              <w:rPr>
                <w:rFonts w:hint="eastAsia"/>
                <w:color w:val="auto"/>
                <w:highlight w:val="none"/>
                <w:lang w:val="en-US" w:eastAsia="zh-CN"/>
              </w:rPr>
              <w:t>芶家湾居民点、江家梁居民点、周家湾居民点、瓦厂湾散户居民、1#农户、2#农户、河塘沟散户居民等</w:t>
            </w:r>
            <w:r>
              <w:rPr>
                <w:rFonts w:hint="eastAsia"/>
                <w:color w:val="auto"/>
                <w:highlight w:val="none"/>
              </w:rPr>
              <w:t>。</w:t>
            </w:r>
            <w:r>
              <w:rPr>
                <w:rFonts w:hint="eastAsia"/>
                <w:color w:val="auto"/>
                <w:kern w:val="0"/>
                <w:sz w:val="21"/>
                <w:szCs w:val="21"/>
                <w:highlight w:val="none"/>
                <w:lang w:eastAsia="zh-CN"/>
              </w:rPr>
              <w:t>大气环境保护</w:t>
            </w:r>
            <w:r>
              <w:rPr>
                <w:rFonts w:hint="default"/>
                <w:color w:val="auto"/>
                <w:kern w:val="0"/>
                <w:sz w:val="21"/>
                <w:szCs w:val="21"/>
                <w:highlight w:val="none"/>
              </w:rPr>
              <w:t>目标见表</w:t>
            </w:r>
            <w:r>
              <w:rPr>
                <w:rFonts w:hint="eastAsia"/>
                <w:color w:val="auto"/>
                <w:highlight w:val="none"/>
              </w:rPr>
              <w:t>3.3-1</w:t>
            </w:r>
            <w:r>
              <w:rPr>
                <w:rFonts w:hint="eastAsia"/>
                <w:color w:val="auto"/>
                <w:highlight w:val="none"/>
                <w:lang w:eastAsia="zh-CN"/>
              </w:rPr>
              <w:t>。</w:t>
            </w:r>
          </w:p>
          <w:p>
            <w:pPr>
              <w:spacing w:line="360" w:lineRule="auto"/>
              <w:jc w:val="center"/>
              <w:rPr>
                <w:color w:val="auto"/>
                <w:highlight w:val="none"/>
              </w:rPr>
            </w:pPr>
            <w:r>
              <w:rPr>
                <w:color w:val="auto"/>
                <w:highlight w:val="none"/>
              </w:rPr>
              <w:t>表</w:t>
            </w:r>
            <w:r>
              <w:rPr>
                <w:rFonts w:hint="eastAsia"/>
                <w:color w:val="auto"/>
                <w:highlight w:val="none"/>
              </w:rPr>
              <w:t>3.3-1</w:t>
            </w:r>
            <w:r>
              <w:rPr>
                <w:color w:val="auto"/>
                <w:highlight w:val="none"/>
              </w:rPr>
              <w:t xml:space="preserve"> </w:t>
            </w:r>
            <w:r>
              <w:rPr>
                <w:rFonts w:hint="eastAsia"/>
                <w:color w:val="auto"/>
                <w:highlight w:val="none"/>
              </w:rPr>
              <w:t>拟建项目环境保护</w:t>
            </w:r>
            <w:r>
              <w:rPr>
                <w:color w:val="auto"/>
                <w:highlight w:val="none"/>
              </w:rPr>
              <w:t>目标分布一览表</w:t>
            </w:r>
          </w:p>
          <w:tbl>
            <w:tblPr>
              <w:tblStyle w:val="29"/>
              <w:tblW w:w="4905"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578"/>
              <w:gridCol w:w="969"/>
              <w:gridCol w:w="1319"/>
              <w:gridCol w:w="1180"/>
              <w:gridCol w:w="603"/>
              <w:gridCol w:w="1192"/>
              <w:gridCol w:w="1268"/>
              <w:gridCol w:w="80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 w:hRule="atLeast"/>
                <w:jc w:val="center"/>
              </w:trPr>
              <w:tc>
                <w:tcPr>
                  <w:tcW w:w="578" w:type="dxa"/>
                  <w:vMerge w:val="restart"/>
                  <w:tcBorders>
                    <w:top w:val="single" w:color="auto" w:sz="4" w:space="0"/>
                    <w:left w:val="single" w:color="auto" w:sz="4" w:space="0"/>
                    <w:bottom w:val="single" w:color="auto" w:sz="6" w:space="0"/>
                    <w:right w:val="single" w:color="auto" w:sz="6" w:space="0"/>
                  </w:tcBorders>
                  <w:vAlign w:val="center"/>
                </w:tcPr>
                <w:p>
                  <w:pPr>
                    <w:jc w:val="center"/>
                    <w:rPr>
                      <w:b/>
                      <w:bCs/>
                      <w:color w:val="auto"/>
                      <w:sz w:val="18"/>
                      <w:szCs w:val="18"/>
                      <w:highlight w:val="none"/>
                    </w:rPr>
                  </w:pPr>
                  <w:r>
                    <w:rPr>
                      <w:rFonts w:hint="eastAsia"/>
                      <w:b/>
                      <w:bCs/>
                      <w:color w:val="auto"/>
                      <w:sz w:val="18"/>
                      <w:szCs w:val="18"/>
                      <w:highlight w:val="none"/>
                    </w:rPr>
                    <w:t>环境要素</w:t>
                  </w:r>
                </w:p>
              </w:tc>
              <w:tc>
                <w:tcPr>
                  <w:tcW w:w="969" w:type="dxa"/>
                  <w:vMerge w:val="restart"/>
                  <w:tcBorders>
                    <w:top w:val="single" w:color="auto" w:sz="4" w:space="0"/>
                    <w:left w:val="single" w:color="auto" w:sz="6" w:space="0"/>
                    <w:bottom w:val="single" w:color="auto" w:sz="6" w:space="0"/>
                    <w:right w:val="single" w:color="auto" w:sz="6" w:space="0"/>
                  </w:tcBorders>
                  <w:vAlign w:val="center"/>
                </w:tcPr>
                <w:p>
                  <w:pPr>
                    <w:jc w:val="center"/>
                    <w:rPr>
                      <w:b/>
                      <w:bCs/>
                      <w:color w:val="auto"/>
                      <w:sz w:val="18"/>
                      <w:szCs w:val="18"/>
                      <w:highlight w:val="none"/>
                    </w:rPr>
                  </w:pPr>
                  <w:r>
                    <w:rPr>
                      <w:b/>
                      <w:bCs/>
                      <w:color w:val="auto"/>
                      <w:sz w:val="18"/>
                      <w:szCs w:val="18"/>
                      <w:highlight w:val="none"/>
                    </w:rPr>
                    <w:t>保护目标</w:t>
                  </w:r>
                  <w:r>
                    <w:rPr>
                      <w:rFonts w:hint="eastAsia"/>
                      <w:b/>
                      <w:bCs/>
                      <w:color w:val="auto"/>
                      <w:sz w:val="18"/>
                      <w:szCs w:val="18"/>
                      <w:highlight w:val="none"/>
                    </w:rPr>
                    <w:t>名称</w:t>
                  </w:r>
                </w:p>
              </w:tc>
              <w:tc>
                <w:tcPr>
                  <w:tcW w:w="2499" w:type="dxa"/>
                  <w:gridSpan w:val="2"/>
                  <w:tcBorders>
                    <w:top w:val="single" w:color="auto" w:sz="4" w:space="0"/>
                    <w:left w:val="single" w:color="auto" w:sz="6" w:space="0"/>
                    <w:bottom w:val="single" w:color="auto" w:sz="6" w:space="0"/>
                    <w:right w:val="single" w:color="auto" w:sz="6" w:space="0"/>
                  </w:tcBorders>
                  <w:vAlign w:val="center"/>
                </w:tcPr>
                <w:p>
                  <w:pPr>
                    <w:jc w:val="center"/>
                    <w:rPr>
                      <w:b/>
                      <w:bCs/>
                      <w:color w:val="auto"/>
                      <w:sz w:val="18"/>
                      <w:szCs w:val="18"/>
                      <w:highlight w:val="none"/>
                    </w:rPr>
                  </w:pPr>
                  <w:r>
                    <w:rPr>
                      <w:b/>
                      <w:bCs/>
                      <w:color w:val="auto"/>
                      <w:sz w:val="18"/>
                      <w:szCs w:val="18"/>
                      <w:highlight w:val="none"/>
                    </w:rPr>
                    <w:t>坐标（中心）</w:t>
                  </w:r>
                </w:p>
              </w:tc>
              <w:tc>
                <w:tcPr>
                  <w:tcW w:w="603" w:type="dxa"/>
                  <w:vMerge w:val="restart"/>
                  <w:tcBorders>
                    <w:top w:val="single" w:color="auto" w:sz="4" w:space="0"/>
                    <w:left w:val="single" w:color="auto" w:sz="6" w:space="0"/>
                    <w:bottom w:val="single" w:color="auto" w:sz="6" w:space="0"/>
                    <w:right w:val="single" w:color="auto" w:sz="6" w:space="0"/>
                  </w:tcBorders>
                  <w:vAlign w:val="center"/>
                </w:tcPr>
                <w:p>
                  <w:pPr>
                    <w:jc w:val="center"/>
                    <w:rPr>
                      <w:b/>
                      <w:bCs/>
                      <w:color w:val="auto"/>
                      <w:sz w:val="18"/>
                      <w:szCs w:val="18"/>
                      <w:highlight w:val="none"/>
                    </w:rPr>
                  </w:pPr>
                  <w:r>
                    <w:rPr>
                      <w:b/>
                      <w:bCs/>
                      <w:color w:val="auto"/>
                      <w:sz w:val="18"/>
                      <w:szCs w:val="18"/>
                      <w:highlight w:val="none"/>
                    </w:rPr>
                    <w:t>相对方位</w:t>
                  </w:r>
                </w:p>
              </w:tc>
              <w:tc>
                <w:tcPr>
                  <w:tcW w:w="1192" w:type="dxa"/>
                  <w:vMerge w:val="restart"/>
                  <w:tcBorders>
                    <w:top w:val="single" w:color="auto" w:sz="4" w:space="0"/>
                    <w:left w:val="single" w:color="auto" w:sz="6" w:space="0"/>
                    <w:bottom w:val="single" w:color="auto" w:sz="6" w:space="0"/>
                    <w:right w:val="single" w:color="auto" w:sz="4" w:space="0"/>
                  </w:tcBorders>
                  <w:vAlign w:val="center"/>
                </w:tcPr>
                <w:p>
                  <w:pPr>
                    <w:jc w:val="center"/>
                    <w:rPr>
                      <w:b/>
                      <w:bCs/>
                      <w:color w:val="auto"/>
                      <w:sz w:val="18"/>
                      <w:szCs w:val="18"/>
                      <w:highlight w:val="none"/>
                    </w:rPr>
                  </w:pPr>
                  <w:r>
                    <w:rPr>
                      <w:b/>
                      <w:bCs/>
                      <w:color w:val="auto"/>
                      <w:sz w:val="18"/>
                      <w:szCs w:val="18"/>
                      <w:highlight w:val="none"/>
                    </w:rPr>
                    <w:t>相对</w:t>
                  </w:r>
                  <w:r>
                    <w:rPr>
                      <w:rFonts w:hint="eastAsia"/>
                      <w:b/>
                      <w:bCs/>
                      <w:color w:val="auto"/>
                      <w:sz w:val="18"/>
                      <w:szCs w:val="18"/>
                      <w:highlight w:val="none"/>
                      <w:lang w:val="en-US" w:eastAsia="zh-CN"/>
                    </w:rPr>
                    <w:t>库区</w:t>
                  </w:r>
                  <w:r>
                    <w:rPr>
                      <w:b/>
                      <w:bCs/>
                      <w:color w:val="auto"/>
                      <w:sz w:val="18"/>
                      <w:szCs w:val="18"/>
                      <w:highlight w:val="none"/>
                    </w:rPr>
                    <w:t>最近距离（m）</w:t>
                  </w:r>
                </w:p>
              </w:tc>
              <w:tc>
                <w:tcPr>
                  <w:tcW w:w="1268" w:type="dxa"/>
                  <w:vMerge w:val="restart"/>
                  <w:tcBorders>
                    <w:top w:val="single" w:color="auto" w:sz="4" w:space="0"/>
                    <w:left w:val="single" w:color="auto" w:sz="6" w:space="0"/>
                    <w:bottom w:val="single" w:color="auto" w:sz="6" w:space="0"/>
                    <w:right w:val="single" w:color="auto" w:sz="4" w:space="0"/>
                  </w:tcBorders>
                  <w:vAlign w:val="center"/>
                </w:tcPr>
                <w:p>
                  <w:pPr>
                    <w:jc w:val="center"/>
                    <w:rPr>
                      <w:b/>
                      <w:bCs/>
                      <w:color w:val="auto"/>
                      <w:sz w:val="18"/>
                      <w:szCs w:val="18"/>
                      <w:highlight w:val="none"/>
                    </w:rPr>
                  </w:pPr>
                  <w:r>
                    <w:rPr>
                      <w:b/>
                      <w:bCs/>
                      <w:color w:val="auto"/>
                      <w:sz w:val="18"/>
                      <w:szCs w:val="18"/>
                      <w:highlight w:val="none"/>
                    </w:rPr>
                    <w:t>保护</w:t>
                  </w:r>
                  <w:r>
                    <w:rPr>
                      <w:rFonts w:hint="eastAsia"/>
                      <w:b/>
                      <w:bCs/>
                      <w:color w:val="auto"/>
                      <w:sz w:val="18"/>
                      <w:szCs w:val="18"/>
                      <w:highlight w:val="none"/>
                    </w:rPr>
                    <w:t>对象</w:t>
                  </w:r>
                </w:p>
              </w:tc>
              <w:tc>
                <w:tcPr>
                  <w:tcW w:w="800" w:type="dxa"/>
                  <w:vMerge w:val="restart"/>
                  <w:tcBorders>
                    <w:top w:val="single" w:color="auto" w:sz="4" w:space="0"/>
                    <w:left w:val="single" w:color="auto" w:sz="6" w:space="0"/>
                    <w:right w:val="single" w:color="auto" w:sz="4" w:space="0"/>
                  </w:tcBorders>
                  <w:vAlign w:val="center"/>
                </w:tcPr>
                <w:p>
                  <w:pPr>
                    <w:jc w:val="center"/>
                    <w:rPr>
                      <w:b/>
                      <w:bCs/>
                      <w:color w:val="auto"/>
                      <w:sz w:val="18"/>
                      <w:szCs w:val="18"/>
                      <w:highlight w:val="none"/>
                    </w:rPr>
                  </w:pPr>
                  <w:r>
                    <w:rPr>
                      <w:b/>
                      <w:bCs/>
                      <w:color w:val="auto"/>
                      <w:sz w:val="18"/>
                      <w:szCs w:val="18"/>
                      <w:highlight w:val="none"/>
                    </w:rPr>
                    <w:t>环境功能区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2" w:hRule="atLeast"/>
                <w:jc w:val="center"/>
              </w:trPr>
              <w:tc>
                <w:tcPr>
                  <w:tcW w:w="578" w:type="dxa"/>
                  <w:vMerge w:val="continue"/>
                  <w:tcBorders>
                    <w:top w:val="single" w:color="auto" w:sz="4" w:space="0"/>
                    <w:left w:val="single" w:color="auto" w:sz="4" w:space="0"/>
                    <w:bottom w:val="single" w:color="auto" w:sz="6" w:space="0"/>
                    <w:right w:val="single" w:color="auto" w:sz="6" w:space="0"/>
                  </w:tcBorders>
                  <w:vAlign w:val="center"/>
                </w:tcPr>
                <w:p>
                  <w:pPr>
                    <w:widowControl/>
                    <w:jc w:val="center"/>
                    <w:rPr>
                      <w:b/>
                      <w:bCs/>
                      <w:color w:val="auto"/>
                      <w:sz w:val="18"/>
                      <w:szCs w:val="18"/>
                      <w:highlight w:val="none"/>
                    </w:rPr>
                  </w:pPr>
                </w:p>
              </w:tc>
              <w:tc>
                <w:tcPr>
                  <w:tcW w:w="969" w:type="dxa"/>
                  <w:vMerge w:val="continue"/>
                  <w:tcBorders>
                    <w:top w:val="single" w:color="auto" w:sz="4" w:space="0"/>
                    <w:left w:val="single" w:color="auto" w:sz="6" w:space="0"/>
                    <w:bottom w:val="single" w:color="auto" w:sz="6" w:space="0"/>
                    <w:right w:val="single" w:color="auto" w:sz="6" w:space="0"/>
                  </w:tcBorders>
                  <w:vAlign w:val="center"/>
                </w:tcPr>
                <w:p>
                  <w:pPr>
                    <w:widowControl/>
                    <w:jc w:val="center"/>
                    <w:rPr>
                      <w:b/>
                      <w:bCs/>
                      <w:color w:val="auto"/>
                      <w:sz w:val="18"/>
                      <w:szCs w:val="18"/>
                      <w:highlight w:val="none"/>
                    </w:rPr>
                  </w:pPr>
                </w:p>
              </w:tc>
              <w:tc>
                <w:tcPr>
                  <w:tcW w:w="1319" w:type="dxa"/>
                  <w:tcBorders>
                    <w:top w:val="single" w:color="auto" w:sz="6" w:space="0"/>
                    <w:left w:val="single" w:color="auto" w:sz="6" w:space="0"/>
                    <w:bottom w:val="single" w:color="auto" w:sz="6" w:space="0"/>
                    <w:right w:val="single" w:color="auto" w:sz="6" w:space="0"/>
                  </w:tcBorders>
                  <w:vAlign w:val="center"/>
                </w:tcPr>
                <w:p>
                  <w:pPr>
                    <w:jc w:val="center"/>
                    <w:rPr>
                      <w:b/>
                      <w:bCs/>
                      <w:color w:val="auto"/>
                      <w:sz w:val="18"/>
                      <w:szCs w:val="18"/>
                      <w:highlight w:val="none"/>
                    </w:rPr>
                  </w:pPr>
                  <w:r>
                    <w:rPr>
                      <w:b/>
                      <w:bCs/>
                      <w:color w:val="auto"/>
                      <w:sz w:val="18"/>
                      <w:szCs w:val="18"/>
                      <w:highlight w:val="none"/>
                    </w:rPr>
                    <w:t>经度</w:t>
                  </w: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b/>
                      <w:bCs/>
                      <w:color w:val="auto"/>
                      <w:sz w:val="18"/>
                      <w:szCs w:val="18"/>
                      <w:highlight w:val="none"/>
                    </w:rPr>
                  </w:pPr>
                  <w:r>
                    <w:rPr>
                      <w:b/>
                      <w:bCs/>
                      <w:color w:val="auto"/>
                      <w:sz w:val="18"/>
                      <w:szCs w:val="18"/>
                      <w:highlight w:val="none"/>
                    </w:rPr>
                    <w:t>纬度</w:t>
                  </w:r>
                </w:p>
              </w:tc>
              <w:tc>
                <w:tcPr>
                  <w:tcW w:w="603" w:type="dxa"/>
                  <w:vMerge w:val="continue"/>
                  <w:tcBorders>
                    <w:top w:val="single" w:color="auto" w:sz="4" w:space="0"/>
                    <w:left w:val="single" w:color="auto" w:sz="6" w:space="0"/>
                    <w:bottom w:val="single" w:color="auto" w:sz="6" w:space="0"/>
                    <w:right w:val="single" w:color="auto" w:sz="6" w:space="0"/>
                  </w:tcBorders>
                  <w:vAlign w:val="center"/>
                </w:tcPr>
                <w:p>
                  <w:pPr>
                    <w:widowControl/>
                    <w:jc w:val="center"/>
                    <w:rPr>
                      <w:color w:val="auto"/>
                      <w:sz w:val="18"/>
                      <w:szCs w:val="18"/>
                      <w:highlight w:val="none"/>
                    </w:rPr>
                  </w:pPr>
                </w:p>
              </w:tc>
              <w:tc>
                <w:tcPr>
                  <w:tcW w:w="1192" w:type="dxa"/>
                  <w:vMerge w:val="continue"/>
                  <w:tcBorders>
                    <w:top w:val="single" w:color="auto" w:sz="4" w:space="0"/>
                    <w:left w:val="single" w:color="auto" w:sz="6" w:space="0"/>
                    <w:bottom w:val="single" w:color="auto" w:sz="6" w:space="0"/>
                    <w:right w:val="single" w:color="auto" w:sz="4" w:space="0"/>
                  </w:tcBorders>
                  <w:vAlign w:val="center"/>
                </w:tcPr>
                <w:p>
                  <w:pPr>
                    <w:widowControl/>
                    <w:jc w:val="center"/>
                    <w:rPr>
                      <w:color w:val="auto"/>
                      <w:sz w:val="18"/>
                      <w:szCs w:val="18"/>
                      <w:highlight w:val="none"/>
                    </w:rPr>
                  </w:pPr>
                </w:p>
              </w:tc>
              <w:tc>
                <w:tcPr>
                  <w:tcW w:w="1268" w:type="dxa"/>
                  <w:vMerge w:val="continue"/>
                  <w:tcBorders>
                    <w:top w:val="single" w:color="auto" w:sz="4" w:space="0"/>
                    <w:left w:val="single" w:color="auto" w:sz="6" w:space="0"/>
                    <w:bottom w:val="single" w:color="auto" w:sz="6" w:space="0"/>
                    <w:right w:val="single" w:color="auto" w:sz="4" w:space="0"/>
                  </w:tcBorders>
                  <w:vAlign w:val="center"/>
                </w:tcPr>
                <w:p>
                  <w:pPr>
                    <w:widowControl/>
                    <w:jc w:val="center"/>
                    <w:rPr>
                      <w:color w:val="auto"/>
                      <w:sz w:val="18"/>
                      <w:szCs w:val="18"/>
                      <w:highlight w:val="none"/>
                    </w:rPr>
                  </w:pPr>
                </w:p>
              </w:tc>
              <w:tc>
                <w:tcPr>
                  <w:tcW w:w="800" w:type="dxa"/>
                  <w:vMerge w:val="continue"/>
                  <w:tcBorders>
                    <w:left w:val="single" w:color="auto" w:sz="6" w:space="0"/>
                    <w:bottom w:val="single" w:color="auto" w:sz="6" w:space="0"/>
                    <w:right w:val="single" w:color="auto" w:sz="4" w:space="0"/>
                  </w:tcBorders>
                  <w:vAlign w:val="center"/>
                </w:tcPr>
                <w:p>
                  <w:pPr>
                    <w:widowControl/>
                    <w:jc w:val="center"/>
                    <w:rPr>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78" w:type="dxa"/>
                  <w:vMerge w:val="restart"/>
                  <w:tcBorders>
                    <w:top w:val="single" w:color="auto" w:sz="6" w:space="0"/>
                    <w:left w:val="single" w:color="auto" w:sz="4" w:space="0"/>
                    <w:right w:val="single" w:color="auto" w:sz="6" w:space="0"/>
                  </w:tcBorders>
                  <w:vAlign w:val="center"/>
                </w:tcPr>
                <w:p>
                  <w:pPr>
                    <w:jc w:val="center"/>
                    <w:rPr>
                      <w:color w:val="auto"/>
                      <w:sz w:val="18"/>
                      <w:szCs w:val="18"/>
                      <w:highlight w:val="none"/>
                    </w:rPr>
                  </w:pPr>
                  <w:r>
                    <w:rPr>
                      <w:rFonts w:hint="eastAsia"/>
                      <w:color w:val="auto"/>
                      <w:sz w:val="18"/>
                      <w:szCs w:val="18"/>
                      <w:highlight w:val="none"/>
                    </w:rPr>
                    <w:t>大气环境</w:t>
                  </w:r>
                </w:p>
              </w:tc>
              <w:tc>
                <w:tcPr>
                  <w:tcW w:w="96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堰沟居民点</w:t>
                  </w:r>
                </w:p>
              </w:tc>
              <w:tc>
                <w:tcPr>
                  <w:tcW w:w="131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18"/>
                      <w:szCs w:val="18"/>
                      <w:highlight w:val="none"/>
                      <w:lang w:val="en-US"/>
                    </w:rPr>
                  </w:pPr>
                  <w:r>
                    <w:rPr>
                      <w:rFonts w:hint="default" w:ascii="Times New Roman" w:hAnsi="Times New Roman" w:eastAsia="宋体" w:cs="Times New Roman"/>
                      <w:i w:val="0"/>
                      <w:iCs w:val="0"/>
                      <w:color w:val="auto"/>
                      <w:kern w:val="0"/>
                      <w:sz w:val="18"/>
                      <w:szCs w:val="18"/>
                      <w:highlight w:val="none"/>
                      <w:u w:val="none"/>
                      <w:lang w:val="en-US" w:eastAsia="zh-CN" w:bidi="ar"/>
                    </w:rPr>
                    <w:t>107.605976</w:t>
                  </w:r>
                </w:p>
              </w:tc>
              <w:tc>
                <w:tcPr>
                  <w:tcW w:w="1180"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18"/>
                      <w:szCs w:val="18"/>
                      <w:highlight w:val="none"/>
                      <w:lang w:val="en-US"/>
                    </w:rPr>
                  </w:pPr>
                  <w:r>
                    <w:rPr>
                      <w:rFonts w:hint="default" w:ascii="Times New Roman" w:hAnsi="Times New Roman" w:eastAsia="宋体" w:cs="Times New Roman"/>
                      <w:i w:val="0"/>
                      <w:iCs w:val="0"/>
                      <w:color w:val="auto"/>
                      <w:kern w:val="0"/>
                      <w:sz w:val="18"/>
                      <w:szCs w:val="18"/>
                      <w:highlight w:val="none"/>
                      <w:u w:val="none"/>
                      <w:lang w:val="en-US" w:eastAsia="zh-CN" w:bidi="ar"/>
                    </w:rPr>
                    <w:t>31.598256</w:t>
                  </w:r>
                </w:p>
              </w:tc>
              <w:tc>
                <w:tcPr>
                  <w:tcW w:w="603" w:type="dxa"/>
                  <w:tcBorders>
                    <w:top w:val="single" w:color="auto" w:sz="6" w:space="0"/>
                    <w:left w:val="single" w:color="auto" w:sz="6" w:space="0"/>
                    <w:bottom w:val="single" w:color="auto" w:sz="6" w:space="0"/>
                    <w:right w:val="single" w:color="auto" w:sz="6" w:space="0"/>
                  </w:tcBorders>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NE</w:t>
                  </w:r>
                </w:p>
              </w:tc>
              <w:tc>
                <w:tcPr>
                  <w:tcW w:w="1192" w:type="dxa"/>
                  <w:tcBorders>
                    <w:top w:val="single" w:color="auto" w:sz="6" w:space="0"/>
                    <w:left w:val="single" w:color="auto" w:sz="6" w:space="0"/>
                    <w:bottom w:val="single" w:color="auto" w:sz="6" w:space="0"/>
                    <w:right w:val="single" w:color="auto" w:sz="4" w:space="0"/>
                  </w:tcBorders>
                  <w:vAlign w:val="center"/>
                </w:tcPr>
                <w:p>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378</w:t>
                  </w:r>
                </w:p>
              </w:tc>
              <w:tc>
                <w:tcPr>
                  <w:tcW w:w="1268" w:type="dxa"/>
                  <w:tcBorders>
                    <w:top w:val="single" w:color="auto" w:sz="6" w:space="0"/>
                    <w:left w:val="single" w:color="auto" w:sz="6" w:space="0"/>
                    <w:bottom w:val="single" w:color="auto" w:sz="6" w:space="0"/>
                    <w:right w:val="single" w:color="auto" w:sz="4" w:space="0"/>
                  </w:tcBorders>
                  <w:vAlign w:val="center"/>
                </w:tcPr>
                <w:p>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居民约35户，约100人</w:t>
                  </w:r>
                </w:p>
              </w:tc>
              <w:tc>
                <w:tcPr>
                  <w:tcW w:w="800" w:type="dxa"/>
                  <w:vMerge w:val="restart"/>
                  <w:tcBorders>
                    <w:top w:val="single" w:color="auto" w:sz="6" w:space="0"/>
                    <w:left w:val="single" w:color="auto" w:sz="6" w:space="0"/>
                    <w:right w:val="single" w:color="auto" w:sz="4" w:space="0"/>
                  </w:tcBorders>
                  <w:vAlign w:val="center"/>
                </w:tcPr>
                <w:p>
                  <w:pPr>
                    <w:jc w:val="center"/>
                    <w:rPr>
                      <w:color w:val="auto"/>
                      <w:sz w:val="18"/>
                      <w:szCs w:val="18"/>
                      <w:highlight w:val="none"/>
                    </w:rPr>
                  </w:pPr>
                  <w:r>
                    <w:rPr>
                      <w:rFonts w:hint="eastAsia"/>
                      <w:color w:val="auto"/>
                      <w:sz w:val="18"/>
                      <w:szCs w:val="18"/>
                      <w:highlight w:val="none"/>
                    </w:rPr>
                    <w:t>大气环境</w:t>
                  </w:r>
                  <w:r>
                    <w:rPr>
                      <w:color w:val="auto"/>
                      <w:sz w:val="18"/>
                      <w:szCs w:val="18"/>
                      <w:highlight w:val="none"/>
                    </w:rPr>
                    <w:t>二类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78" w:type="dxa"/>
                  <w:vMerge w:val="continue"/>
                  <w:tcBorders>
                    <w:left w:val="single" w:color="auto" w:sz="4" w:space="0"/>
                    <w:right w:val="single" w:color="auto" w:sz="6" w:space="0"/>
                  </w:tcBorders>
                  <w:vAlign w:val="center"/>
                </w:tcPr>
                <w:p>
                  <w:pPr>
                    <w:jc w:val="center"/>
                    <w:rPr>
                      <w:color w:val="auto"/>
                      <w:sz w:val="18"/>
                      <w:szCs w:val="18"/>
                      <w:highlight w:val="none"/>
                    </w:rPr>
                  </w:pPr>
                </w:p>
              </w:tc>
              <w:tc>
                <w:tcPr>
                  <w:tcW w:w="96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垭口湾散户居民</w:t>
                  </w:r>
                </w:p>
              </w:tc>
              <w:tc>
                <w:tcPr>
                  <w:tcW w:w="131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107.606114</w:t>
                  </w:r>
                </w:p>
              </w:tc>
              <w:tc>
                <w:tcPr>
                  <w:tcW w:w="1180"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31.595202</w:t>
                  </w:r>
                </w:p>
              </w:tc>
              <w:tc>
                <w:tcPr>
                  <w:tcW w:w="603" w:type="dxa"/>
                  <w:tcBorders>
                    <w:top w:val="single" w:color="auto" w:sz="6" w:space="0"/>
                    <w:left w:val="single" w:color="auto" w:sz="6" w:space="0"/>
                    <w:bottom w:val="single" w:color="auto" w:sz="6" w:space="0"/>
                    <w:right w:val="single" w:color="auto" w:sz="6" w:space="0"/>
                  </w:tcBorders>
                  <w:vAlign w:val="center"/>
                </w:tcPr>
                <w:p>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NE</w:t>
                  </w:r>
                </w:p>
              </w:tc>
              <w:tc>
                <w:tcPr>
                  <w:tcW w:w="1192" w:type="dxa"/>
                  <w:tcBorders>
                    <w:top w:val="single" w:color="auto" w:sz="6" w:space="0"/>
                    <w:left w:val="single" w:color="auto" w:sz="6" w:space="0"/>
                    <w:bottom w:val="single" w:color="auto" w:sz="6" w:space="0"/>
                    <w:right w:val="single" w:color="auto" w:sz="4" w:space="0"/>
                  </w:tcBorders>
                  <w:vAlign w:val="center"/>
                </w:tcPr>
                <w:p>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169</w:t>
                  </w:r>
                </w:p>
              </w:tc>
              <w:tc>
                <w:tcPr>
                  <w:tcW w:w="1268" w:type="dxa"/>
                  <w:tcBorders>
                    <w:top w:val="single" w:color="auto" w:sz="6" w:space="0"/>
                    <w:left w:val="single" w:color="auto" w:sz="6" w:space="0"/>
                    <w:bottom w:val="single" w:color="auto" w:sz="6" w:space="0"/>
                    <w:right w:val="single" w:color="auto" w:sz="4" w:space="0"/>
                  </w:tcBorders>
                  <w:vAlign w:val="center"/>
                </w:tcPr>
                <w:p>
                  <w:pPr>
                    <w:jc w:val="center"/>
                    <w:rPr>
                      <w:color w:val="auto"/>
                      <w:sz w:val="18"/>
                      <w:szCs w:val="18"/>
                      <w:highlight w:val="none"/>
                    </w:rPr>
                  </w:pPr>
                  <w:r>
                    <w:rPr>
                      <w:rFonts w:hint="eastAsia"/>
                      <w:color w:val="auto"/>
                      <w:sz w:val="18"/>
                      <w:szCs w:val="18"/>
                      <w:highlight w:val="none"/>
                      <w:lang w:val="en-US" w:eastAsia="zh-CN"/>
                    </w:rPr>
                    <w:t>居民约5户，约15人</w:t>
                  </w:r>
                </w:p>
              </w:tc>
              <w:tc>
                <w:tcPr>
                  <w:tcW w:w="800" w:type="dxa"/>
                  <w:vMerge w:val="continue"/>
                  <w:tcBorders>
                    <w:left w:val="single" w:color="auto" w:sz="6" w:space="0"/>
                    <w:right w:val="single" w:color="auto" w:sz="4" w:space="0"/>
                  </w:tcBorders>
                  <w:vAlign w:val="center"/>
                </w:tcPr>
                <w:p>
                  <w:pPr>
                    <w:jc w:val="center"/>
                    <w:rPr>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78" w:type="dxa"/>
                  <w:vMerge w:val="continue"/>
                  <w:tcBorders>
                    <w:left w:val="single" w:color="auto" w:sz="4" w:space="0"/>
                    <w:right w:val="single" w:color="auto" w:sz="6" w:space="0"/>
                  </w:tcBorders>
                  <w:vAlign w:val="center"/>
                </w:tcPr>
                <w:p>
                  <w:pPr>
                    <w:jc w:val="center"/>
                    <w:rPr>
                      <w:color w:val="auto"/>
                      <w:sz w:val="18"/>
                      <w:szCs w:val="18"/>
                      <w:highlight w:val="none"/>
                    </w:rPr>
                  </w:pPr>
                </w:p>
              </w:tc>
              <w:tc>
                <w:tcPr>
                  <w:tcW w:w="96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陈家岭居民点</w:t>
                  </w:r>
                </w:p>
              </w:tc>
              <w:tc>
                <w:tcPr>
                  <w:tcW w:w="131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107.608643</w:t>
                  </w:r>
                </w:p>
              </w:tc>
              <w:tc>
                <w:tcPr>
                  <w:tcW w:w="1180"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31.596109</w:t>
                  </w:r>
                </w:p>
              </w:tc>
              <w:tc>
                <w:tcPr>
                  <w:tcW w:w="603" w:type="dxa"/>
                  <w:tcBorders>
                    <w:top w:val="single" w:color="auto" w:sz="6" w:space="0"/>
                    <w:left w:val="single" w:color="auto" w:sz="6" w:space="0"/>
                    <w:bottom w:val="single" w:color="auto" w:sz="6" w:space="0"/>
                    <w:right w:val="single" w:color="auto" w:sz="6" w:space="0"/>
                  </w:tcBorders>
                  <w:vAlign w:val="center"/>
                </w:tcPr>
                <w:p>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NE</w:t>
                  </w:r>
                </w:p>
              </w:tc>
              <w:tc>
                <w:tcPr>
                  <w:tcW w:w="1192" w:type="dxa"/>
                  <w:tcBorders>
                    <w:top w:val="single" w:color="auto" w:sz="6" w:space="0"/>
                    <w:left w:val="single" w:color="auto" w:sz="6" w:space="0"/>
                    <w:bottom w:val="single" w:color="auto" w:sz="6" w:space="0"/>
                    <w:right w:val="single" w:color="auto" w:sz="4" w:space="0"/>
                  </w:tcBorders>
                  <w:vAlign w:val="center"/>
                </w:tcPr>
                <w:p>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293</w:t>
                  </w:r>
                </w:p>
              </w:tc>
              <w:tc>
                <w:tcPr>
                  <w:tcW w:w="1268" w:type="dxa"/>
                  <w:tcBorders>
                    <w:top w:val="single" w:color="auto" w:sz="6" w:space="0"/>
                    <w:left w:val="single" w:color="auto" w:sz="6" w:space="0"/>
                    <w:bottom w:val="single" w:color="auto" w:sz="6" w:space="0"/>
                    <w:right w:val="single" w:color="auto" w:sz="4" w:space="0"/>
                  </w:tcBorders>
                  <w:vAlign w:val="center"/>
                </w:tcPr>
                <w:p>
                  <w:pPr>
                    <w:jc w:val="center"/>
                    <w:rPr>
                      <w:rFonts w:hint="eastAsia"/>
                      <w:color w:val="auto"/>
                      <w:sz w:val="18"/>
                      <w:szCs w:val="18"/>
                      <w:highlight w:val="none"/>
                    </w:rPr>
                  </w:pPr>
                  <w:r>
                    <w:rPr>
                      <w:rFonts w:hint="eastAsia"/>
                      <w:color w:val="auto"/>
                      <w:sz w:val="18"/>
                      <w:szCs w:val="18"/>
                      <w:highlight w:val="none"/>
                      <w:lang w:val="en-US" w:eastAsia="zh-CN"/>
                    </w:rPr>
                    <w:t>居民约45户，约135人</w:t>
                  </w:r>
                </w:p>
              </w:tc>
              <w:tc>
                <w:tcPr>
                  <w:tcW w:w="800" w:type="dxa"/>
                  <w:vMerge w:val="continue"/>
                  <w:tcBorders>
                    <w:left w:val="single" w:color="auto" w:sz="6" w:space="0"/>
                    <w:right w:val="single" w:color="auto" w:sz="4" w:space="0"/>
                  </w:tcBorders>
                  <w:vAlign w:val="center"/>
                </w:tcPr>
                <w:p>
                  <w:pPr>
                    <w:jc w:val="center"/>
                    <w:rPr>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78" w:type="dxa"/>
                  <w:vMerge w:val="continue"/>
                  <w:tcBorders>
                    <w:left w:val="single" w:color="auto" w:sz="4" w:space="0"/>
                    <w:right w:val="single" w:color="auto" w:sz="6" w:space="0"/>
                  </w:tcBorders>
                  <w:vAlign w:val="center"/>
                </w:tcPr>
                <w:p>
                  <w:pPr>
                    <w:jc w:val="center"/>
                    <w:rPr>
                      <w:color w:val="auto"/>
                      <w:sz w:val="18"/>
                      <w:szCs w:val="18"/>
                      <w:highlight w:val="none"/>
                    </w:rPr>
                  </w:pPr>
                </w:p>
              </w:tc>
              <w:tc>
                <w:tcPr>
                  <w:tcW w:w="96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付家河坝散户居民</w:t>
                  </w:r>
                </w:p>
              </w:tc>
              <w:tc>
                <w:tcPr>
                  <w:tcW w:w="131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107.607195</w:t>
                  </w:r>
                </w:p>
              </w:tc>
              <w:tc>
                <w:tcPr>
                  <w:tcW w:w="1180"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31.592831</w:t>
                  </w:r>
                </w:p>
              </w:tc>
              <w:tc>
                <w:tcPr>
                  <w:tcW w:w="603" w:type="dxa"/>
                  <w:tcBorders>
                    <w:top w:val="single" w:color="auto" w:sz="6" w:space="0"/>
                    <w:left w:val="single" w:color="auto" w:sz="6" w:space="0"/>
                    <w:bottom w:val="single" w:color="auto" w:sz="6" w:space="0"/>
                    <w:right w:val="single" w:color="auto" w:sz="6" w:space="0"/>
                  </w:tcBorders>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SE</w:t>
                  </w:r>
                </w:p>
              </w:tc>
              <w:tc>
                <w:tcPr>
                  <w:tcW w:w="1192" w:type="dxa"/>
                  <w:tcBorders>
                    <w:top w:val="single" w:color="auto" w:sz="6" w:space="0"/>
                    <w:left w:val="single" w:color="auto" w:sz="6" w:space="0"/>
                    <w:bottom w:val="single" w:color="auto" w:sz="6" w:space="0"/>
                    <w:right w:val="single" w:color="auto" w:sz="4" w:space="0"/>
                  </w:tcBorders>
                  <w:vAlign w:val="center"/>
                </w:tcPr>
                <w:p>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143</w:t>
                  </w:r>
                </w:p>
              </w:tc>
              <w:tc>
                <w:tcPr>
                  <w:tcW w:w="1268" w:type="dxa"/>
                  <w:tcBorders>
                    <w:top w:val="single" w:color="auto" w:sz="6" w:space="0"/>
                    <w:left w:val="single" w:color="auto" w:sz="6" w:space="0"/>
                    <w:bottom w:val="single" w:color="auto" w:sz="6" w:space="0"/>
                    <w:right w:val="single" w:color="auto" w:sz="4" w:space="0"/>
                  </w:tcBorders>
                  <w:vAlign w:val="center"/>
                </w:tcPr>
                <w:p>
                  <w:pPr>
                    <w:jc w:val="center"/>
                    <w:rPr>
                      <w:rFonts w:hint="eastAsia"/>
                      <w:color w:val="auto"/>
                      <w:sz w:val="18"/>
                      <w:szCs w:val="18"/>
                      <w:highlight w:val="none"/>
                    </w:rPr>
                  </w:pPr>
                  <w:r>
                    <w:rPr>
                      <w:rFonts w:hint="eastAsia"/>
                      <w:color w:val="auto"/>
                      <w:sz w:val="18"/>
                      <w:szCs w:val="18"/>
                      <w:highlight w:val="none"/>
                      <w:lang w:val="en-US" w:eastAsia="zh-CN"/>
                    </w:rPr>
                    <w:t>居民约10户，约30人</w:t>
                  </w:r>
                </w:p>
              </w:tc>
              <w:tc>
                <w:tcPr>
                  <w:tcW w:w="800" w:type="dxa"/>
                  <w:vMerge w:val="continue"/>
                  <w:tcBorders>
                    <w:left w:val="single" w:color="auto" w:sz="6" w:space="0"/>
                    <w:right w:val="single" w:color="auto" w:sz="4" w:space="0"/>
                  </w:tcBorders>
                  <w:vAlign w:val="center"/>
                </w:tcPr>
                <w:p>
                  <w:pPr>
                    <w:jc w:val="center"/>
                    <w:rPr>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78" w:type="dxa"/>
                  <w:vMerge w:val="continue"/>
                  <w:tcBorders>
                    <w:left w:val="single" w:color="auto" w:sz="4" w:space="0"/>
                    <w:right w:val="single" w:color="auto" w:sz="6" w:space="0"/>
                  </w:tcBorders>
                  <w:vAlign w:val="center"/>
                </w:tcPr>
                <w:p>
                  <w:pPr>
                    <w:jc w:val="center"/>
                    <w:rPr>
                      <w:color w:val="auto"/>
                      <w:sz w:val="18"/>
                      <w:szCs w:val="18"/>
                      <w:highlight w:val="none"/>
                    </w:rPr>
                  </w:pPr>
                </w:p>
              </w:tc>
              <w:tc>
                <w:tcPr>
                  <w:tcW w:w="96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下陈家河坝居民点</w:t>
                  </w:r>
                </w:p>
              </w:tc>
              <w:tc>
                <w:tcPr>
                  <w:tcW w:w="131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107.607718</w:t>
                  </w:r>
                </w:p>
              </w:tc>
              <w:tc>
                <w:tcPr>
                  <w:tcW w:w="1180"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31.587753</w:t>
                  </w:r>
                </w:p>
              </w:tc>
              <w:tc>
                <w:tcPr>
                  <w:tcW w:w="603" w:type="dxa"/>
                  <w:tcBorders>
                    <w:top w:val="single" w:color="auto" w:sz="6" w:space="0"/>
                    <w:left w:val="single" w:color="auto" w:sz="6" w:space="0"/>
                    <w:bottom w:val="single" w:color="auto" w:sz="6" w:space="0"/>
                    <w:right w:val="single" w:color="auto" w:sz="6" w:space="0"/>
                  </w:tcBorders>
                  <w:vAlign w:val="center"/>
                </w:tcPr>
                <w:p>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SE</w:t>
                  </w:r>
                </w:p>
              </w:tc>
              <w:tc>
                <w:tcPr>
                  <w:tcW w:w="1192" w:type="dxa"/>
                  <w:tcBorders>
                    <w:top w:val="single" w:color="auto" w:sz="6" w:space="0"/>
                    <w:left w:val="single" w:color="auto" w:sz="6" w:space="0"/>
                    <w:bottom w:val="single" w:color="auto" w:sz="6" w:space="0"/>
                    <w:right w:val="single" w:color="auto" w:sz="4" w:space="0"/>
                  </w:tcBorders>
                  <w:vAlign w:val="center"/>
                </w:tcPr>
                <w:p>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400</w:t>
                  </w:r>
                </w:p>
              </w:tc>
              <w:tc>
                <w:tcPr>
                  <w:tcW w:w="1268" w:type="dxa"/>
                  <w:tcBorders>
                    <w:top w:val="single" w:color="auto" w:sz="6" w:space="0"/>
                    <w:left w:val="single" w:color="auto" w:sz="6" w:space="0"/>
                    <w:bottom w:val="single" w:color="auto" w:sz="6" w:space="0"/>
                    <w:right w:val="single" w:color="auto" w:sz="4" w:space="0"/>
                  </w:tcBorders>
                  <w:vAlign w:val="center"/>
                </w:tcPr>
                <w:p>
                  <w:pPr>
                    <w:jc w:val="center"/>
                    <w:rPr>
                      <w:rFonts w:hint="eastAsia"/>
                      <w:color w:val="auto"/>
                      <w:sz w:val="18"/>
                      <w:szCs w:val="18"/>
                      <w:highlight w:val="none"/>
                    </w:rPr>
                  </w:pPr>
                  <w:r>
                    <w:rPr>
                      <w:rFonts w:hint="eastAsia"/>
                      <w:color w:val="auto"/>
                      <w:sz w:val="18"/>
                      <w:szCs w:val="18"/>
                      <w:highlight w:val="none"/>
                      <w:lang w:val="en-US" w:eastAsia="zh-CN"/>
                    </w:rPr>
                    <w:t>居民约45户，约135人</w:t>
                  </w:r>
                </w:p>
              </w:tc>
              <w:tc>
                <w:tcPr>
                  <w:tcW w:w="800" w:type="dxa"/>
                  <w:vMerge w:val="continue"/>
                  <w:tcBorders>
                    <w:left w:val="single" w:color="auto" w:sz="6" w:space="0"/>
                    <w:right w:val="single" w:color="auto" w:sz="4" w:space="0"/>
                  </w:tcBorders>
                  <w:vAlign w:val="center"/>
                </w:tcPr>
                <w:p>
                  <w:pPr>
                    <w:jc w:val="center"/>
                    <w:rPr>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78" w:type="dxa"/>
                  <w:vMerge w:val="continue"/>
                  <w:tcBorders>
                    <w:left w:val="single" w:color="auto" w:sz="4" w:space="0"/>
                    <w:right w:val="single" w:color="auto" w:sz="6" w:space="0"/>
                  </w:tcBorders>
                  <w:vAlign w:val="center"/>
                </w:tcPr>
                <w:p>
                  <w:pPr>
                    <w:jc w:val="center"/>
                    <w:rPr>
                      <w:color w:val="auto"/>
                      <w:sz w:val="18"/>
                      <w:szCs w:val="18"/>
                      <w:highlight w:val="none"/>
                    </w:rPr>
                  </w:pPr>
                </w:p>
              </w:tc>
              <w:tc>
                <w:tcPr>
                  <w:tcW w:w="96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芶家湾居民点</w:t>
                  </w:r>
                </w:p>
              </w:tc>
              <w:tc>
                <w:tcPr>
                  <w:tcW w:w="131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107.598686</w:t>
                  </w:r>
                </w:p>
              </w:tc>
              <w:tc>
                <w:tcPr>
                  <w:tcW w:w="1180"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31.589897</w:t>
                  </w:r>
                </w:p>
              </w:tc>
              <w:tc>
                <w:tcPr>
                  <w:tcW w:w="603" w:type="dxa"/>
                  <w:tcBorders>
                    <w:top w:val="single" w:color="auto" w:sz="6" w:space="0"/>
                    <w:left w:val="single" w:color="auto" w:sz="6" w:space="0"/>
                    <w:bottom w:val="single" w:color="auto" w:sz="6" w:space="0"/>
                    <w:right w:val="single" w:color="auto" w:sz="6" w:space="0"/>
                  </w:tcBorders>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S</w:t>
                  </w:r>
                </w:p>
              </w:tc>
              <w:tc>
                <w:tcPr>
                  <w:tcW w:w="1192" w:type="dxa"/>
                  <w:tcBorders>
                    <w:top w:val="single" w:color="auto" w:sz="6" w:space="0"/>
                    <w:left w:val="single" w:color="auto" w:sz="6" w:space="0"/>
                    <w:bottom w:val="single" w:color="auto" w:sz="6" w:space="0"/>
                    <w:right w:val="single" w:color="auto" w:sz="4" w:space="0"/>
                  </w:tcBorders>
                  <w:vAlign w:val="center"/>
                </w:tcPr>
                <w:p>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220</w:t>
                  </w:r>
                </w:p>
              </w:tc>
              <w:tc>
                <w:tcPr>
                  <w:tcW w:w="1268" w:type="dxa"/>
                  <w:tcBorders>
                    <w:top w:val="single" w:color="auto" w:sz="6" w:space="0"/>
                    <w:left w:val="single" w:color="auto" w:sz="6" w:space="0"/>
                    <w:bottom w:val="single" w:color="auto" w:sz="6" w:space="0"/>
                    <w:right w:val="single" w:color="auto" w:sz="4" w:space="0"/>
                  </w:tcBorders>
                  <w:vAlign w:val="center"/>
                </w:tcPr>
                <w:p>
                  <w:pPr>
                    <w:jc w:val="center"/>
                    <w:rPr>
                      <w:rFonts w:hint="eastAsia"/>
                      <w:color w:val="auto"/>
                      <w:sz w:val="18"/>
                      <w:szCs w:val="18"/>
                      <w:highlight w:val="none"/>
                    </w:rPr>
                  </w:pPr>
                  <w:r>
                    <w:rPr>
                      <w:rFonts w:hint="eastAsia"/>
                      <w:color w:val="auto"/>
                      <w:sz w:val="18"/>
                      <w:szCs w:val="18"/>
                      <w:highlight w:val="none"/>
                      <w:lang w:val="en-US" w:eastAsia="zh-CN"/>
                    </w:rPr>
                    <w:t>居民约18户，约60人</w:t>
                  </w:r>
                </w:p>
              </w:tc>
              <w:tc>
                <w:tcPr>
                  <w:tcW w:w="800" w:type="dxa"/>
                  <w:vMerge w:val="continue"/>
                  <w:tcBorders>
                    <w:left w:val="single" w:color="auto" w:sz="6" w:space="0"/>
                    <w:right w:val="single" w:color="auto" w:sz="4" w:space="0"/>
                  </w:tcBorders>
                  <w:vAlign w:val="center"/>
                </w:tcPr>
                <w:p>
                  <w:pPr>
                    <w:jc w:val="center"/>
                    <w:rPr>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78" w:type="dxa"/>
                  <w:vMerge w:val="continue"/>
                  <w:tcBorders>
                    <w:left w:val="single" w:color="auto" w:sz="4" w:space="0"/>
                    <w:right w:val="single" w:color="auto" w:sz="6" w:space="0"/>
                  </w:tcBorders>
                  <w:vAlign w:val="center"/>
                </w:tcPr>
                <w:p>
                  <w:pPr>
                    <w:jc w:val="center"/>
                    <w:rPr>
                      <w:color w:val="auto"/>
                      <w:sz w:val="18"/>
                      <w:szCs w:val="18"/>
                      <w:highlight w:val="none"/>
                    </w:rPr>
                  </w:pPr>
                </w:p>
              </w:tc>
              <w:tc>
                <w:tcPr>
                  <w:tcW w:w="96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江家梁居民点</w:t>
                  </w:r>
                </w:p>
              </w:tc>
              <w:tc>
                <w:tcPr>
                  <w:tcW w:w="131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107.593238</w:t>
                  </w:r>
                </w:p>
              </w:tc>
              <w:tc>
                <w:tcPr>
                  <w:tcW w:w="1180"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31.5908</w:t>
                  </w:r>
                </w:p>
              </w:tc>
              <w:tc>
                <w:tcPr>
                  <w:tcW w:w="603" w:type="dxa"/>
                  <w:tcBorders>
                    <w:top w:val="single" w:color="auto" w:sz="6" w:space="0"/>
                    <w:left w:val="single" w:color="auto" w:sz="6" w:space="0"/>
                    <w:bottom w:val="single" w:color="auto" w:sz="6" w:space="0"/>
                    <w:right w:val="single" w:color="auto" w:sz="6" w:space="0"/>
                  </w:tcBorders>
                  <w:vAlign w:val="center"/>
                </w:tcPr>
                <w:p>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SW</w:t>
                  </w:r>
                </w:p>
              </w:tc>
              <w:tc>
                <w:tcPr>
                  <w:tcW w:w="1192" w:type="dxa"/>
                  <w:tcBorders>
                    <w:top w:val="single" w:color="auto" w:sz="6" w:space="0"/>
                    <w:left w:val="single" w:color="auto" w:sz="6" w:space="0"/>
                    <w:bottom w:val="single" w:color="auto" w:sz="6" w:space="0"/>
                    <w:right w:val="single" w:color="auto" w:sz="4" w:space="0"/>
                  </w:tcBorders>
                  <w:vAlign w:val="center"/>
                </w:tcPr>
                <w:p>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448</w:t>
                  </w:r>
                </w:p>
              </w:tc>
              <w:tc>
                <w:tcPr>
                  <w:tcW w:w="1268" w:type="dxa"/>
                  <w:tcBorders>
                    <w:top w:val="single" w:color="auto" w:sz="6" w:space="0"/>
                    <w:left w:val="single" w:color="auto" w:sz="6" w:space="0"/>
                    <w:bottom w:val="single" w:color="auto" w:sz="6" w:space="0"/>
                    <w:right w:val="single" w:color="auto" w:sz="4" w:space="0"/>
                  </w:tcBorders>
                  <w:vAlign w:val="center"/>
                </w:tcPr>
                <w:p>
                  <w:pPr>
                    <w:jc w:val="center"/>
                    <w:rPr>
                      <w:rFonts w:hint="eastAsia"/>
                      <w:color w:val="auto"/>
                      <w:sz w:val="18"/>
                      <w:szCs w:val="18"/>
                      <w:highlight w:val="none"/>
                    </w:rPr>
                  </w:pPr>
                  <w:r>
                    <w:rPr>
                      <w:rFonts w:hint="eastAsia"/>
                      <w:color w:val="auto"/>
                      <w:sz w:val="18"/>
                      <w:szCs w:val="18"/>
                      <w:highlight w:val="none"/>
                      <w:lang w:val="en-US" w:eastAsia="zh-CN"/>
                    </w:rPr>
                    <w:t>居民约18户，约60人</w:t>
                  </w:r>
                </w:p>
              </w:tc>
              <w:tc>
                <w:tcPr>
                  <w:tcW w:w="800" w:type="dxa"/>
                  <w:vMerge w:val="continue"/>
                  <w:tcBorders>
                    <w:left w:val="single" w:color="auto" w:sz="6" w:space="0"/>
                    <w:right w:val="single" w:color="auto" w:sz="4" w:space="0"/>
                  </w:tcBorders>
                  <w:vAlign w:val="center"/>
                </w:tcPr>
                <w:p>
                  <w:pPr>
                    <w:jc w:val="center"/>
                    <w:rPr>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78" w:type="dxa"/>
                  <w:vMerge w:val="continue"/>
                  <w:tcBorders>
                    <w:left w:val="single" w:color="auto" w:sz="4" w:space="0"/>
                    <w:right w:val="single" w:color="auto" w:sz="6" w:space="0"/>
                  </w:tcBorders>
                  <w:vAlign w:val="center"/>
                </w:tcPr>
                <w:p>
                  <w:pPr>
                    <w:jc w:val="center"/>
                    <w:rPr>
                      <w:color w:val="auto"/>
                      <w:sz w:val="18"/>
                      <w:szCs w:val="18"/>
                      <w:highlight w:val="none"/>
                    </w:rPr>
                  </w:pPr>
                </w:p>
              </w:tc>
              <w:tc>
                <w:tcPr>
                  <w:tcW w:w="96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周家湾居民点</w:t>
                  </w:r>
                </w:p>
              </w:tc>
              <w:tc>
                <w:tcPr>
                  <w:tcW w:w="131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107.594047</w:t>
                  </w:r>
                </w:p>
              </w:tc>
              <w:tc>
                <w:tcPr>
                  <w:tcW w:w="1180"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31.589238</w:t>
                  </w:r>
                </w:p>
              </w:tc>
              <w:tc>
                <w:tcPr>
                  <w:tcW w:w="603" w:type="dxa"/>
                  <w:tcBorders>
                    <w:top w:val="single" w:color="auto" w:sz="6" w:space="0"/>
                    <w:left w:val="single" w:color="auto" w:sz="6" w:space="0"/>
                    <w:bottom w:val="single" w:color="auto" w:sz="6" w:space="0"/>
                    <w:right w:val="single" w:color="auto" w:sz="6" w:space="0"/>
                  </w:tcBorders>
                  <w:vAlign w:val="center"/>
                </w:tcPr>
                <w:p>
                  <w:pPr>
                    <w:jc w:val="center"/>
                    <w:rPr>
                      <w:rFonts w:hint="eastAsia"/>
                      <w:color w:val="auto"/>
                      <w:sz w:val="18"/>
                      <w:szCs w:val="18"/>
                      <w:highlight w:val="none"/>
                      <w:lang w:val="en-US" w:eastAsia="zh-CN"/>
                    </w:rPr>
                  </w:pPr>
                  <w:r>
                    <w:rPr>
                      <w:rFonts w:hint="eastAsia"/>
                      <w:color w:val="auto"/>
                      <w:sz w:val="18"/>
                      <w:szCs w:val="18"/>
                      <w:highlight w:val="none"/>
                      <w:lang w:val="en-US" w:eastAsia="zh-CN"/>
                    </w:rPr>
                    <w:t>SW</w:t>
                  </w:r>
                </w:p>
              </w:tc>
              <w:tc>
                <w:tcPr>
                  <w:tcW w:w="1192" w:type="dxa"/>
                  <w:tcBorders>
                    <w:top w:val="single" w:color="auto" w:sz="6" w:space="0"/>
                    <w:left w:val="single" w:color="auto" w:sz="6" w:space="0"/>
                    <w:bottom w:val="single" w:color="auto" w:sz="6" w:space="0"/>
                    <w:right w:val="single" w:color="auto" w:sz="4" w:space="0"/>
                  </w:tcBorders>
                  <w:vAlign w:val="center"/>
                </w:tcPr>
                <w:p>
                  <w:pPr>
                    <w:jc w:val="center"/>
                    <w:rPr>
                      <w:rFonts w:hint="default"/>
                      <w:color w:val="auto"/>
                      <w:sz w:val="18"/>
                      <w:szCs w:val="18"/>
                      <w:highlight w:val="none"/>
                      <w:lang w:val="en-US" w:eastAsia="zh-CN"/>
                    </w:rPr>
                  </w:pPr>
                  <w:r>
                    <w:rPr>
                      <w:rFonts w:hint="eastAsia"/>
                      <w:color w:val="auto"/>
                      <w:sz w:val="18"/>
                      <w:szCs w:val="18"/>
                      <w:highlight w:val="none"/>
                      <w:lang w:val="en-US" w:eastAsia="zh-CN"/>
                    </w:rPr>
                    <w:t>480</w:t>
                  </w:r>
                </w:p>
              </w:tc>
              <w:tc>
                <w:tcPr>
                  <w:tcW w:w="1268" w:type="dxa"/>
                  <w:tcBorders>
                    <w:top w:val="single" w:color="auto" w:sz="6" w:space="0"/>
                    <w:left w:val="single" w:color="auto" w:sz="6" w:space="0"/>
                    <w:bottom w:val="single" w:color="auto" w:sz="6" w:space="0"/>
                    <w:right w:val="single" w:color="auto" w:sz="4" w:space="0"/>
                  </w:tcBorders>
                  <w:vAlign w:val="center"/>
                </w:tcPr>
                <w:p>
                  <w:pPr>
                    <w:jc w:val="center"/>
                    <w:rPr>
                      <w:rFonts w:hint="eastAsia"/>
                      <w:color w:val="auto"/>
                      <w:sz w:val="18"/>
                      <w:szCs w:val="18"/>
                      <w:highlight w:val="none"/>
                      <w:lang w:val="en-US" w:eastAsia="zh-CN"/>
                    </w:rPr>
                  </w:pPr>
                  <w:r>
                    <w:rPr>
                      <w:rFonts w:hint="eastAsia"/>
                      <w:color w:val="auto"/>
                      <w:sz w:val="18"/>
                      <w:szCs w:val="18"/>
                      <w:highlight w:val="none"/>
                      <w:lang w:val="en-US" w:eastAsia="zh-CN"/>
                    </w:rPr>
                    <w:t>居民约6户，约60人</w:t>
                  </w:r>
                </w:p>
              </w:tc>
              <w:tc>
                <w:tcPr>
                  <w:tcW w:w="800" w:type="dxa"/>
                  <w:vMerge w:val="continue"/>
                  <w:tcBorders>
                    <w:left w:val="single" w:color="auto" w:sz="6" w:space="0"/>
                    <w:right w:val="single" w:color="auto" w:sz="4" w:space="0"/>
                  </w:tcBorders>
                  <w:vAlign w:val="center"/>
                </w:tcPr>
                <w:p>
                  <w:pPr>
                    <w:jc w:val="center"/>
                    <w:rPr>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78" w:type="dxa"/>
                  <w:vMerge w:val="continue"/>
                  <w:tcBorders>
                    <w:left w:val="single" w:color="auto" w:sz="4" w:space="0"/>
                    <w:right w:val="single" w:color="auto" w:sz="6" w:space="0"/>
                  </w:tcBorders>
                  <w:vAlign w:val="center"/>
                </w:tcPr>
                <w:p>
                  <w:pPr>
                    <w:jc w:val="center"/>
                    <w:rPr>
                      <w:color w:val="auto"/>
                      <w:sz w:val="18"/>
                      <w:szCs w:val="18"/>
                      <w:highlight w:val="none"/>
                    </w:rPr>
                  </w:pPr>
                </w:p>
              </w:tc>
              <w:tc>
                <w:tcPr>
                  <w:tcW w:w="96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瓦厂湾散户居民</w:t>
                  </w:r>
                </w:p>
              </w:tc>
              <w:tc>
                <w:tcPr>
                  <w:tcW w:w="131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107.594868</w:t>
                  </w:r>
                </w:p>
              </w:tc>
              <w:tc>
                <w:tcPr>
                  <w:tcW w:w="1180"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31.595994</w:t>
                  </w:r>
                </w:p>
              </w:tc>
              <w:tc>
                <w:tcPr>
                  <w:tcW w:w="60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NW</w:t>
                  </w:r>
                </w:p>
              </w:tc>
              <w:tc>
                <w:tcPr>
                  <w:tcW w:w="1192" w:type="dxa"/>
                  <w:tcBorders>
                    <w:top w:val="single" w:color="auto" w:sz="6" w:space="0"/>
                    <w:left w:val="single" w:color="auto" w:sz="6" w:space="0"/>
                    <w:bottom w:val="single" w:color="auto" w:sz="6" w:space="0"/>
                    <w:right w:val="single" w:color="auto" w:sz="4" w:space="0"/>
                  </w:tcBorders>
                  <w:vAlign w:val="center"/>
                </w:tcPr>
                <w:p>
                  <w:pPr>
                    <w:jc w:val="center"/>
                    <w:rPr>
                      <w:rFonts w:hint="default"/>
                      <w:color w:val="auto"/>
                      <w:sz w:val="18"/>
                      <w:szCs w:val="18"/>
                      <w:highlight w:val="none"/>
                      <w:lang w:val="en-US" w:eastAsia="zh-CN"/>
                    </w:rPr>
                  </w:pPr>
                  <w:r>
                    <w:rPr>
                      <w:rFonts w:hint="eastAsia"/>
                      <w:color w:val="auto"/>
                      <w:sz w:val="18"/>
                      <w:szCs w:val="18"/>
                      <w:highlight w:val="none"/>
                      <w:lang w:val="en-US" w:eastAsia="zh-CN"/>
                    </w:rPr>
                    <w:t>123</w:t>
                  </w:r>
                </w:p>
              </w:tc>
              <w:tc>
                <w:tcPr>
                  <w:tcW w:w="1268" w:type="dxa"/>
                  <w:tcBorders>
                    <w:top w:val="single" w:color="auto" w:sz="6" w:space="0"/>
                    <w:left w:val="single" w:color="auto" w:sz="6" w:space="0"/>
                    <w:bottom w:val="single" w:color="auto" w:sz="6" w:space="0"/>
                    <w:right w:val="single" w:color="auto" w:sz="4" w:space="0"/>
                  </w:tcBorders>
                  <w:vAlign w:val="center"/>
                </w:tcPr>
                <w:p>
                  <w:pPr>
                    <w:jc w:val="center"/>
                    <w:rPr>
                      <w:rFonts w:hint="eastAsia"/>
                      <w:color w:val="auto"/>
                      <w:sz w:val="18"/>
                      <w:szCs w:val="18"/>
                      <w:highlight w:val="none"/>
                      <w:lang w:val="en-US" w:eastAsia="zh-CN"/>
                    </w:rPr>
                  </w:pPr>
                  <w:r>
                    <w:rPr>
                      <w:rFonts w:hint="eastAsia"/>
                      <w:color w:val="auto"/>
                      <w:sz w:val="18"/>
                      <w:szCs w:val="18"/>
                      <w:highlight w:val="none"/>
                      <w:lang w:val="en-US" w:eastAsia="zh-CN"/>
                    </w:rPr>
                    <w:t>居民约5户，约15人</w:t>
                  </w:r>
                </w:p>
              </w:tc>
              <w:tc>
                <w:tcPr>
                  <w:tcW w:w="800" w:type="dxa"/>
                  <w:vMerge w:val="continue"/>
                  <w:tcBorders>
                    <w:left w:val="single" w:color="auto" w:sz="6" w:space="0"/>
                    <w:right w:val="single" w:color="auto" w:sz="4" w:space="0"/>
                  </w:tcBorders>
                  <w:vAlign w:val="center"/>
                </w:tcPr>
                <w:p>
                  <w:pPr>
                    <w:jc w:val="center"/>
                    <w:rPr>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78" w:type="dxa"/>
                  <w:vMerge w:val="continue"/>
                  <w:tcBorders>
                    <w:left w:val="single" w:color="auto" w:sz="4" w:space="0"/>
                    <w:right w:val="single" w:color="auto" w:sz="6" w:space="0"/>
                  </w:tcBorders>
                  <w:vAlign w:val="center"/>
                </w:tcPr>
                <w:p>
                  <w:pPr>
                    <w:jc w:val="center"/>
                    <w:rPr>
                      <w:color w:val="auto"/>
                      <w:sz w:val="18"/>
                      <w:szCs w:val="18"/>
                      <w:highlight w:val="none"/>
                    </w:rPr>
                  </w:pPr>
                </w:p>
              </w:tc>
              <w:tc>
                <w:tcPr>
                  <w:tcW w:w="96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1#农户</w:t>
                  </w:r>
                </w:p>
              </w:tc>
              <w:tc>
                <w:tcPr>
                  <w:tcW w:w="131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107.595611</w:t>
                  </w:r>
                </w:p>
              </w:tc>
              <w:tc>
                <w:tcPr>
                  <w:tcW w:w="1180"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31.595275</w:t>
                  </w:r>
                </w:p>
              </w:tc>
              <w:tc>
                <w:tcPr>
                  <w:tcW w:w="603" w:type="dxa"/>
                  <w:tcBorders>
                    <w:top w:val="single" w:color="auto" w:sz="6" w:space="0"/>
                    <w:left w:val="single" w:color="auto" w:sz="6" w:space="0"/>
                    <w:bottom w:val="single" w:color="auto" w:sz="6" w:space="0"/>
                    <w:right w:val="single" w:color="auto" w:sz="6" w:space="0"/>
                  </w:tcBorders>
                  <w:vAlign w:val="center"/>
                </w:tcPr>
                <w:p>
                  <w:pPr>
                    <w:jc w:val="center"/>
                    <w:rPr>
                      <w:rFonts w:hint="eastAsia"/>
                      <w:color w:val="auto"/>
                      <w:sz w:val="18"/>
                      <w:szCs w:val="18"/>
                      <w:highlight w:val="none"/>
                      <w:lang w:val="en-US" w:eastAsia="zh-CN"/>
                    </w:rPr>
                  </w:pPr>
                  <w:r>
                    <w:rPr>
                      <w:rFonts w:hint="eastAsia"/>
                      <w:color w:val="auto"/>
                      <w:sz w:val="18"/>
                      <w:szCs w:val="18"/>
                      <w:highlight w:val="none"/>
                      <w:lang w:val="en-US" w:eastAsia="zh-CN"/>
                    </w:rPr>
                    <w:t>NW</w:t>
                  </w:r>
                </w:p>
              </w:tc>
              <w:tc>
                <w:tcPr>
                  <w:tcW w:w="1192" w:type="dxa"/>
                  <w:tcBorders>
                    <w:top w:val="single" w:color="auto" w:sz="6" w:space="0"/>
                    <w:left w:val="single" w:color="auto" w:sz="6" w:space="0"/>
                    <w:bottom w:val="single" w:color="auto" w:sz="6" w:space="0"/>
                    <w:right w:val="single" w:color="auto" w:sz="4" w:space="0"/>
                  </w:tcBorders>
                  <w:vAlign w:val="center"/>
                </w:tcPr>
                <w:p>
                  <w:pPr>
                    <w:jc w:val="center"/>
                    <w:rPr>
                      <w:rFonts w:hint="eastAsia"/>
                      <w:color w:val="auto"/>
                      <w:sz w:val="18"/>
                      <w:szCs w:val="18"/>
                      <w:highlight w:val="none"/>
                      <w:lang w:val="en-US" w:eastAsia="zh-CN"/>
                    </w:rPr>
                  </w:pPr>
                  <w:r>
                    <w:rPr>
                      <w:rFonts w:hint="eastAsia" w:eastAsia="宋体"/>
                      <w:color w:val="auto"/>
                      <w:sz w:val="18"/>
                      <w:szCs w:val="18"/>
                      <w:highlight w:val="none"/>
                      <w:lang w:val="en-US" w:eastAsia="zh-CN"/>
                    </w:rPr>
                    <w:t>25</w:t>
                  </w:r>
                </w:p>
              </w:tc>
              <w:tc>
                <w:tcPr>
                  <w:tcW w:w="1268" w:type="dxa"/>
                  <w:tcBorders>
                    <w:top w:val="single" w:color="auto" w:sz="6" w:space="0"/>
                    <w:left w:val="single" w:color="auto" w:sz="6" w:space="0"/>
                    <w:bottom w:val="single" w:color="auto" w:sz="6" w:space="0"/>
                    <w:right w:val="single" w:color="auto" w:sz="4" w:space="0"/>
                  </w:tcBorders>
                  <w:vAlign w:val="center"/>
                </w:tcPr>
                <w:p>
                  <w:pPr>
                    <w:jc w:val="center"/>
                    <w:rPr>
                      <w:rFonts w:hint="eastAsia"/>
                      <w:color w:val="auto"/>
                      <w:sz w:val="18"/>
                      <w:szCs w:val="18"/>
                      <w:highlight w:val="none"/>
                      <w:lang w:val="en-US" w:eastAsia="zh-CN"/>
                    </w:rPr>
                  </w:pPr>
                  <w:r>
                    <w:rPr>
                      <w:rFonts w:hint="eastAsia"/>
                      <w:color w:val="auto"/>
                      <w:sz w:val="18"/>
                      <w:szCs w:val="18"/>
                      <w:highlight w:val="none"/>
                      <w:lang w:val="en-US" w:eastAsia="zh-CN"/>
                    </w:rPr>
                    <w:t>居民约1户，约2人</w:t>
                  </w:r>
                </w:p>
              </w:tc>
              <w:tc>
                <w:tcPr>
                  <w:tcW w:w="800" w:type="dxa"/>
                  <w:vMerge w:val="continue"/>
                  <w:tcBorders>
                    <w:left w:val="single" w:color="auto" w:sz="6" w:space="0"/>
                    <w:right w:val="single" w:color="auto" w:sz="4" w:space="0"/>
                  </w:tcBorders>
                  <w:vAlign w:val="center"/>
                </w:tcPr>
                <w:p>
                  <w:pPr>
                    <w:jc w:val="center"/>
                    <w:rPr>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78" w:type="dxa"/>
                  <w:vMerge w:val="continue"/>
                  <w:tcBorders>
                    <w:left w:val="single" w:color="auto" w:sz="4" w:space="0"/>
                    <w:right w:val="single" w:color="auto" w:sz="6" w:space="0"/>
                  </w:tcBorders>
                  <w:vAlign w:val="center"/>
                </w:tcPr>
                <w:p>
                  <w:pPr>
                    <w:jc w:val="center"/>
                    <w:rPr>
                      <w:color w:val="auto"/>
                      <w:sz w:val="18"/>
                      <w:szCs w:val="18"/>
                      <w:highlight w:val="none"/>
                    </w:rPr>
                  </w:pPr>
                </w:p>
              </w:tc>
              <w:tc>
                <w:tcPr>
                  <w:tcW w:w="96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2#农户</w:t>
                  </w:r>
                </w:p>
              </w:tc>
              <w:tc>
                <w:tcPr>
                  <w:tcW w:w="131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107.597585</w:t>
                  </w:r>
                </w:p>
              </w:tc>
              <w:tc>
                <w:tcPr>
                  <w:tcW w:w="1180"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31.594861</w:t>
                  </w:r>
                </w:p>
              </w:tc>
              <w:tc>
                <w:tcPr>
                  <w:tcW w:w="603" w:type="dxa"/>
                  <w:tcBorders>
                    <w:top w:val="single" w:color="auto" w:sz="6" w:space="0"/>
                    <w:left w:val="single" w:color="auto" w:sz="6" w:space="0"/>
                    <w:bottom w:val="single" w:color="auto" w:sz="6" w:space="0"/>
                    <w:right w:val="single" w:color="auto" w:sz="6" w:space="0"/>
                  </w:tcBorders>
                  <w:vAlign w:val="center"/>
                </w:tcPr>
                <w:p>
                  <w:pPr>
                    <w:jc w:val="center"/>
                    <w:rPr>
                      <w:rFonts w:hint="eastAsia"/>
                      <w:color w:val="auto"/>
                      <w:sz w:val="18"/>
                      <w:szCs w:val="18"/>
                      <w:highlight w:val="none"/>
                      <w:lang w:val="en-US" w:eastAsia="zh-CN"/>
                    </w:rPr>
                  </w:pPr>
                  <w:r>
                    <w:rPr>
                      <w:rFonts w:hint="eastAsia"/>
                      <w:color w:val="auto"/>
                      <w:sz w:val="18"/>
                      <w:szCs w:val="18"/>
                      <w:highlight w:val="none"/>
                      <w:lang w:val="en-US" w:eastAsia="zh-CN"/>
                    </w:rPr>
                    <w:t>N</w:t>
                  </w:r>
                </w:p>
              </w:tc>
              <w:tc>
                <w:tcPr>
                  <w:tcW w:w="1192" w:type="dxa"/>
                  <w:tcBorders>
                    <w:top w:val="single" w:color="auto" w:sz="6" w:space="0"/>
                    <w:left w:val="single" w:color="auto" w:sz="6" w:space="0"/>
                    <w:bottom w:val="single" w:color="auto" w:sz="6" w:space="0"/>
                    <w:right w:val="single" w:color="auto" w:sz="4" w:space="0"/>
                  </w:tcBorders>
                  <w:vAlign w:val="center"/>
                </w:tcPr>
                <w:p>
                  <w:pPr>
                    <w:jc w:val="center"/>
                    <w:rPr>
                      <w:rFonts w:hint="eastAsia"/>
                      <w:color w:val="auto"/>
                      <w:sz w:val="18"/>
                      <w:szCs w:val="18"/>
                      <w:highlight w:val="none"/>
                      <w:lang w:val="en-US" w:eastAsia="zh-CN"/>
                    </w:rPr>
                  </w:pPr>
                  <w:r>
                    <w:rPr>
                      <w:rFonts w:hint="eastAsia" w:eastAsia="宋体"/>
                      <w:color w:val="auto"/>
                      <w:sz w:val="18"/>
                      <w:szCs w:val="18"/>
                      <w:highlight w:val="none"/>
                      <w:lang w:val="en-US" w:eastAsia="zh-CN"/>
                    </w:rPr>
                    <w:t>10</w:t>
                  </w:r>
                </w:p>
              </w:tc>
              <w:tc>
                <w:tcPr>
                  <w:tcW w:w="1268" w:type="dxa"/>
                  <w:tcBorders>
                    <w:top w:val="single" w:color="auto" w:sz="6" w:space="0"/>
                    <w:left w:val="single" w:color="auto" w:sz="6" w:space="0"/>
                    <w:bottom w:val="single" w:color="auto" w:sz="6" w:space="0"/>
                    <w:right w:val="single" w:color="auto" w:sz="4" w:space="0"/>
                  </w:tcBorders>
                  <w:vAlign w:val="center"/>
                </w:tcPr>
                <w:p>
                  <w:pPr>
                    <w:jc w:val="center"/>
                    <w:rPr>
                      <w:rFonts w:hint="eastAsia"/>
                      <w:color w:val="auto"/>
                      <w:sz w:val="18"/>
                      <w:szCs w:val="18"/>
                      <w:highlight w:val="none"/>
                      <w:lang w:val="en-US" w:eastAsia="zh-CN"/>
                    </w:rPr>
                  </w:pPr>
                  <w:r>
                    <w:rPr>
                      <w:rFonts w:hint="eastAsia"/>
                      <w:color w:val="auto"/>
                      <w:sz w:val="18"/>
                      <w:szCs w:val="18"/>
                      <w:highlight w:val="none"/>
                      <w:lang w:val="en-US" w:eastAsia="zh-CN"/>
                    </w:rPr>
                    <w:t>居民约1户，约2人</w:t>
                  </w:r>
                </w:p>
              </w:tc>
              <w:tc>
                <w:tcPr>
                  <w:tcW w:w="800" w:type="dxa"/>
                  <w:vMerge w:val="continue"/>
                  <w:tcBorders>
                    <w:left w:val="single" w:color="auto" w:sz="6" w:space="0"/>
                    <w:right w:val="single" w:color="auto" w:sz="4" w:space="0"/>
                  </w:tcBorders>
                  <w:vAlign w:val="center"/>
                </w:tcPr>
                <w:p>
                  <w:pPr>
                    <w:jc w:val="center"/>
                    <w:rPr>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78" w:type="dxa"/>
                  <w:vMerge w:val="continue"/>
                  <w:tcBorders>
                    <w:left w:val="single" w:color="auto" w:sz="4" w:space="0"/>
                    <w:right w:val="single" w:color="auto" w:sz="6" w:space="0"/>
                  </w:tcBorders>
                  <w:vAlign w:val="center"/>
                </w:tcPr>
                <w:p>
                  <w:pPr>
                    <w:jc w:val="center"/>
                    <w:rPr>
                      <w:color w:val="auto"/>
                      <w:sz w:val="18"/>
                      <w:szCs w:val="18"/>
                      <w:highlight w:val="none"/>
                    </w:rPr>
                  </w:pPr>
                </w:p>
              </w:tc>
              <w:tc>
                <w:tcPr>
                  <w:tcW w:w="96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河塘沟散户居民</w:t>
                  </w:r>
                </w:p>
              </w:tc>
              <w:tc>
                <w:tcPr>
                  <w:tcW w:w="131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107.611725</w:t>
                  </w:r>
                </w:p>
              </w:tc>
              <w:tc>
                <w:tcPr>
                  <w:tcW w:w="1180"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31.603234</w:t>
                  </w:r>
                </w:p>
              </w:tc>
              <w:tc>
                <w:tcPr>
                  <w:tcW w:w="603" w:type="dxa"/>
                  <w:tcBorders>
                    <w:top w:val="single" w:color="auto" w:sz="6" w:space="0"/>
                    <w:left w:val="single" w:color="auto" w:sz="6" w:space="0"/>
                    <w:bottom w:val="single" w:color="auto" w:sz="6" w:space="0"/>
                    <w:right w:val="single" w:color="auto" w:sz="6" w:space="0"/>
                  </w:tcBorders>
                  <w:vAlign w:val="center"/>
                </w:tcPr>
                <w:p>
                  <w:pPr>
                    <w:jc w:val="center"/>
                    <w:rPr>
                      <w:rFonts w:hint="eastAsia"/>
                      <w:color w:val="auto"/>
                      <w:sz w:val="18"/>
                      <w:szCs w:val="18"/>
                      <w:highlight w:val="none"/>
                      <w:lang w:val="en-US" w:eastAsia="zh-CN"/>
                    </w:rPr>
                  </w:pPr>
                  <w:r>
                    <w:rPr>
                      <w:rFonts w:hint="eastAsia"/>
                      <w:color w:val="auto"/>
                      <w:sz w:val="18"/>
                      <w:szCs w:val="18"/>
                      <w:highlight w:val="none"/>
                      <w:lang w:val="en-US" w:eastAsia="zh-CN"/>
                    </w:rPr>
                    <w:t>N</w:t>
                  </w:r>
                </w:p>
              </w:tc>
              <w:tc>
                <w:tcPr>
                  <w:tcW w:w="1192" w:type="dxa"/>
                  <w:tcBorders>
                    <w:top w:val="single" w:color="auto" w:sz="6" w:space="0"/>
                    <w:left w:val="single" w:color="auto" w:sz="6" w:space="0"/>
                    <w:bottom w:val="single" w:color="auto" w:sz="6" w:space="0"/>
                    <w:right w:val="single" w:color="auto" w:sz="4" w:space="0"/>
                  </w:tcBorders>
                  <w:vAlign w:val="center"/>
                </w:tcPr>
                <w:p>
                  <w:pPr>
                    <w:jc w:val="center"/>
                    <w:rPr>
                      <w:rFonts w:hint="eastAsia"/>
                      <w:color w:val="auto"/>
                      <w:sz w:val="18"/>
                      <w:szCs w:val="18"/>
                      <w:highlight w:val="none"/>
                      <w:lang w:val="en-US" w:eastAsia="zh-CN"/>
                    </w:rPr>
                  </w:pPr>
                  <w:r>
                    <w:rPr>
                      <w:rFonts w:hint="eastAsia" w:eastAsia="宋体"/>
                      <w:color w:val="auto"/>
                      <w:sz w:val="18"/>
                      <w:szCs w:val="18"/>
                      <w:highlight w:val="none"/>
                      <w:lang w:val="en-US" w:eastAsia="zh-CN"/>
                    </w:rPr>
                    <w:t>17</w:t>
                  </w:r>
                </w:p>
              </w:tc>
              <w:tc>
                <w:tcPr>
                  <w:tcW w:w="1268" w:type="dxa"/>
                  <w:tcBorders>
                    <w:top w:val="single" w:color="auto" w:sz="6" w:space="0"/>
                    <w:left w:val="single" w:color="auto" w:sz="6" w:space="0"/>
                    <w:bottom w:val="single" w:color="auto" w:sz="6" w:space="0"/>
                    <w:right w:val="single" w:color="auto" w:sz="4" w:space="0"/>
                  </w:tcBorders>
                  <w:vAlign w:val="center"/>
                </w:tcPr>
                <w:p>
                  <w:pPr>
                    <w:jc w:val="center"/>
                    <w:rPr>
                      <w:rFonts w:hint="eastAsia"/>
                      <w:color w:val="auto"/>
                      <w:sz w:val="18"/>
                      <w:szCs w:val="18"/>
                      <w:highlight w:val="none"/>
                      <w:lang w:val="en-US" w:eastAsia="zh-CN"/>
                    </w:rPr>
                  </w:pPr>
                  <w:r>
                    <w:rPr>
                      <w:rFonts w:hint="eastAsia"/>
                      <w:color w:val="auto"/>
                      <w:sz w:val="18"/>
                      <w:szCs w:val="18"/>
                      <w:highlight w:val="none"/>
                      <w:lang w:val="en-US" w:eastAsia="zh-CN"/>
                    </w:rPr>
                    <w:t>居民约4户，约12人</w:t>
                  </w:r>
                </w:p>
              </w:tc>
              <w:tc>
                <w:tcPr>
                  <w:tcW w:w="800" w:type="dxa"/>
                  <w:vMerge w:val="continue"/>
                  <w:tcBorders>
                    <w:left w:val="single" w:color="auto" w:sz="6" w:space="0"/>
                    <w:right w:val="single" w:color="auto" w:sz="4" w:space="0"/>
                  </w:tcBorders>
                  <w:vAlign w:val="center"/>
                </w:tcPr>
                <w:p>
                  <w:pPr>
                    <w:jc w:val="center"/>
                    <w:rPr>
                      <w:color w:val="auto"/>
                      <w:sz w:val="18"/>
                      <w:szCs w:val="18"/>
                      <w:highlight w:val="none"/>
                    </w:rPr>
                  </w:pPr>
                </w:p>
              </w:tc>
            </w:tr>
          </w:tbl>
          <w:p>
            <w:pPr>
              <w:pStyle w:val="21"/>
              <w:rPr>
                <w:rFonts w:hint="eastAsia"/>
                <w:color w:val="auto"/>
                <w:highlight w:val="none"/>
              </w:rPr>
            </w:pPr>
          </w:p>
          <w:p>
            <w:pPr>
              <w:pStyle w:val="2"/>
              <w:rPr>
                <w:rFonts w:hint="default" w:eastAsia="宋体"/>
                <w:color w:val="auto"/>
                <w:sz w:val="21"/>
                <w:szCs w:val="21"/>
                <w:highlight w:val="none"/>
                <w:lang w:val="en-US" w:eastAsia="zh-CN"/>
              </w:rPr>
            </w:pPr>
            <w:r>
              <w:rPr>
                <w:rFonts w:hint="eastAsia"/>
                <w:color w:val="auto"/>
                <w:sz w:val="21"/>
                <w:szCs w:val="21"/>
                <w:highlight w:val="none"/>
                <w:lang w:eastAsia="zh-CN"/>
              </w:rPr>
              <w:t>（</w:t>
            </w:r>
            <w:r>
              <w:rPr>
                <w:rFonts w:hint="eastAsia"/>
                <w:color w:val="auto"/>
                <w:sz w:val="21"/>
                <w:szCs w:val="21"/>
                <w:highlight w:val="none"/>
                <w:lang w:val="en-US" w:eastAsia="zh-CN"/>
              </w:rPr>
              <w:t>3</w:t>
            </w:r>
            <w:r>
              <w:rPr>
                <w:rFonts w:hint="eastAsia"/>
                <w:color w:val="auto"/>
                <w:sz w:val="21"/>
                <w:szCs w:val="21"/>
                <w:highlight w:val="none"/>
                <w:lang w:eastAsia="zh-CN"/>
              </w:rPr>
              <w:t>）</w:t>
            </w:r>
            <w:r>
              <w:rPr>
                <w:rFonts w:hint="eastAsia"/>
                <w:color w:val="auto"/>
                <w:sz w:val="21"/>
                <w:szCs w:val="21"/>
                <w:highlight w:val="none"/>
                <w:lang w:val="en-US" w:eastAsia="zh-CN"/>
              </w:rPr>
              <w:t>地表水环境保护目标</w:t>
            </w:r>
          </w:p>
          <w:p>
            <w:pPr>
              <w:spacing w:line="360" w:lineRule="auto"/>
              <w:ind w:firstLine="420" w:firstLineChars="200"/>
              <w:rPr>
                <w:rFonts w:eastAsia="宋体"/>
                <w:color w:val="auto"/>
                <w:highlight w:val="none"/>
              </w:rPr>
            </w:pPr>
            <w:r>
              <w:rPr>
                <w:rFonts w:hint="eastAsia" w:ascii="Times New Roman" w:hAnsi="Times New Roman" w:cs="Times New Roman"/>
                <w:b w:val="0"/>
                <w:bCs w:val="0"/>
                <w:snapToGrid w:val="0"/>
                <w:color w:val="auto"/>
                <w:kern w:val="0"/>
                <w:szCs w:val="21"/>
                <w:highlight w:val="none"/>
                <w:lang w:val="en-US" w:eastAsia="zh-CN" w:bidi="ar-SA"/>
              </w:rPr>
              <w:t>项目地表水环境保护目标见下表。</w:t>
            </w:r>
          </w:p>
          <w:p>
            <w:pPr>
              <w:spacing w:line="360" w:lineRule="auto"/>
              <w:jc w:val="center"/>
              <w:rPr>
                <w:color w:val="auto"/>
                <w:highlight w:val="none"/>
              </w:rPr>
            </w:pPr>
            <w:r>
              <w:rPr>
                <w:color w:val="auto"/>
                <w:highlight w:val="none"/>
              </w:rPr>
              <w:t>表</w:t>
            </w:r>
            <w:r>
              <w:rPr>
                <w:rFonts w:hint="eastAsia"/>
                <w:color w:val="auto"/>
                <w:highlight w:val="none"/>
              </w:rPr>
              <w:t>3.3-</w:t>
            </w:r>
            <w:r>
              <w:rPr>
                <w:rFonts w:hint="eastAsia"/>
                <w:color w:val="auto"/>
                <w:highlight w:val="none"/>
                <w:lang w:val="en-US" w:eastAsia="zh-CN"/>
              </w:rPr>
              <w:t>2</w:t>
            </w:r>
            <w:r>
              <w:rPr>
                <w:color w:val="auto"/>
                <w:highlight w:val="none"/>
              </w:rPr>
              <w:t xml:space="preserve"> </w:t>
            </w:r>
            <w:r>
              <w:rPr>
                <w:rFonts w:hint="eastAsia"/>
                <w:color w:val="auto"/>
                <w:highlight w:val="none"/>
              </w:rPr>
              <w:t>拟建项目</w:t>
            </w:r>
            <w:r>
              <w:rPr>
                <w:rFonts w:hint="eastAsia"/>
                <w:color w:val="auto"/>
                <w:highlight w:val="none"/>
                <w:lang w:val="en-US" w:eastAsia="zh-CN"/>
              </w:rPr>
              <w:t>声</w:t>
            </w:r>
            <w:r>
              <w:rPr>
                <w:rFonts w:hint="eastAsia"/>
                <w:color w:val="auto"/>
                <w:highlight w:val="none"/>
              </w:rPr>
              <w:t>环境保护</w:t>
            </w:r>
            <w:r>
              <w:rPr>
                <w:color w:val="auto"/>
                <w:highlight w:val="none"/>
              </w:rPr>
              <w:t>目标分布一览表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29"/>
              <w:gridCol w:w="1035"/>
              <w:gridCol w:w="1493"/>
              <w:gridCol w:w="1505"/>
              <w:gridCol w:w="1695"/>
              <w:gridCol w:w="150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514" w:type="pct"/>
                  <w:vMerge w:val="restart"/>
                  <w:tcBorders>
                    <w:top w:val="single" w:color="auto" w:sz="4" w:space="0"/>
                    <w:left w:val="single" w:color="auto" w:sz="4" w:space="0"/>
                    <w:bottom w:val="single" w:color="auto" w:sz="6" w:space="0"/>
                    <w:right w:val="single" w:color="auto" w:sz="6" w:space="0"/>
                  </w:tcBorders>
                  <w:vAlign w:val="center"/>
                </w:tcPr>
                <w:p>
                  <w:pPr>
                    <w:jc w:val="center"/>
                    <w:rPr>
                      <w:b/>
                      <w:bCs/>
                      <w:color w:val="auto"/>
                      <w:sz w:val="18"/>
                      <w:szCs w:val="18"/>
                      <w:highlight w:val="none"/>
                    </w:rPr>
                  </w:pPr>
                  <w:r>
                    <w:rPr>
                      <w:rFonts w:hint="eastAsia"/>
                      <w:b/>
                      <w:bCs/>
                      <w:color w:val="auto"/>
                      <w:sz w:val="18"/>
                      <w:szCs w:val="18"/>
                      <w:highlight w:val="none"/>
                    </w:rPr>
                    <w:t>环境要素</w:t>
                  </w:r>
                </w:p>
              </w:tc>
              <w:tc>
                <w:tcPr>
                  <w:tcW w:w="642" w:type="pct"/>
                  <w:vMerge w:val="restart"/>
                  <w:tcBorders>
                    <w:top w:val="single" w:color="auto" w:sz="4" w:space="0"/>
                    <w:left w:val="single" w:color="auto" w:sz="6" w:space="0"/>
                    <w:bottom w:val="single" w:color="auto" w:sz="6" w:space="0"/>
                    <w:right w:val="single" w:color="auto" w:sz="6" w:space="0"/>
                  </w:tcBorders>
                  <w:vAlign w:val="center"/>
                </w:tcPr>
                <w:p>
                  <w:pPr>
                    <w:jc w:val="center"/>
                    <w:rPr>
                      <w:b/>
                      <w:bCs/>
                      <w:color w:val="auto"/>
                      <w:sz w:val="18"/>
                      <w:szCs w:val="18"/>
                      <w:highlight w:val="none"/>
                    </w:rPr>
                  </w:pPr>
                  <w:r>
                    <w:rPr>
                      <w:b/>
                      <w:bCs/>
                      <w:color w:val="auto"/>
                      <w:sz w:val="18"/>
                      <w:szCs w:val="18"/>
                      <w:highlight w:val="none"/>
                    </w:rPr>
                    <w:t>保护目标</w:t>
                  </w:r>
                  <w:r>
                    <w:rPr>
                      <w:rFonts w:hint="eastAsia"/>
                      <w:b/>
                      <w:bCs/>
                      <w:color w:val="auto"/>
                      <w:sz w:val="18"/>
                      <w:szCs w:val="18"/>
                      <w:highlight w:val="none"/>
                    </w:rPr>
                    <w:t>名称</w:t>
                  </w:r>
                </w:p>
              </w:tc>
              <w:tc>
                <w:tcPr>
                  <w:tcW w:w="926" w:type="pct"/>
                  <w:vMerge w:val="restart"/>
                  <w:tcBorders>
                    <w:top w:val="single" w:color="auto" w:sz="4" w:space="0"/>
                    <w:left w:val="single" w:color="auto" w:sz="6" w:space="0"/>
                    <w:bottom w:val="single" w:color="auto" w:sz="6" w:space="0"/>
                    <w:right w:val="single" w:color="auto" w:sz="6" w:space="0"/>
                  </w:tcBorders>
                  <w:vAlign w:val="center"/>
                </w:tcPr>
                <w:p>
                  <w:pPr>
                    <w:jc w:val="center"/>
                    <w:rPr>
                      <w:b/>
                      <w:bCs/>
                      <w:color w:val="auto"/>
                      <w:sz w:val="18"/>
                      <w:szCs w:val="18"/>
                      <w:highlight w:val="none"/>
                    </w:rPr>
                  </w:pPr>
                  <w:r>
                    <w:rPr>
                      <w:rFonts w:hint="eastAsia"/>
                      <w:b/>
                      <w:bCs/>
                      <w:color w:val="auto"/>
                      <w:sz w:val="18"/>
                      <w:szCs w:val="18"/>
                      <w:highlight w:val="none"/>
                    </w:rPr>
                    <w:t>与项目的位置关系</w:t>
                  </w:r>
                </w:p>
              </w:tc>
              <w:tc>
                <w:tcPr>
                  <w:tcW w:w="933" w:type="pct"/>
                  <w:vMerge w:val="restart"/>
                  <w:tcBorders>
                    <w:top w:val="single" w:color="auto" w:sz="4" w:space="0"/>
                    <w:left w:val="single" w:color="auto" w:sz="6" w:space="0"/>
                    <w:bottom w:val="single" w:color="auto" w:sz="6" w:space="0"/>
                    <w:right w:val="single" w:color="auto" w:sz="4" w:space="0"/>
                  </w:tcBorders>
                  <w:vAlign w:val="center"/>
                </w:tcPr>
                <w:p>
                  <w:pPr>
                    <w:jc w:val="center"/>
                    <w:rPr>
                      <w:b/>
                      <w:bCs/>
                      <w:color w:val="auto"/>
                      <w:sz w:val="18"/>
                      <w:szCs w:val="18"/>
                      <w:highlight w:val="none"/>
                    </w:rPr>
                  </w:pPr>
                  <w:r>
                    <w:rPr>
                      <w:rFonts w:hint="eastAsia"/>
                      <w:b/>
                      <w:bCs/>
                      <w:color w:val="auto"/>
                      <w:sz w:val="18"/>
                      <w:szCs w:val="18"/>
                      <w:highlight w:val="none"/>
                    </w:rPr>
                    <w:t>主要保护对象</w:t>
                  </w:r>
                </w:p>
              </w:tc>
              <w:tc>
                <w:tcPr>
                  <w:tcW w:w="1051" w:type="pct"/>
                  <w:vMerge w:val="restart"/>
                  <w:tcBorders>
                    <w:top w:val="single" w:color="auto" w:sz="4" w:space="0"/>
                    <w:left w:val="single" w:color="auto" w:sz="6" w:space="0"/>
                    <w:bottom w:val="single" w:color="auto" w:sz="6" w:space="0"/>
                    <w:right w:val="single" w:color="auto" w:sz="4" w:space="0"/>
                  </w:tcBorders>
                  <w:vAlign w:val="center"/>
                </w:tcPr>
                <w:p>
                  <w:pPr>
                    <w:jc w:val="center"/>
                    <w:rPr>
                      <w:b/>
                      <w:bCs/>
                      <w:color w:val="auto"/>
                      <w:sz w:val="18"/>
                      <w:szCs w:val="18"/>
                      <w:highlight w:val="none"/>
                    </w:rPr>
                  </w:pPr>
                  <w:r>
                    <w:rPr>
                      <w:rFonts w:hint="eastAsia"/>
                      <w:b/>
                      <w:bCs/>
                      <w:color w:val="auto"/>
                      <w:sz w:val="18"/>
                      <w:szCs w:val="18"/>
                      <w:highlight w:val="none"/>
                    </w:rPr>
                    <w:t>影响时段</w:t>
                  </w:r>
                </w:p>
              </w:tc>
              <w:tc>
                <w:tcPr>
                  <w:tcW w:w="931" w:type="pct"/>
                  <w:vMerge w:val="restart"/>
                  <w:tcBorders>
                    <w:top w:val="single" w:color="auto" w:sz="4" w:space="0"/>
                    <w:left w:val="single" w:color="auto" w:sz="6" w:space="0"/>
                    <w:right w:val="single" w:color="auto" w:sz="4" w:space="0"/>
                  </w:tcBorders>
                  <w:vAlign w:val="center"/>
                </w:tcPr>
                <w:p>
                  <w:pPr>
                    <w:jc w:val="center"/>
                    <w:rPr>
                      <w:b/>
                      <w:bCs/>
                      <w:color w:val="auto"/>
                      <w:sz w:val="18"/>
                      <w:szCs w:val="18"/>
                      <w:highlight w:val="none"/>
                    </w:rPr>
                  </w:pPr>
                  <w:r>
                    <w:rPr>
                      <w:rFonts w:hint="eastAsia"/>
                      <w:b/>
                      <w:bCs/>
                      <w:color w:val="auto"/>
                      <w:sz w:val="18"/>
                      <w:szCs w:val="18"/>
                      <w:highlight w:val="none"/>
                    </w:rPr>
                    <w:t>可能的影响因素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514" w:type="pct"/>
                  <w:vMerge w:val="continue"/>
                  <w:tcBorders>
                    <w:top w:val="single" w:color="auto" w:sz="4" w:space="0"/>
                    <w:left w:val="single" w:color="auto" w:sz="4" w:space="0"/>
                    <w:bottom w:val="single" w:color="auto" w:sz="6" w:space="0"/>
                    <w:right w:val="single" w:color="auto" w:sz="6" w:space="0"/>
                  </w:tcBorders>
                  <w:vAlign w:val="center"/>
                </w:tcPr>
                <w:p>
                  <w:pPr>
                    <w:widowControl/>
                    <w:jc w:val="center"/>
                    <w:rPr>
                      <w:b/>
                      <w:bCs/>
                      <w:color w:val="auto"/>
                      <w:sz w:val="18"/>
                      <w:szCs w:val="18"/>
                      <w:highlight w:val="none"/>
                    </w:rPr>
                  </w:pPr>
                </w:p>
              </w:tc>
              <w:tc>
                <w:tcPr>
                  <w:tcW w:w="642" w:type="pct"/>
                  <w:vMerge w:val="continue"/>
                  <w:tcBorders>
                    <w:top w:val="single" w:color="auto" w:sz="4" w:space="0"/>
                    <w:left w:val="single" w:color="auto" w:sz="6" w:space="0"/>
                    <w:bottom w:val="single" w:color="auto" w:sz="6" w:space="0"/>
                    <w:right w:val="single" w:color="auto" w:sz="6" w:space="0"/>
                  </w:tcBorders>
                  <w:vAlign w:val="center"/>
                </w:tcPr>
                <w:p>
                  <w:pPr>
                    <w:widowControl/>
                    <w:jc w:val="center"/>
                    <w:rPr>
                      <w:b/>
                      <w:bCs/>
                      <w:color w:val="auto"/>
                      <w:sz w:val="18"/>
                      <w:szCs w:val="18"/>
                      <w:highlight w:val="none"/>
                    </w:rPr>
                  </w:pPr>
                </w:p>
              </w:tc>
              <w:tc>
                <w:tcPr>
                  <w:tcW w:w="926" w:type="pct"/>
                  <w:vMerge w:val="continue"/>
                  <w:tcBorders>
                    <w:top w:val="single" w:color="auto" w:sz="4" w:space="0"/>
                    <w:left w:val="single" w:color="auto" w:sz="6" w:space="0"/>
                    <w:bottom w:val="single" w:color="auto" w:sz="6" w:space="0"/>
                    <w:right w:val="single" w:color="auto" w:sz="6" w:space="0"/>
                  </w:tcBorders>
                  <w:vAlign w:val="center"/>
                </w:tcPr>
                <w:p>
                  <w:pPr>
                    <w:widowControl/>
                    <w:jc w:val="center"/>
                    <w:rPr>
                      <w:color w:val="auto"/>
                      <w:sz w:val="18"/>
                      <w:szCs w:val="18"/>
                      <w:highlight w:val="none"/>
                    </w:rPr>
                  </w:pPr>
                </w:p>
              </w:tc>
              <w:tc>
                <w:tcPr>
                  <w:tcW w:w="933" w:type="pct"/>
                  <w:vMerge w:val="continue"/>
                  <w:tcBorders>
                    <w:top w:val="single" w:color="auto" w:sz="4" w:space="0"/>
                    <w:left w:val="single" w:color="auto" w:sz="6" w:space="0"/>
                    <w:bottom w:val="single" w:color="auto" w:sz="6" w:space="0"/>
                    <w:right w:val="single" w:color="auto" w:sz="4" w:space="0"/>
                  </w:tcBorders>
                  <w:vAlign w:val="center"/>
                </w:tcPr>
                <w:p>
                  <w:pPr>
                    <w:widowControl/>
                    <w:jc w:val="center"/>
                    <w:rPr>
                      <w:color w:val="auto"/>
                      <w:sz w:val="18"/>
                      <w:szCs w:val="18"/>
                      <w:highlight w:val="none"/>
                    </w:rPr>
                  </w:pPr>
                </w:p>
              </w:tc>
              <w:tc>
                <w:tcPr>
                  <w:tcW w:w="1051" w:type="pct"/>
                  <w:vMerge w:val="continue"/>
                  <w:tcBorders>
                    <w:top w:val="single" w:color="auto" w:sz="4" w:space="0"/>
                    <w:left w:val="single" w:color="auto" w:sz="6" w:space="0"/>
                    <w:bottom w:val="single" w:color="auto" w:sz="6" w:space="0"/>
                    <w:right w:val="single" w:color="auto" w:sz="4" w:space="0"/>
                  </w:tcBorders>
                  <w:vAlign w:val="center"/>
                </w:tcPr>
                <w:p>
                  <w:pPr>
                    <w:widowControl/>
                    <w:jc w:val="center"/>
                    <w:rPr>
                      <w:color w:val="auto"/>
                      <w:sz w:val="18"/>
                      <w:szCs w:val="18"/>
                      <w:highlight w:val="none"/>
                    </w:rPr>
                  </w:pPr>
                </w:p>
              </w:tc>
              <w:tc>
                <w:tcPr>
                  <w:tcW w:w="931" w:type="pct"/>
                  <w:vMerge w:val="continue"/>
                  <w:tcBorders>
                    <w:left w:val="single" w:color="auto" w:sz="6" w:space="0"/>
                    <w:bottom w:val="single" w:color="auto" w:sz="6" w:space="0"/>
                    <w:right w:val="single" w:color="auto" w:sz="4" w:space="0"/>
                  </w:tcBorders>
                  <w:vAlign w:val="center"/>
                </w:tcPr>
                <w:p>
                  <w:pPr>
                    <w:widowControl/>
                    <w:jc w:val="center"/>
                    <w:rPr>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14" w:type="pct"/>
                  <w:vMerge w:val="restart"/>
                  <w:tcBorders>
                    <w:top w:val="single" w:color="auto" w:sz="6" w:space="0"/>
                    <w:left w:val="single" w:color="auto" w:sz="4" w:space="0"/>
                    <w:right w:val="single" w:color="auto" w:sz="6" w:space="0"/>
                  </w:tcBorders>
                  <w:vAlign w:val="center"/>
                </w:tcPr>
                <w:p>
                  <w:pPr>
                    <w:jc w:val="center"/>
                    <w:rPr>
                      <w:color w:val="auto"/>
                      <w:sz w:val="18"/>
                      <w:szCs w:val="18"/>
                      <w:highlight w:val="none"/>
                    </w:rPr>
                  </w:pPr>
                  <w:r>
                    <w:rPr>
                      <w:rFonts w:hint="eastAsia"/>
                      <w:color w:val="auto"/>
                      <w:sz w:val="18"/>
                      <w:szCs w:val="18"/>
                      <w:highlight w:val="none"/>
                      <w:lang w:val="en-US" w:eastAsia="zh-CN"/>
                    </w:rPr>
                    <w:t>地表水</w:t>
                  </w:r>
                  <w:r>
                    <w:rPr>
                      <w:rFonts w:hint="eastAsia"/>
                      <w:color w:val="auto"/>
                      <w:sz w:val="18"/>
                      <w:szCs w:val="18"/>
                      <w:highlight w:val="none"/>
                    </w:rPr>
                    <w:t>环境</w:t>
                  </w:r>
                </w:p>
              </w:tc>
              <w:tc>
                <w:tcPr>
                  <w:tcW w:w="642" w:type="pct"/>
                  <w:tcBorders>
                    <w:top w:val="single" w:color="auto" w:sz="6" w:space="0"/>
                    <w:left w:val="single" w:color="auto" w:sz="6" w:space="0"/>
                    <w:bottom w:val="single" w:color="auto" w:sz="6" w:space="0"/>
                    <w:right w:val="single" w:color="auto" w:sz="6" w:space="0"/>
                  </w:tcBorders>
                  <w:vAlign w:val="center"/>
                </w:tcPr>
                <w:p>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堰沟</w:t>
                  </w:r>
                </w:p>
              </w:tc>
              <w:tc>
                <w:tcPr>
                  <w:tcW w:w="926" w:type="pct"/>
                  <w:tcBorders>
                    <w:top w:val="single" w:color="auto" w:sz="6" w:space="0"/>
                    <w:left w:val="single" w:color="auto" w:sz="6" w:space="0"/>
                    <w:bottom w:val="single" w:color="auto" w:sz="6" w:space="0"/>
                    <w:right w:val="single" w:color="auto" w:sz="6" w:space="0"/>
                  </w:tcBorders>
                  <w:vAlign w:val="center"/>
                </w:tcPr>
                <w:p>
                  <w:pPr>
                    <w:jc w:val="center"/>
                    <w:rPr>
                      <w:rFonts w:hint="default" w:eastAsia="宋体"/>
                      <w:color w:val="auto"/>
                      <w:sz w:val="18"/>
                      <w:szCs w:val="18"/>
                      <w:highlight w:val="none"/>
                      <w:lang w:val="en-US" w:eastAsia="zh-CN"/>
                    </w:rPr>
                  </w:pPr>
                  <w:r>
                    <w:rPr>
                      <w:rFonts w:hint="default" w:eastAsia="宋体"/>
                      <w:color w:val="auto"/>
                      <w:sz w:val="18"/>
                      <w:szCs w:val="18"/>
                      <w:highlight w:val="none"/>
                      <w:lang w:val="en-US" w:eastAsia="zh-CN"/>
                    </w:rPr>
                    <w:t>坝址上游回水区域</w:t>
                  </w:r>
                </w:p>
              </w:tc>
              <w:tc>
                <w:tcPr>
                  <w:tcW w:w="933" w:type="pct"/>
                  <w:tcBorders>
                    <w:top w:val="single" w:color="auto" w:sz="6" w:space="0"/>
                    <w:left w:val="single" w:color="auto" w:sz="6" w:space="0"/>
                    <w:bottom w:val="single" w:color="auto" w:sz="6" w:space="0"/>
                    <w:right w:val="single" w:color="auto" w:sz="4" w:space="0"/>
                  </w:tcBorders>
                  <w:vAlign w:val="center"/>
                </w:tcPr>
                <w:p>
                  <w:pPr>
                    <w:jc w:val="center"/>
                    <w:rPr>
                      <w:rFonts w:hint="default" w:eastAsia="宋体"/>
                      <w:color w:val="auto"/>
                      <w:sz w:val="18"/>
                      <w:szCs w:val="18"/>
                      <w:highlight w:val="none"/>
                      <w:lang w:val="en-US" w:eastAsia="zh-CN"/>
                    </w:rPr>
                  </w:pPr>
                  <w:r>
                    <w:rPr>
                      <w:rFonts w:hint="default" w:eastAsia="宋体"/>
                      <w:color w:val="auto"/>
                      <w:sz w:val="18"/>
                      <w:szCs w:val="18"/>
                      <w:highlight w:val="none"/>
                      <w:lang w:val="en-US" w:eastAsia="zh-CN"/>
                    </w:rPr>
                    <w:t>参照Ⅲ类水域</w:t>
                  </w:r>
                </w:p>
              </w:tc>
              <w:tc>
                <w:tcPr>
                  <w:tcW w:w="1051" w:type="pct"/>
                  <w:tcBorders>
                    <w:top w:val="single" w:color="auto" w:sz="6" w:space="0"/>
                    <w:left w:val="single" w:color="auto" w:sz="6" w:space="0"/>
                    <w:bottom w:val="single" w:color="auto" w:sz="6" w:space="0"/>
                    <w:right w:val="single" w:color="auto" w:sz="4" w:space="0"/>
                  </w:tcBorders>
                  <w:vAlign w:val="center"/>
                </w:tcPr>
                <w:p>
                  <w:pPr>
                    <w:jc w:val="center"/>
                    <w:rPr>
                      <w:rFonts w:hint="default" w:eastAsia="宋体"/>
                      <w:color w:val="auto"/>
                      <w:sz w:val="18"/>
                      <w:szCs w:val="18"/>
                      <w:highlight w:val="none"/>
                      <w:lang w:val="en-US" w:eastAsia="zh-CN"/>
                    </w:rPr>
                  </w:pPr>
                  <w:r>
                    <w:rPr>
                      <w:rFonts w:hint="default" w:eastAsia="宋体"/>
                      <w:color w:val="auto"/>
                      <w:sz w:val="18"/>
                      <w:szCs w:val="18"/>
                      <w:highlight w:val="none"/>
                      <w:lang w:val="en-US" w:eastAsia="zh-CN"/>
                    </w:rPr>
                    <w:t>运行期</w:t>
                  </w:r>
                </w:p>
              </w:tc>
              <w:tc>
                <w:tcPr>
                  <w:tcW w:w="931" w:type="pct"/>
                  <w:tcBorders>
                    <w:top w:val="single" w:color="auto" w:sz="6" w:space="0"/>
                    <w:left w:val="single" w:color="auto" w:sz="6" w:space="0"/>
                    <w:right w:val="single" w:color="auto" w:sz="4" w:space="0"/>
                  </w:tcBorders>
                  <w:vAlign w:val="center"/>
                </w:tcPr>
                <w:p>
                  <w:pPr>
                    <w:jc w:val="center"/>
                    <w:rPr>
                      <w:color w:val="auto"/>
                      <w:sz w:val="18"/>
                      <w:szCs w:val="18"/>
                      <w:highlight w:val="none"/>
                    </w:rPr>
                  </w:pPr>
                  <w:r>
                    <w:rPr>
                      <w:rFonts w:hint="eastAsia"/>
                      <w:color w:val="auto"/>
                      <w:sz w:val="18"/>
                      <w:szCs w:val="18"/>
                      <w:highlight w:val="none"/>
                    </w:rPr>
                    <w:t>水库初期蓄水、成库后运行调节的影响</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14" w:type="pct"/>
                  <w:vMerge w:val="continue"/>
                  <w:tcBorders>
                    <w:left w:val="single" w:color="auto" w:sz="4" w:space="0"/>
                    <w:right w:val="single" w:color="auto" w:sz="6" w:space="0"/>
                  </w:tcBorders>
                  <w:vAlign w:val="center"/>
                </w:tcPr>
                <w:p>
                  <w:pPr>
                    <w:jc w:val="center"/>
                    <w:rPr>
                      <w:color w:val="auto"/>
                      <w:sz w:val="18"/>
                      <w:szCs w:val="18"/>
                      <w:highlight w:val="none"/>
                    </w:rPr>
                  </w:pPr>
                </w:p>
              </w:tc>
              <w:tc>
                <w:tcPr>
                  <w:tcW w:w="642" w:type="pct"/>
                  <w:tcBorders>
                    <w:top w:val="single" w:color="auto" w:sz="6" w:space="0"/>
                    <w:left w:val="single" w:color="auto" w:sz="6" w:space="0"/>
                    <w:bottom w:val="single" w:color="auto" w:sz="6" w:space="0"/>
                    <w:right w:val="single" w:color="auto" w:sz="6" w:space="0"/>
                  </w:tcBorders>
                  <w:vAlign w:val="center"/>
                </w:tcPr>
                <w:p>
                  <w:pPr>
                    <w:jc w:val="center"/>
                    <w:rPr>
                      <w:color w:val="auto"/>
                      <w:sz w:val="18"/>
                      <w:szCs w:val="18"/>
                      <w:highlight w:val="none"/>
                    </w:rPr>
                  </w:pPr>
                  <w:r>
                    <w:rPr>
                      <w:rFonts w:hint="eastAsia"/>
                      <w:color w:val="auto"/>
                      <w:sz w:val="18"/>
                      <w:szCs w:val="18"/>
                      <w:highlight w:val="none"/>
                      <w:lang w:val="en-US" w:eastAsia="zh-CN"/>
                    </w:rPr>
                    <w:t>堰沟</w:t>
                  </w:r>
                </w:p>
              </w:tc>
              <w:tc>
                <w:tcPr>
                  <w:tcW w:w="926" w:type="pct"/>
                  <w:tcBorders>
                    <w:top w:val="single" w:color="auto" w:sz="6" w:space="0"/>
                    <w:left w:val="single" w:color="auto" w:sz="6" w:space="0"/>
                    <w:bottom w:val="single" w:color="auto" w:sz="6" w:space="0"/>
                    <w:right w:val="single" w:color="auto" w:sz="6" w:space="0"/>
                  </w:tcBorders>
                  <w:vAlign w:val="center"/>
                </w:tcPr>
                <w:p>
                  <w:pPr>
                    <w:jc w:val="center"/>
                    <w:rPr>
                      <w:rFonts w:hint="default" w:eastAsia="宋体"/>
                      <w:color w:val="auto"/>
                      <w:sz w:val="18"/>
                      <w:szCs w:val="18"/>
                      <w:highlight w:val="none"/>
                      <w:lang w:val="en-US" w:eastAsia="zh-CN"/>
                    </w:rPr>
                  </w:pPr>
                  <w:r>
                    <w:rPr>
                      <w:rFonts w:hint="default" w:eastAsia="宋体"/>
                      <w:color w:val="auto"/>
                      <w:sz w:val="18"/>
                      <w:szCs w:val="18"/>
                      <w:highlight w:val="none"/>
                      <w:lang w:val="en-US" w:eastAsia="zh-CN"/>
                    </w:rPr>
                    <w:t>坝址下游减水河段</w:t>
                  </w:r>
                </w:p>
              </w:tc>
              <w:tc>
                <w:tcPr>
                  <w:tcW w:w="933" w:type="pct"/>
                  <w:tcBorders>
                    <w:top w:val="single" w:color="auto" w:sz="6" w:space="0"/>
                    <w:left w:val="single" w:color="auto" w:sz="6" w:space="0"/>
                    <w:bottom w:val="single" w:color="auto" w:sz="6" w:space="0"/>
                    <w:right w:val="single" w:color="auto" w:sz="4" w:space="0"/>
                  </w:tcBorders>
                  <w:vAlign w:val="center"/>
                </w:tcPr>
                <w:p>
                  <w:pPr>
                    <w:jc w:val="center"/>
                    <w:rPr>
                      <w:rFonts w:hint="default" w:eastAsia="宋体"/>
                      <w:color w:val="auto"/>
                      <w:sz w:val="18"/>
                      <w:szCs w:val="18"/>
                      <w:highlight w:val="none"/>
                      <w:lang w:val="en-US" w:eastAsia="zh-CN"/>
                    </w:rPr>
                  </w:pPr>
                  <w:r>
                    <w:rPr>
                      <w:rFonts w:hint="default" w:eastAsia="宋体"/>
                      <w:color w:val="auto"/>
                      <w:sz w:val="18"/>
                      <w:szCs w:val="18"/>
                      <w:highlight w:val="none"/>
                      <w:lang w:val="en-US" w:eastAsia="zh-CN"/>
                    </w:rPr>
                    <w:t>参照Ⅲ类水域</w:t>
                  </w:r>
                </w:p>
              </w:tc>
              <w:tc>
                <w:tcPr>
                  <w:tcW w:w="1051" w:type="pct"/>
                  <w:tcBorders>
                    <w:top w:val="single" w:color="auto" w:sz="6" w:space="0"/>
                    <w:left w:val="single" w:color="auto" w:sz="6" w:space="0"/>
                    <w:bottom w:val="single" w:color="auto" w:sz="6" w:space="0"/>
                    <w:right w:val="single" w:color="auto" w:sz="4" w:space="0"/>
                  </w:tcBorders>
                  <w:vAlign w:val="center"/>
                </w:tcPr>
                <w:p>
                  <w:pPr>
                    <w:jc w:val="center"/>
                    <w:rPr>
                      <w:color w:val="auto"/>
                      <w:sz w:val="18"/>
                      <w:szCs w:val="18"/>
                      <w:highlight w:val="none"/>
                    </w:rPr>
                  </w:pPr>
                  <w:r>
                    <w:rPr>
                      <w:rFonts w:hint="eastAsia"/>
                      <w:color w:val="auto"/>
                      <w:sz w:val="18"/>
                      <w:szCs w:val="18"/>
                      <w:highlight w:val="none"/>
                    </w:rPr>
                    <w:t>施工期、运行期</w:t>
                  </w:r>
                </w:p>
              </w:tc>
              <w:tc>
                <w:tcPr>
                  <w:tcW w:w="931" w:type="pct"/>
                  <w:tcBorders>
                    <w:left w:val="single" w:color="auto" w:sz="6" w:space="0"/>
                    <w:right w:val="single" w:color="auto" w:sz="4" w:space="0"/>
                  </w:tcBorders>
                  <w:vAlign w:val="center"/>
                </w:tcPr>
                <w:p>
                  <w:pPr>
                    <w:jc w:val="center"/>
                    <w:rPr>
                      <w:color w:val="auto"/>
                      <w:sz w:val="18"/>
                      <w:szCs w:val="18"/>
                      <w:highlight w:val="none"/>
                    </w:rPr>
                  </w:pPr>
                  <w:r>
                    <w:rPr>
                      <w:rFonts w:hint="eastAsia"/>
                      <w:color w:val="auto"/>
                      <w:sz w:val="18"/>
                      <w:szCs w:val="18"/>
                      <w:highlight w:val="none"/>
                    </w:rPr>
                    <w:t>施工废水排放，运行期减水影响</w:t>
                  </w:r>
                </w:p>
              </w:tc>
            </w:tr>
          </w:tbl>
          <w:p>
            <w:pPr>
              <w:spacing w:line="360" w:lineRule="auto"/>
              <w:rPr>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eastAsia"/>
                <w:color w:val="auto"/>
                <w:highlight w:val="none"/>
              </w:rPr>
              <w:t>声环境保护目标</w:t>
            </w:r>
          </w:p>
          <w:p>
            <w:pPr>
              <w:spacing w:line="360" w:lineRule="auto"/>
              <w:ind w:firstLine="420" w:firstLineChars="200"/>
              <w:rPr>
                <w:rFonts w:hint="eastAsia"/>
                <w:color w:val="auto"/>
                <w:highlight w:val="none"/>
              </w:rPr>
            </w:pPr>
            <w:r>
              <w:rPr>
                <w:rFonts w:hint="eastAsia"/>
                <w:color w:val="auto"/>
                <w:highlight w:val="none"/>
              </w:rPr>
              <w:t>参考《建设项目环境影响报告表编制技术指南（污染影响类）》，声环境评价范围为场界外50m。场界外50m范围内声环境保护目标</w:t>
            </w:r>
            <w:r>
              <w:rPr>
                <w:rFonts w:hint="eastAsia"/>
                <w:color w:val="auto"/>
                <w:highlight w:val="none"/>
                <w:lang w:val="en-US" w:eastAsia="zh-CN"/>
              </w:rPr>
              <w:t>见下表</w:t>
            </w:r>
            <w:r>
              <w:rPr>
                <w:rFonts w:hint="eastAsia"/>
                <w:color w:val="auto"/>
                <w:highlight w:val="none"/>
              </w:rPr>
              <w:t>。</w:t>
            </w:r>
          </w:p>
          <w:p>
            <w:pPr>
              <w:spacing w:line="360" w:lineRule="auto"/>
              <w:jc w:val="center"/>
              <w:rPr>
                <w:color w:val="auto"/>
                <w:highlight w:val="none"/>
              </w:rPr>
            </w:pPr>
            <w:r>
              <w:rPr>
                <w:color w:val="auto"/>
                <w:highlight w:val="none"/>
              </w:rPr>
              <w:t>表</w:t>
            </w:r>
            <w:r>
              <w:rPr>
                <w:rFonts w:hint="eastAsia"/>
                <w:color w:val="auto"/>
                <w:highlight w:val="none"/>
              </w:rPr>
              <w:t>3.3-</w:t>
            </w:r>
            <w:r>
              <w:rPr>
                <w:rFonts w:hint="eastAsia"/>
                <w:color w:val="auto"/>
                <w:highlight w:val="none"/>
                <w:lang w:val="en-US" w:eastAsia="zh-CN"/>
              </w:rPr>
              <w:t>3</w:t>
            </w:r>
            <w:r>
              <w:rPr>
                <w:color w:val="auto"/>
                <w:highlight w:val="none"/>
              </w:rPr>
              <w:t xml:space="preserve"> </w:t>
            </w:r>
            <w:r>
              <w:rPr>
                <w:rFonts w:hint="eastAsia"/>
                <w:color w:val="auto"/>
                <w:highlight w:val="none"/>
              </w:rPr>
              <w:t>拟建项目</w:t>
            </w:r>
            <w:r>
              <w:rPr>
                <w:rFonts w:hint="eastAsia"/>
                <w:color w:val="auto"/>
                <w:highlight w:val="none"/>
                <w:lang w:val="en-US" w:eastAsia="zh-CN"/>
              </w:rPr>
              <w:t>声</w:t>
            </w:r>
            <w:r>
              <w:rPr>
                <w:rFonts w:hint="eastAsia"/>
                <w:color w:val="auto"/>
                <w:highlight w:val="none"/>
              </w:rPr>
              <w:t>环境保护</w:t>
            </w:r>
            <w:r>
              <w:rPr>
                <w:color w:val="auto"/>
                <w:highlight w:val="none"/>
              </w:rPr>
              <w:t>目标分布一览表</w:t>
            </w:r>
          </w:p>
          <w:tbl>
            <w:tblPr>
              <w:tblStyle w:val="29"/>
              <w:tblW w:w="4906"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579"/>
              <w:gridCol w:w="969"/>
              <w:gridCol w:w="1319"/>
              <w:gridCol w:w="1180"/>
              <w:gridCol w:w="603"/>
              <w:gridCol w:w="1192"/>
              <w:gridCol w:w="1268"/>
              <w:gridCol w:w="80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 w:hRule="atLeast"/>
                <w:jc w:val="center"/>
              </w:trPr>
              <w:tc>
                <w:tcPr>
                  <w:tcW w:w="580" w:type="dxa"/>
                  <w:vMerge w:val="restart"/>
                  <w:tcBorders>
                    <w:top w:val="single" w:color="auto" w:sz="4" w:space="0"/>
                    <w:left w:val="single" w:color="auto" w:sz="4" w:space="0"/>
                    <w:bottom w:val="single" w:color="auto" w:sz="6" w:space="0"/>
                    <w:right w:val="single" w:color="auto" w:sz="6" w:space="0"/>
                  </w:tcBorders>
                  <w:vAlign w:val="center"/>
                </w:tcPr>
                <w:p>
                  <w:pPr>
                    <w:jc w:val="center"/>
                    <w:rPr>
                      <w:b/>
                      <w:bCs/>
                      <w:color w:val="auto"/>
                      <w:sz w:val="18"/>
                      <w:szCs w:val="18"/>
                      <w:highlight w:val="none"/>
                    </w:rPr>
                  </w:pPr>
                  <w:r>
                    <w:rPr>
                      <w:rFonts w:hint="eastAsia"/>
                      <w:b/>
                      <w:bCs/>
                      <w:color w:val="auto"/>
                      <w:sz w:val="18"/>
                      <w:szCs w:val="18"/>
                      <w:highlight w:val="none"/>
                    </w:rPr>
                    <w:t>环境要素</w:t>
                  </w:r>
                </w:p>
              </w:tc>
              <w:tc>
                <w:tcPr>
                  <w:tcW w:w="970" w:type="dxa"/>
                  <w:vMerge w:val="restart"/>
                  <w:tcBorders>
                    <w:top w:val="single" w:color="auto" w:sz="4" w:space="0"/>
                    <w:left w:val="single" w:color="auto" w:sz="6" w:space="0"/>
                    <w:bottom w:val="single" w:color="auto" w:sz="6" w:space="0"/>
                    <w:right w:val="single" w:color="auto" w:sz="6" w:space="0"/>
                  </w:tcBorders>
                  <w:vAlign w:val="center"/>
                </w:tcPr>
                <w:p>
                  <w:pPr>
                    <w:jc w:val="center"/>
                    <w:rPr>
                      <w:b/>
                      <w:bCs/>
                      <w:color w:val="auto"/>
                      <w:sz w:val="18"/>
                      <w:szCs w:val="18"/>
                      <w:highlight w:val="none"/>
                    </w:rPr>
                  </w:pPr>
                  <w:r>
                    <w:rPr>
                      <w:b/>
                      <w:bCs/>
                      <w:color w:val="auto"/>
                      <w:sz w:val="18"/>
                      <w:szCs w:val="18"/>
                      <w:highlight w:val="none"/>
                    </w:rPr>
                    <w:t>保护目标</w:t>
                  </w:r>
                  <w:r>
                    <w:rPr>
                      <w:rFonts w:hint="eastAsia"/>
                      <w:b/>
                      <w:bCs/>
                      <w:color w:val="auto"/>
                      <w:sz w:val="18"/>
                      <w:szCs w:val="18"/>
                      <w:highlight w:val="none"/>
                    </w:rPr>
                    <w:t>名称</w:t>
                  </w:r>
                </w:p>
              </w:tc>
              <w:tc>
                <w:tcPr>
                  <w:tcW w:w="2499" w:type="dxa"/>
                  <w:gridSpan w:val="2"/>
                  <w:tcBorders>
                    <w:top w:val="single" w:color="auto" w:sz="4" w:space="0"/>
                    <w:left w:val="single" w:color="auto" w:sz="6" w:space="0"/>
                    <w:bottom w:val="single" w:color="auto" w:sz="6" w:space="0"/>
                    <w:right w:val="single" w:color="auto" w:sz="6" w:space="0"/>
                  </w:tcBorders>
                  <w:vAlign w:val="center"/>
                </w:tcPr>
                <w:p>
                  <w:pPr>
                    <w:jc w:val="center"/>
                    <w:rPr>
                      <w:b/>
                      <w:bCs/>
                      <w:color w:val="auto"/>
                      <w:sz w:val="18"/>
                      <w:szCs w:val="18"/>
                      <w:highlight w:val="none"/>
                    </w:rPr>
                  </w:pPr>
                  <w:r>
                    <w:rPr>
                      <w:b/>
                      <w:bCs/>
                      <w:color w:val="auto"/>
                      <w:sz w:val="18"/>
                      <w:szCs w:val="18"/>
                      <w:highlight w:val="none"/>
                    </w:rPr>
                    <w:t>坐标（中心）</w:t>
                  </w:r>
                </w:p>
              </w:tc>
              <w:tc>
                <w:tcPr>
                  <w:tcW w:w="603" w:type="dxa"/>
                  <w:vMerge w:val="restart"/>
                  <w:tcBorders>
                    <w:top w:val="single" w:color="auto" w:sz="4" w:space="0"/>
                    <w:left w:val="single" w:color="auto" w:sz="6" w:space="0"/>
                    <w:bottom w:val="single" w:color="auto" w:sz="6" w:space="0"/>
                    <w:right w:val="single" w:color="auto" w:sz="6" w:space="0"/>
                  </w:tcBorders>
                  <w:vAlign w:val="center"/>
                </w:tcPr>
                <w:p>
                  <w:pPr>
                    <w:jc w:val="center"/>
                    <w:rPr>
                      <w:b/>
                      <w:bCs/>
                      <w:color w:val="auto"/>
                      <w:sz w:val="18"/>
                      <w:szCs w:val="18"/>
                      <w:highlight w:val="none"/>
                    </w:rPr>
                  </w:pPr>
                  <w:r>
                    <w:rPr>
                      <w:b/>
                      <w:bCs/>
                      <w:color w:val="auto"/>
                      <w:sz w:val="18"/>
                      <w:szCs w:val="18"/>
                      <w:highlight w:val="none"/>
                    </w:rPr>
                    <w:t>相对方位</w:t>
                  </w:r>
                </w:p>
              </w:tc>
              <w:tc>
                <w:tcPr>
                  <w:tcW w:w="1192" w:type="dxa"/>
                  <w:vMerge w:val="restart"/>
                  <w:tcBorders>
                    <w:top w:val="single" w:color="auto" w:sz="4" w:space="0"/>
                    <w:left w:val="single" w:color="auto" w:sz="6" w:space="0"/>
                    <w:bottom w:val="single" w:color="auto" w:sz="6" w:space="0"/>
                    <w:right w:val="single" w:color="auto" w:sz="4" w:space="0"/>
                  </w:tcBorders>
                  <w:vAlign w:val="center"/>
                </w:tcPr>
                <w:p>
                  <w:pPr>
                    <w:jc w:val="center"/>
                    <w:rPr>
                      <w:b/>
                      <w:bCs/>
                      <w:color w:val="auto"/>
                      <w:sz w:val="18"/>
                      <w:szCs w:val="18"/>
                      <w:highlight w:val="none"/>
                    </w:rPr>
                  </w:pPr>
                  <w:r>
                    <w:rPr>
                      <w:b/>
                      <w:bCs/>
                      <w:color w:val="auto"/>
                      <w:sz w:val="18"/>
                      <w:szCs w:val="18"/>
                      <w:highlight w:val="none"/>
                    </w:rPr>
                    <w:t>相对</w:t>
                  </w:r>
                  <w:r>
                    <w:rPr>
                      <w:rFonts w:hint="eastAsia"/>
                      <w:b/>
                      <w:bCs/>
                      <w:color w:val="auto"/>
                      <w:sz w:val="18"/>
                      <w:szCs w:val="18"/>
                      <w:highlight w:val="none"/>
                      <w:lang w:val="en-US" w:eastAsia="zh-CN"/>
                    </w:rPr>
                    <w:t>库区</w:t>
                  </w:r>
                  <w:r>
                    <w:rPr>
                      <w:b/>
                      <w:bCs/>
                      <w:color w:val="auto"/>
                      <w:sz w:val="18"/>
                      <w:szCs w:val="18"/>
                      <w:highlight w:val="none"/>
                    </w:rPr>
                    <w:t>最近距离（m）</w:t>
                  </w:r>
                </w:p>
              </w:tc>
              <w:tc>
                <w:tcPr>
                  <w:tcW w:w="1268" w:type="dxa"/>
                  <w:vMerge w:val="restart"/>
                  <w:tcBorders>
                    <w:top w:val="single" w:color="auto" w:sz="4" w:space="0"/>
                    <w:left w:val="single" w:color="auto" w:sz="6" w:space="0"/>
                    <w:bottom w:val="single" w:color="auto" w:sz="6" w:space="0"/>
                    <w:right w:val="single" w:color="auto" w:sz="4" w:space="0"/>
                  </w:tcBorders>
                  <w:vAlign w:val="center"/>
                </w:tcPr>
                <w:p>
                  <w:pPr>
                    <w:jc w:val="center"/>
                    <w:rPr>
                      <w:b/>
                      <w:bCs/>
                      <w:color w:val="auto"/>
                      <w:sz w:val="18"/>
                      <w:szCs w:val="18"/>
                      <w:highlight w:val="none"/>
                    </w:rPr>
                  </w:pPr>
                  <w:r>
                    <w:rPr>
                      <w:b/>
                      <w:bCs/>
                      <w:color w:val="auto"/>
                      <w:sz w:val="18"/>
                      <w:szCs w:val="18"/>
                      <w:highlight w:val="none"/>
                    </w:rPr>
                    <w:t>保护</w:t>
                  </w:r>
                  <w:r>
                    <w:rPr>
                      <w:rFonts w:hint="eastAsia"/>
                      <w:b/>
                      <w:bCs/>
                      <w:color w:val="auto"/>
                      <w:sz w:val="18"/>
                      <w:szCs w:val="18"/>
                      <w:highlight w:val="none"/>
                    </w:rPr>
                    <w:t>对象</w:t>
                  </w:r>
                </w:p>
              </w:tc>
              <w:tc>
                <w:tcPr>
                  <w:tcW w:w="800" w:type="dxa"/>
                  <w:vMerge w:val="restart"/>
                  <w:tcBorders>
                    <w:top w:val="single" w:color="auto" w:sz="4" w:space="0"/>
                    <w:left w:val="single" w:color="auto" w:sz="6" w:space="0"/>
                    <w:right w:val="single" w:color="auto" w:sz="4" w:space="0"/>
                  </w:tcBorders>
                  <w:vAlign w:val="center"/>
                </w:tcPr>
                <w:p>
                  <w:pPr>
                    <w:jc w:val="center"/>
                    <w:rPr>
                      <w:b/>
                      <w:bCs/>
                      <w:color w:val="auto"/>
                      <w:sz w:val="18"/>
                      <w:szCs w:val="18"/>
                      <w:highlight w:val="none"/>
                    </w:rPr>
                  </w:pPr>
                  <w:r>
                    <w:rPr>
                      <w:b/>
                      <w:bCs/>
                      <w:color w:val="auto"/>
                      <w:sz w:val="18"/>
                      <w:szCs w:val="18"/>
                      <w:highlight w:val="none"/>
                    </w:rPr>
                    <w:t>环境功能区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7" w:hRule="atLeast"/>
                <w:jc w:val="center"/>
              </w:trPr>
              <w:tc>
                <w:tcPr>
                  <w:tcW w:w="580" w:type="dxa"/>
                  <w:vMerge w:val="continue"/>
                  <w:tcBorders>
                    <w:top w:val="single" w:color="auto" w:sz="4" w:space="0"/>
                    <w:left w:val="single" w:color="auto" w:sz="4" w:space="0"/>
                    <w:bottom w:val="single" w:color="auto" w:sz="6" w:space="0"/>
                    <w:right w:val="single" w:color="auto" w:sz="6" w:space="0"/>
                  </w:tcBorders>
                  <w:vAlign w:val="center"/>
                </w:tcPr>
                <w:p>
                  <w:pPr>
                    <w:widowControl/>
                    <w:jc w:val="center"/>
                    <w:rPr>
                      <w:b/>
                      <w:bCs/>
                      <w:color w:val="auto"/>
                      <w:sz w:val="18"/>
                      <w:szCs w:val="18"/>
                      <w:highlight w:val="none"/>
                    </w:rPr>
                  </w:pPr>
                </w:p>
              </w:tc>
              <w:tc>
                <w:tcPr>
                  <w:tcW w:w="970" w:type="dxa"/>
                  <w:vMerge w:val="continue"/>
                  <w:tcBorders>
                    <w:top w:val="single" w:color="auto" w:sz="4" w:space="0"/>
                    <w:left w:val="single" w:color="auto" w:sz="6" w:space="0"/>
                    <w:bottom w:val="single" w:color="auto" w:sz="6" w:space="0"/>
                    <w:right w:val="single" w:color="auto" w:sz="6" w:space="0"/>
                  </w:tcBorders>
                  <w:vAlign w:val="center"/>
                </w:tcPr>
                <w:p>
                  <w:pPr>
                    <w:widowControl/>
                    <w:jc w:val="center"/>
                    <w:rPr>
                      <w:b/>
                      <w:bCs/>
                      <w:color w:val="auto"/>
                      <w:sz w:val="18"/>
                      <w:szCs w:val="18"/>
                      <w:highlight w:val="none"/>
                    </w:rPr>
                  </w:pPr>
                </w:p>
              </w:tc>
              <w:tc>
                <w:tcPr>
                  <w:tcW w:w="1319" w:type="dxa"/>
                  <w:tcBorders>
                    <w:top w:val="single" w:color="auto" w:sz="6" w:space="0"/>
                    <w:left w:val="single" w:color="auto" w:sz="6" w:space="0"/>
                    <w:bottom w:val="single" w:color="auto" w:sz="6" w:space="0"/>
                    <w:right w:val="single" w:color="auto" w:sz="6" w:space="0"/>
                  </w:tcBorders>
                  <w:vAlign w:val="center"/>
                </w:tcPr>
                <w:p>
                  <w:pPr>
                    <w:jc w:val="center"/>
                    <w:rPr>
                      <w:b/>
                      <w:bCs/>
                      <w:color w:val="auto"/>
                      <w:sz w:val="18"/>
                      <w:szCs w:val="18"/>
                      <w:highlight w:val="none"/>
                    </w:rPr>
                  </w:pPr>
                  <w:r>
                    <w:rPr>
                      <w:b/>
                      <w:bCs/>
                      <w:color w:val="auto"/>
                      <w:sz w:val="18"/>
                      <w:szCs w:val="18"/>
                      <w:highlight w:val="none"/>
                    </w:rPr>
                    <w:t>经度</w:t>
                  </w: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b/>
                      <w:bCs/>
                      <w:color w:val="auto"/>
                      <w:sz w:val="18"/>
                      <w:szCs w:val="18"/>
                      <w:highlight w:val="none"/>
                    </w:rPr>
                  </w:pPr>
                  <w:r>
                    <w:rPr>
                      <w:b/>
                      <w:bCs/>
                      <w:color w:val="auto"/>
                      <w:sz w:val="18"/>
                      <w:szCs w:val="18"/>
                      <w:highlight w:val="none"/>
                    </w:rPr>
                    <w:t>纬度</w:t>
                  </w:r>
                </w:p>
              </w:tc>
              <w:tc>
                <w:tcPr>
                  <w:tcW w:w="603" w:type="dxa"/>
                  <w:vMerge w:val="continue"/>
                  <w:tcBorders>
                    <w:top w:val="single" w:color="auto" w:sz="4" w:space="0"/>
                    <w:left w:val="single" w:color="auto" w:sz="6" w:space="0"/>
                    <w:bottom w:val="single" w:color="auto" w:sz="6" w:space="0"/>
                    <w:right w:val="single" w:color="auto" w:sz="6" w:space="0"/>
                  </w:tcBorders>
                  <w:vAlign w:val="center"/>
                </w:tcPr>
                <w:p>
                  <w:pPr>
                    <w:widowControl/>
                    <w:jc w:val="center"/>
                    <w:rPr>
                      <w:color w:val="auto"/>
                      <w:sz w:val="18"/>
                      <w:szCs w:val="18"/>
                      <w:highlight w:val="none"/>
                    </w:rPr>
                  </w:pPr>
                </w:p>
              </w:tc>
              <w:tc>
                <w:tcPr>
                  <w:tcW w:w="1192" w:type="dxa"/>
                  <w:vMerge w:val="continue"/>
                  <w:tcBorders>
                    <w:top w:val="single" w:color="auto" w:sz="4" w:space="0"/>
                    <w:left w:val="single" w:color="auto" w:sz="6" w:space="0"/>
                    <w:bottom w:val="single" w:color="auto" w:sz="6" w:space="0"/>
                    <w:right w:val="single" w:color="auto" w:sz="4" w:space="0"/>
                  </w:tcBorders>
                  <w:vAlign w:val="center"/>
                </w:tcPr>
                <w:p>
                  <w:pPr>
                    <w:widowControl/>
                    <w:jc w:val="center"/>
                    <w:rPr>
                      <w:color w:val="auto"/>
                      <w:sz w:val="18"/>
                      <w:szCs w:val="18"/>
                      <w:highlight w:val="none"/>
                    </w:rPr>
                  </w:pPr>
                </w:p>
              </w:tc>
              <w:tc>
                <w:tcPr>
                  <w:tcW w:w="1268" w:type="dxa"/>
                  <w:vMerge w:val="continue"/>
                  <w:tcBorders>
                    <w:top w:val="single" w:color="auto" w:sz="4" w:space="0"/>
                    <w:left w:val="single" w:color="auto" w:sz="6" w:space="0"/>
                    <w:bottom w:val="single" w:color="auto" w:sz="6" w:space="0"/>
                    <w:right w:val="single" w:color="auto" w:sz="4" w:space="0"/>
                  </w:tcBorders>
                  <w:vAlign w:val="center"/>
                </w:tcPr>
                <w:p>
                  <w:pPr>
                    <w:widowControl/>
                    <w:jc w:val="center"/>
                    <w:rPr>
                      <w:color w:val="auto"/>
                      <w:sz w:val="18"/>
                      <w:szCs w:val="18"/>
                      <w:highlight w:val="none"/>
                    </w:rPr>
                  </w:pPr>
                </w:p>
              </w:tc>
              <w:tc>
                <w:tcPr>
                  <w:tcW w:w="800" w:type="dxa"/>
                  <w:vMerge w:val="continue"/>
                  <w:tcBorders>
                    <w:left w:val="single" w:color="auto" w:sz="6" w:space="0"/>
                    <w:bottom w:val="single" w:color="auto" w:sz="6" w:space="0"/>
                    <w:right w:val="single" w:color="auto" w:sz="4" w:space="0"/>
                  </w:tcBorders>
                  <w:vAlign w:val="center"/>
                </w:tcPr>
                <w:p>
                  <w:pPr>
                    <w:widowControl/>
                    <w:jc w:val="center"/>
                    <w:rPr>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80" w:type="dxa"/>
                  <w:vMerge w:val="restart"/>
                  <w:tcBorders>
                    <w:top w:val="single" w:color="auto" w:sz="6" w:space="0"/>
                    <w:left w:val="single" w:color="auto" w:sz="4" w:space="0"/>
                    <w:right w:val="single" w:color="auto" w:sz="6" w:space="0"/>
                  </w:tcBorders>
                  <w:vAlign w:val="center"/>
                </w:tcPr>
                <w:p>
                  <w:pPr>
                    <w:jc w:val="center"/>
                    <w:rPr>
                      <w:color w:val="auto"/>
                      <w:sz w:val="18"/>
                      <w:szCs w:val="18"/>
                      <w:highlight w:val="none"/>
                    </w:rPr>
                  </w:pPr>
                  <w:r>
                    <w:rPr>
                      <w:rFonts w:hint="eastAsia"/>
                      <w:color w:val="auto"/>
                      <w:sz w:val="18"/>
                      <w:szCs w:val="18"/>
                      <w:highlight w:val="none"/>
                      <w:lang w:val="en-US" w:eastAsia="zh-CN"/>
                    </w:rPr>
                    <w:t>声</w:t>
                  </w:r>
                  <w:r>
                    <w:rPr>
                      <w:rFonts w:hint="eastAsia"/>
                      <w:color w:val="auto"/>
                      <w:sz w:val="18"/>
                      <w:szCs w:val="18"/>
                      <w:highlight w:val="none"/>
                    </w:rPr>
                    <w:t>环境</w:t>
                  </w:r>
                </w:p>
              </w:tc>
              <w:tc>
                <w:tcPr>
                  <w:tcW w:w="970" w:type="dxa"/>
                  <w:tcBorders>
                    <w:top w:val="single" w:color="auto" w:sz="6" w:space="0"/>
                    <w:left w:val="single" w:color="auto" w:sz="6" w:space="0"/>
                    <w:bottom w:val="single" w:color="auto" w:sz="6" w:space="0"/>
                    <w:right w:val="single" w:color="auto" w:sz="6" w:space="0"/>
                  </w:tcBorders>
                  <w:vAlign w:val="center"/>
                </w:tcPr>
                <w:p>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1#农户</w:t>
                  </w:r>
                </w:p>
              </w:tc>
              <w:tc>
                <w:tcPr>
                  <w:tcW w:w="131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color w:val="auto"/>
                      <w:sz w:val="18"/>
                      <w:szCs w:val="18"/>
                      <w:highlight w:val="none"/>
                      <w:lang w:val="en-US"/>
                    </w:rPr>
                  </w:pPr>
                  <w:r>
                    <w:rPr>
                      <w:rFonts w:hint="default"/>
                      <w:color w:val="auto"/>
                      <w:sz w:val="18"/>
                      <w:szCs w:val="18"/>
                      <w:highlight w:val="none"/>
                      <w:lang w:val="en-US"/>
                    </w:rPr>
                    <w:t>107.595611</w:t>
                  </w:r>
                </w:p>
              </w:tc>
              <w:tc>
                <w:tcPr>
                  <w:tcW w:w="1180" w:type="dxa"/>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jc w:val="center"/>
                    <w:textAlignment w:val="center"/>
                    <w:rPr>
                      <w:rFonts w:hint="default"/>
                      <w:color w:val="auto"/>
                      <w:sz w:val="18"/>
                      <w:szCs w:val="18"/>
                      <w:highlight w:val="none"/>
                      <w:lang w:val="en-US"/>
                    </w:rPr>
                  </w:pPr>
                  <w:r>
                    <w:rPr>
                      <w:rFonts w:hint="default"/>
                      <w:color w:val="auto"/>
                      <w:sz w:val="18"/>
                      <w:szCs w:val="18"/>
                      <w:highlight w:val="none"/>
                      <w:lang w:val="en-US"/>
                    </w:rPr>
                    <w:t>31.595275</w:t>
                  </w:r>
                </w:p>
              </w:tc>
              <w:tc>
                <w:tcPr>
                  <w:tcW w:w="603" w:type="dxa"/>
                  <w:tcBorders>
                    <w:top w:val="single" w:color="auto" w:sz="6" w:space="0"/>
                    <w:left w:val="single" w:color="auto" w:sz="6" w:space="0"/>
                    <w:bottom w:val="single" w:color="auto" w:sz="6" w:space="0"/>
                    <w:right w:val="single" w:color="auto" w:sz="6" w:space="0"/>
                  </w:tcBorders>
                  <w:vAlign w:val="center"/>
                </w:tcPr>
                <w:p>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NW</w:t>
                  </w:r>
                </w:p>
              </w:tc>
              <w:tc>
                <w:tcPr>
                  <w:tcW w:w="1192" w:type="dxa"/>
                  <w:tcBorders>
                    <w:top w:val="single" w:color="auto" w:sz="6" w:space="0"/>
                    <w:left w:val="single" w:color="auto" w:sz="6" w:space="0"/>
                    <w:bottom w:val="single" w:color="auto" w:sz="6" w:space="0"/>
                    <w:right w:val="single" w:color="auto" w:sz="4" w:space="0"/>
                  </w:tcBorders>
                  <w:vAlign w:val="center"/>
                </w:tcPr>
                <w:p>
                  <w:pPr>
                    <w:jc w:val="center"/>
                    <w:rPr>
                      <w:rFonts w:hint="default" w:eastAsia="宋体"/>
                      <w:color w:val="auto"/>
                      <w:sz w:val="18"/>
                      <w:szCs w:val="18"/>
                      <w:highlight w:val="none"/>
                      <w:lang w:val="en-US" w:eastAsia="zh-CN"/>
                    </w:rPr>
                  </w:pPr>
                  <w:r>
                    <w:rPr>
                      <w:rFonts w:hint="eastAsia" w:eastAsia="宋体"/>
                      <w:color w:val="auto"/>
                      <w:sz w:val="18"/>
                      <w:szCs w:val="18"/>
                      <w:highlight w:val="none"/>
                      <w:lang w:val="en-US" w:eastAsia="zh-CN"/>
                    </w:rPr>
                    <w:t>25</w:t>
                  </w:r>
                </w:p>
              </w:tc>
              <w:tc>
                <w:tcPr>
                  <w:tcW w:w="1268" w:type="dxa"/>
                  <w:tcBorders>
                    <w:top w:val="single" w:color="auto" w:sz="6" w:space="0"/>
                    <w:left w:val="single" w:color="auto" w:sz="6" w:space="0"/>
                    <w:bottom w:val="single" w:color="auto" w:sz="6" w:space="0"/>
                    <w:right w:val="single" w:color="auto" w:sz="4" w:space="0"/>
                  </w:tcBorders>
                  <w:vAlign w:val="center"/>
                </w:tcPr>
                <w:p>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居民约1户，约2人</w:t>
                  </w:r>
                </w:p>
              </w:tc>
              <w:tc>
                <w:tcPr>
                  <w:tcW w:w="800" w:type="dxa"/>
                  <w:vMerge w:val="restart"/>
                  <w:tcBorders>
                    <w:top w:val="single" w:color="auto" w:sz="6" w:space="0"/>
                    <w:left w:val="single" w:color="auto" w:sz="6" w:space="0"/>
                    <w:right w:val="single" w:color="auto" w:sz="4" w:space="0"/>
                  </w:tcBorders>
                  <w:vAlign w:val="center"/>
                </w:tcPr>
                <w:p>
                  <w:pPr>
                    <w:jc w:val="center"/>
                    <w:rPr>
                      <w:color w:val="auto"/>
                      <w:sz w:val="18"/>
                      <w:szCs w:val="18"/>
                      <w:highlight w:val="none"/>
                    </w:rPr>
                  </w:pPr>
                  <w:r>
                    <w:rPr>
                      <w:rFonts w:hint="eastAsia"/>
                      <w:color w:val="auto"/>
                      <w:sz w:val="18"/>
                      <w:szCs w:val="18"/>
                      <w:highlight w:val="none"/>
                      <w:lang w:val="en-US" w:eastAsia="zh-CN"/>
                    </w:rPr>
                    <w:t>声</w:t>
                  </w:r>
                  <w:r>
                    <w:rPr>
                      <w:rFonts w:hint="eastAsia"/>
                      <w:color w:val="auto"/>
                      <w:sz w:val="18"/>
                      <w:szCs w:val="18"/>
                      <w:highlight w:val="none"/>
                    </w:rPr>
                    <w:t>环境</w:t>
                  </w:r>
                  <w:r>
                    <w:rPr>
                      <w:rFonts w:hint="eastAsia"/>
                      <w:color w:val="auto"/>
                      <w:sz w:val="18"/>
                      <w:szCs w:val="18"/>
                      <w:highlight w:val="none"/>
                      <w:lang w:val="en-US" w:eastAsia="zh-CN"/>
                    </w:rPr>
                    <w:t>1</w:t>
                  </w:r>
                  <w:r>
                    <w:rPr>
                      <w:color w:val="auto"/>
                      <w:sz w:val="18"/>
                      <w:szCs w:val="18"/>
                      <w:highlight w:val="none"/>
                    </w:rPr>
                    <w:t>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80" w:type="dxa"/>
                  <w:vMerge w:val="continue"/>
                  <w:tcBorders>
                    <w:left w:val="single" w:color="auto" w:sz="4" w:space="0"/>
                    <w:right w:val="single" w:color="auto" w:sz="6" w:space="0"/>
                  </w:tcBorders>
                  <w:vAlign w:val="center"/>
                </w:tcPr>
                <w:p>
                  <w:pPr>
                    <w:jc w:val="center"/>
                    <w:rPr>
                      <w:color w:val="auto"/>
                      <w:sz w:val="18"/>
                      <w:szCs w:val="18"/>
                      <w:highlight w:val="none"/>
                    </w:rPr>
                  </w:pPr>
                </w:p>
              </w:tc>
              <w:tc>
                <w:tcPr>
                  <w:tcW w:w="970" w:type="dxa"/>
                  <w:tcBorders>
                    <w:top w:val="single" w:color="auto" w:sz="6" w:space="0"/>
                    <w:left w:val="single" w:color="auto" w:sz="6" w:space="0"/>
                    <w:bottom w:val="single" w:color="auto" w:sz="6" w:space="0"/>
                    <w:right w:val="single" w:color="auto" w:sz="6" w:space="0"/>
                  </w:tcBorders>
                  <w:vAlign w:val="center"/>
                </w:tcPr>
                <w:p>
                  <w:pPr>
                    <w:jc w:val="center"/>
                    <w:rPr>
                      <w:color w:val="auto"/>
                      <w:sz w:val="18"/>
                      <w:szCs w:val="18"/>
                      <w:highlight w:val="none"/>
                    </w:rPr>
                  </w:pPr>
                  <w:r>
                    <w:rPr>
                      <w:rFonts w:hint="eastAsia"/>
                      <w:color w:val="auto"/>
                      <w:sz w:val="18"/>
                      <w:szCs w:val="18"/>
                      <w:highlight w:val="none"/>
                      <w:lang w:val="en-US" w:eastAsia="zh-CN"/>
                    </w:rPr>
                    <w:t>2#农户</w:t>
                  </w:r>
                </w:p>
              </w:tc>
              <w:tc>
                <w:tcPr>
                  <w:tcW w:w="131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color w:val="auto"/>
                      <w:sz w:val="18"/>
                      <w:szCs w:val="18"/>
                      <w:highlight w:val="none"/>
                    </w:rPr>
                  </w:pPr>
                  <w:r>
                    <w:rPr>
                      <w:rFonts w:hint="eastAsia"/>
                      <w:color w:val="auto"/>
                      <w:sz w:val="18"/>
                      <w:szCs w:val="18"/>
                      <w:highlight w:val="none"/>
                    </w:rPr>
                    <w:t>107.597585</w:t>
                  </w:r>
                </w:p>
              </w:tc>
              <w:tc>
                <w:tcPr>
                  <w:tcW w:w="1180" w:type="dxa"/>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jc w:val="center"/>
                    <w:textAlignment w:val="center"/>
                    <w:rPr>
                      <w:color w:val="auto"/>
                      <w:sz w:val="18"/>
                      <w:szCs w:val="18"/>
                      <w:highlight w:val="none"/>
                    </w:rPr>
                  </w:pPr>
                  <w:r>
                    <w:rPr>
                      <w:rFonts w:hint="eastAsia"/>
                      <w:color w:val="auto"/>
                      <w:sz w:val="18"/>
                      <w:szCs w:val="18"/>
                      <w:highlight w:val="none"/>
                    </w:rPr>
                    <w:t>31.594861</w:t>
                  </w:r>
                </w:p>
              </w:tc>
              <w:tc>
                <w:tcPr>
                  <w:tcW w:w="603" w:type="dxa"/>
                  <w:tcBorders>
                    <w:top w:val="single" w:color="auto" w:sz="6" w:space="0"/>
                    <w:left w:val="single" w:color="auto" w:sz="6" w:space="0"/>
                    <w:bottom w:val="single" w:color="auto" w:sz="6" w:space="0"/>
                    <w:right w:val="single" w:color="auto" w:sz="6" w:space="0"/>
                  </w:tcBorders>
                  <w:vAlign w:val="center"/>
                </w:tcPr>
                <w:p>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N</w:t>
                  </w:r>
                </w:p>
              </w:tc>
              <w:tc>
                <w:tcPr>
                  <w:tcW w:w="1192" w:type="dxa"/>
                  <w:tcBorders>
                    <w:top w:val="single" w:color="auto" w:sz="6" w:space="0"/>
                    <w:left w:val="single" w:color="auto" w:sz="6" w:space="0"/>
                    <w:bottom w:val="single" w:color="auto" w:sz="6" w:space="0"/>
                    <w:right w:val="single" w:color="auto" w:sz="4" w:space="0"/>
                  </w:tcBorders>
                  <w:vAlign w:val="center"/>
                </w:tcPr>
                <w:p>
                  <w:pPr>
                    <w:jc w:val="center"/>
                    <w:rPr>
                      <w:rFonts w:hint="default" w:eastAsia="宋体"/>
                      <w:color w:val="auto"/>
                      <w:sz w:val="18"/>
                      <w:szCs w:val="18"/>
                      <w:highlight w:val="none"/>
                      <w:lang w:val="en-US" w:eastAsia="zh-CN"/>
                    </w:rPr>
                  </w:pPr>
                  <w:r>
                    <w:rPr>
                      <w:rFonts w:hint="eastAsia" w:eastAsia="宋体"/>
                      <w:color w:val="auto"/>
                      <w:sz w:val="18"/>
                      <w:szCs w:val="18"/>
                      <w:highlight w:val="none"/>
                      <w:lang w:val="en-US" w:eastAsia="zh-CN"/>
                    </w:rPr>
                    <w:t>10</w:t>
                  </w:r>
                </w:p>
              </w:tc>
              <w:tc>
                <w:tcPr>
                  <w:tcW w:w="1268" w:type="dxa"/>
                  <w:tcBorders>
                    <w:top w:val="single" w:color="auto" w:sz="6" w:space="0"/>
                    <w:left w:val="single" w:color="auto" w:sz="6" w:space="0"/>
                    <w:bottom w:val="single" w:color="auto" w:sz="6" w:space="0"/>
                    <w:right w:val="single" w:color="auto" w:sz="4" w:space="0"/>
                  </w:tcBorders>
                  <w:vAlign w:val="center"/>
                </w:tcPr>
                <w:p>
                  <w:pPr>
                    <w:jc w:val="center"/>
                    <w:rPr>
                      <w:color w:val="auto"/>
                      <w:sz w:val="18"/>
                      <w:szCs w:val="18"/>
                      <w:highlight w:val="none"/>
                    </w:rPr>
                  </w:pPr>
                  <w:r>
                    <w:rPr>
                      <w:rFonts w:hint="eastAsia"/>
                      <w:color w:val="auto"/>
                      <w:sz w:val="18"/>
                      <w:szCs w:val="18"/>
                      <w:highlight w:val="none"/>
                      <w:lang w:val="en-US" w:eastAsia="zh-CN"/>
                    </w:rPr>
                    <w:t>居民约1户，约2人</w:t>
                  </w:r>
                </w:p>
              </w:tc>
              <w:tc>
                <w:tcPr>
                  <w:tcW w:w="800" w:type="dxa"/>
                  <w:vMerge w:val="continue"/>
                  <w:tcBorders>
                    <w:left w:val="single" w:color="auto" w:sz="6" w:space="0"/>
                    <w:right w:val="single" w:color="auto" w:sz="4" w:space="0"/>
                  </w:tcBorders>
                  <w:vAlign w:val="center"/>
                </w:tcPr>
                <w:p>
                  <w:pPr>
                    <w:jc w:val="center"/>
                    <w:rPr>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80" w:type="dxa"/>
                  <w:vMerge w:val="continue"/>
                  <w:tcBorders>
                    <w:left w:val="single" w:color="auto" w:sz="4" w:space="0"/>
                    <w:right w:val="single" w:color="auto" w:sz="6" w:space="0"/>
                  </w:tcBorders>
                  <w:vAlign w:val="center"/>
                </w:tcPr>
                <w:p>
                  <w:pPr>
                    <w:jc w:val="center"/>
                    <w:rPr>
                      <w:color w:val="auto"/>
                      <w:sz w:val="18"/>
                      <w:szCs w:val="18"/>
                      <w:highlight w:val="none"/>
                    </w:rPr>
                  </w:pPr>
                </w:p>
              </w:tc>
              <w:tc>
                <w:tcPr>
                  <w:tcW w:w="970" w:type="dxa"/>
                  <w:tcBorders>
                    <w:top w:val="single" w:color="auto" w:sz="6" w:space="0"/>
                    <w:left w:val="single" w:color="auto" w:sz="6" w:space="0"/>
                    <w:bottom w:val="single" w:color="auto" w:sz="6" w:space="0"/>
                    <w:right w:val="single" w:color="auto" w:sz="6" w:space="0"/>
                  </w:tcBorders>
                  <w:vAlign w:val="center"/>
                </w:tcPr>
                <w:p>
                  <w:pPr>
                    <w:jc w:val="center"/>
                    <w:rPr>
                      <w:rFonts w:hint="default"/>
                      <w:color w:val="auto"/>
                      <w:sz w:val="18"/>
                      <w:szCs w:val="18"/>
                      <w:highlight w:val="none"/>
                      <w:lang w:val="en-US"/>
                    </w:rPr>
                  </w:pPr>
                  <w:r>
                    <w:rPr>
                      <w:rFonts w:hint="eastAsia"/>
                      <w:color w:val="auto"/>
                      <w:sz w:val="18"/>
                      <w:szCs w:val="18"/>
                      <w:highlight w:val="none"/>
                      <w:lang w:val="en-US" w:eastAsia="zh-CN"/>
                    </w:rPr>
                    <w:t>河塘沟散户居民</w:t>
                  </w:r>
                </w:p>
              </w:tc>
              <w:tc>
                <w:tcPr>
                  <w:tcW w:w="131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color w:val="auto"/>
                      <w:sz w:val="18"/>
                      <w:szCs w:val="18"/>
                      <w:highlight w:val="none"/>
                    </w:rPr>
                  </w:pPr>
                  <w:r>
                    <w:rPr>
                      <w:rFonts w:hint="eastAsia"/>
                      <w:color w:val="auto"/>
                      <w:sz w:val="18"/>
                      <w:szCs w:val="18"/>
                      <w:highlight w:val="none"/>
                    </w:rPr>
                    <w:t>107.611725</w:t>
                  </w:r>
                </w:p>
              </w:tc>
              <w:tc>
                <w:tcPr>
                  <w:tcW w:w="1180" w:type="dxa"/>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jc w:val="center"/>
                    <w:textAlignment w:val="center"/>
                    <w:rPr>
                      <w:rFonts w:hint="eastAsia"/>
                      <w:color w:val="auto"/>
                      <w:sz w:val="18"/>
                      <w:szCs w:val="18"/>
                      <w:highlight w:val="none"/>
                    </w:rPr>
                  </w:pPr>
                  <w:r>
                    <w:rPr>
                      <w:rFonts w:hint="eastAsia"/>
                      <w:color w:val="auto"/>
                      <w:sz w:val="18"/>
                      <w:szCs w:val="18"/>
                      <w:highlight w:val="none"/>
                    </w:rPr>
                    <w:t>31.603234</w:t>
                  </w:r>
                </w:p>
              </w:tc>
              <w:tc>
                <w:tcPr>
                  <w:tcW w:w="603" w:type="dxa"/>
                  <w:tcBorders>
                    <w:top w:val="single" w:color="auto" w:sz="6" w:space="0"/>
                    <w:left w:val="single" w:color="auto" w:sz="6" w:space="0"/>
                    <w:bottom w:val="single" w:color="auto" w:sz="6" w:space="0"/>
                    <w:right w:val="single" w:color="auto" w:sz="6" w:space="0"/>
                  </w:tcBorders>
                  <w:vAlign w:val="center"/>
                </w:tcPr>
                <w:p>
                  <w:pPr>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N</w:t>
                  </w:r>
                </w:p>
              </w:tc>
              <w:tc>
                <w:tcPr>
                  <w:tcW w:w="1192" w:type="dxa"/>
                  <w:tcBorders>
                    <w:top w:val="single" w:color="auto" w:sz="6" w:space="0"/>
                    <w:left w:val="single" w:color="auto" w:sz="6" w:space="0"/>
                    <w:bottom w:val="single" w:color="auto" w:sz="6" w:space="0"/>
                    <w:right w:val="single" w:color="auto" w:sz="4" w:space="0"/>
                  </w:tcBorders>
                  <w:vAlign w:val="center"/>
                </w:tcPr>
                <w:p>
                  <w:pPr>
                    <w:jc w:val="center"/>
                    <w:rPr>
                      <w:rFonts w:hint="default" w:eastAsia="宋体"/>
                      <w:color w:val="auto"/>
                      <w:sz w:val="18"/>
                      <w:szCs w:val="18"/>
                      <w:highlight w:val="none"/>
                      <w:lang w:val="en-US" w:eastAsia="zh-CN"/>
                    </w:rPr>
                  </w:pPr>
                  <w:r>
                    <w:rPr>
                      <w:rFonts w:hint="eastAsia" w:eastAsia="宋体"/>
                      <w:color w:val="auto"/>
                      <w:sz w:val="18"/>
                      <w:szCs w:val="18"/>
                      <w:highlight w:val="none"/>
                      <w:lang w:val="en-US" w:eastAsia="zh-CN"/>
                    </w:rPr>
                    <w:t>17</w:t>
                  </w:r>
                </w:p>
              </w:tc>
              <w:tc>
                <w:tcPr>
                  <w:tcW w:w="1268" w:type="dxa"/>
                  <w:tcBorders>
                    <w:top w:val="single" w:color="auto" w:sz="6" w:space="0"/>
                    <w:left w:val="single" w:color="auto" w:sz="6" w:space="0"/>
                    <w:bottom w:val="single" w:color="auto" w:sz="6" w:space="0"/>
                    <w:right w:val="single" w:color="auto" w:sz="4" w:space="0"/>
                  </w:tcBorders>
                  <w:vAlign w:val="center"/>
                </w:tcPr>
                <w:p>
                  <w:pPr>
                    <w:jc w:val="center"/>
                    <w:rPr>
                      <w:rFonts w:hint="eastAsia"/>
                      <w:color w:val="auto"/>
                      <w:sz w:val="18"/>
                      <w:szCs w:val="18"/>
                      <w:highlight w:val="none"/>
                    </w:rPr>
                  </w:pPr>
                  <w:r>
                    <w:rPr>
                      <w:rFonts w:hint="eastAsia"/>
                      <w:color w:val="auto"/>
                      <w:sz w:val="18"/>
                      <w:szCs w:val="18"/>
                      <w:highlight w:val="none"/>
                      <w:lang w:val="en-US" w:eastAsia="zh-CN"/>
                    </w:rPr>
                    <w:t>居民约4户，约12人</w:t>
                  </w:r>
                </w:p>
              </w:tc>
              <w:tc>
                <w:tcPr>
                  <w:tcW w:w="800" w:type="dxa"/>
                  <w:vMerge w:val="continue"/>
                  <w:tcBorders>
                    <w:left w:val="single" w:color="auto" w:sz="6" w:space="0"/>
                    <w:right w:val="single" w:color="auto" w:sz="4" w:space="0"/>
                  </w:tcBorders>
                  <w:vAlign w:val="center"/>
                </w:tcPr>
                <w:p>
                  <w:pPr>
                    <w:jc w:val="center"/>
                    <w:rPr>
                      <w:color w:val="auto"/>
                      <w:sz w:val="18"/>
                      <w:szCs w:val="18"/>
                      <w:highlight w:val="none"/>
                    </w:rPr>
                  </w:pPr>
                </w:p>
              </w:tc>
            </w:tr>
          </w:tbl>
          <w:p>
            <w:pPr>
              <w:spacing w:line="360" w:lineRule="auto"/>
              <w:rPr>
                <w:color w:val="auto"/>
                <w:highlight w:val="none"/>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rFonts w:hint="eastAsia"/>
                <w:color w:val="auto"/>
                <w:highlight w:val="none"/>
                <w:lang w:val="en-US" w:eastAsia="zh-CN"/>
              </w:rPr>
              <w:t>地下水</w:t>
            </w:r>
            <w:r>
              <w:rPr>
                <w:rFonts w:hint="eastAsia"/>
                <w:color w:val="auto"/>
                <w:highlight w:val="none"/>
              </w:rPr>
              <w:t>环境保护目标</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default"/>
                <w:color w:val="auto"/>
                <w:highlight w:val="none"/>
                <w:lang w:val="en-US"/>
              </w:rPr>
            </w:pPr>
            <w:r>
              <w:rPr>
                <w:rFonts w:hint="eastAsia"/>
                <w:b w:val="0"/>
                <w:bCs/>
                <w:color w:val="auto"/>
                <w:szCs w:val="21"/>
                <w:highlight w:val="none"/>
                <w:lang w:val="en-US" w:eastAsia="zh-CN"/>
              </w:rPr>
              <w:t>工程评价</w:t>
            </w:r>
            <w:r>
              <w:rPr>
                <w:rFonts w:hint="eastAsia"/>
                <w:b w:val="0"/>
                <w:bCs/>
                <w:color w:val="auto"/>
                <w:szCs w:val="21"/>
                <w:highlight w:val="none"/>
              </w:rPr>
              <w:t>范围内的</w:t>
            </w:r>
            <w:r>
              <w:rPr>
                <w:rFonts w:hint="eastAsia"/>
                <w:b w:val="0"/>
                <w:bCs/>
                <w:color w:val="auto"/>
                <w:szCs w:val="21"/>
                <w:highlight w:val="none"/>
                <w:lang w:val="en-US" w:eastAsia="zh-CN"/>
              </w:rPr>
              <w:t>无</w:t>
            </w:r>
            <w:r>
              <w:rPr>
                <w:rFonts w:hint="eastAsia"/>
                <w:b w:val="0"/>
                <w:bCs/>
                <w:color w:val="auto"/>
                <w:szCs w:val="21"/>
                <w:highlight w:val="none"/>
              </w:rPr>
              <w:t>地下水集中式饮用水水源和热水、矿泉水、温泉等特殊地下水资源</w:t>
            </w:r>
            <w:r>
              <w:rPr>
                <w:rFonts w:hint="eastAsia"/>
                <w:b w:val="0"/>
                <w:bCs/>
                <w:color w:val="auto"/>
                <w:szCs w:val="21"/>
                <w:highlight w:val="none"/>
                <w:lang w:eastAsia="zh-CN"/>
              </w:rPr>
              <w:t>，</w:t>
            </w:r>
            <w:r>
              <w:rPr>
                <w:rFonts w:hint="eastAsia"/>
                <w:b w:val="0"/>
                <w:bCs/>
                <w:color w:val="auto"/>
                <w:szCs w:val="21"/>
                <w:highlight w:val="none"/>
                <w:lang w:val="en-US" w:eastAsia="zh-CN"/>
              </w:rPr>
              <w:t>无地下水环境保护目标</w:t>
            </w:r>
            <w:r>
              <w:rPr>
                <w:rFonts w:hint="eastAsia"/>
                <w:b w:val="0"/>
                <w:bCs/>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869" w:type="dxa"/>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评价</w:t>
            </w:r>
          </w:p>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标准</w:t>
            </w:r>
          </w:p>
        </w:tc>
        <w:tc>
          <w:tcPr>
            <w:tcW w:w="8288" w:type="dxa"/>
            <w:vAlign w:val="top"/>
          </w:tcPr>
          <w:p>
            <w:pPr>
              <w:keepNext w:val="0"/>
              <w:keepLines w:val="0"/>
              <w:pageBreakBefore w:val="0"/>
              <w:widowControl w:val="0"/>
              <w:kinsoku/>
              <w:wordWrap/>
              <w:overflowPunct/>
              <w:topLinePunct w:val="0"/>
              <w:autoSpaceDE/>
              <w:autoSpaceDN/>
              <w:bidi w:val="0"/>
              <w:snapToGrid w:val="0"/>
              <w:spacing w:line="360" w:lineRule="auto"/>
              <w:textAlignment w:val="auto"/>
              <w:rPr>
                <w:b/>
                <w:color w:val="auto"/>
                <w:szCs w:val="21"/>
                <w:highlight w:val="none"/>
              </w:rPr>
            </w:pPr>
            <w:r>
              <w:rPr>
                <w:rFonts w:hint="eastAsia"/>
                <w:b/>
                <w:color w:val="auto"/>
                <w:szCs w:val="21"/>
                <w:highlight w:val="none"/>
              </w:rPr>
              <w:t>3.4.1 环境质量评价标准</w:t>
            </w:r>
          </w:p>
          <w:p>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eastAsia"/>
                <w:color w:val="auto"/>
                <w:szCs w:val="21"/>
                <w:highlight w:val="none"/>
              </w:rPr>
            </w:pPr>
            <w:r>
              <w:rPr>
                <w:color w:val="auto"/>
                <w:kern w:val="0"/>
                <w:szCs w:val="21"/>
                <w:highlight w:val="none"/>
              </w:rPr>
              <w:t>（1）</w:t>
            </w:r>
            <w:r>
              <w:rPr>
                <w:color w:val="auto"/>
                <w:szCs w:val="21"/>
                <w:highlight w:val="none"/>
              </w:rPr>
              <w:t>环境空气质量标准</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本项目位于</w:t>
            </w:r>
            <w:r>
              <w:rPr>
                <w:rFonts w:hint="eastAsia" w:cs="Times New Roman"/>
                <w:color w:val="auto"/>
                <w:kern w:val="0"/>
                <w:sz w:val="21"/>
                <w:szCs w:val="21"/>
                <w:highlight w:val="none"/>
                <w:lang w:val="en-US" w:eastAsia="zh-CN"/>
              </w:rPr>
              <w:t>达州市宣汉县胡家镇花池社区</w:t>
            </w:r>
            <w:r>
              <w:rPr>
                <w:rFonts w:hint="eastAsia" w:ascii="Times New Roman" w:hAnsi="Times New Roman" w:eastAsia="宋体" w:cs="Times New Roman"/>
                <w:color w:val="auto"/>
                <w:kern w:val="0"/>
                <w:sz w:val="21"/>
                <w:szCs w:val="21"/>
                <w:highlight w:val="none"/>
                <w:lang w:eastAsia="zh-CN"/>
              </w:rPr>
              <w:t>，项目所在地环境空气功能区划为二类区，环境空气质量执行《环境空气质量标准》（GB3095-2012）二级标准。</w:t>
            </w:r>
          </w:p>
          <w:p>
            <w:pPr>
              <w:pStyle w:val="88"/>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color w:val="auto"/>
                <w:sz w:val="21"/>
                <w:szCs w:val="21"/>
                <w:highlight w:val="none"/>
              </w:rPr>
            </w:pPr>
            <w:r>
              <w:rPr>
                <w:color w:val="auto"/>
                <w:sz w:val="21"/>
                <w:szCs w:val="21"/>
                <w:highlight w:val="none"/>
              </w:rPr>
              <w:t>表</w:t>
            </w:r>
            <w:r>
              <w:rPr>
                <w:rFonts w:hint="eastAsia"/>
                <w:color w:val="auto"/>
                <w:sz w:val="21"/>
                <w:szCs w:val="21"/>
                <w:highlight w:val="none"/>
              </w:rPr>
              <w:t xml:space="preserve">3.4.1-1  </w:t>
            </w:r>
            <w:r>
              <w:rPr>
                <w:bCs/>
                <w:color w:val="auto"/>
                <w:sz w:val="21"/>
                <w:szCs w:val="21"/>
                <w:highlight w:val="none"/>
              </w:rPr>
              <w:t>环境</w:t>
            </w:r>
            <w:r>
              <w:rPr>
                <w:color w:val="auto"/>
                <w:sz w:val="21"/>
                <w:szCs w:val="21"/>
                <w:highlight w:val="none"/>
              </w:rPr>
              <w:t>空气质量标准</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606"/>
              <w:gridCol w:w="825"/>
              <w:gridCol w:w="2268"/>
              <w:gridCol w:w="1874"/>
              <w:gridCol w:w="148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8" w:hRule="atLeast"/>
                <w:jc w:val="center"/>
              </w:trPr>
              <w:tc>
                <w:tcPr>
                  <w:tcW w:w="848" w:type="pct"/>
                  <w:vAlign w:val="center"/>
                </w:tcPr>
                <w:p>
                  <w:pPr>
                    <w:pStyle w:val="89"/>
                    <w:spacing w:line="240" w:lineRule="auto"/>
                    <w:ind w:firstLine="0" w:firstLineChars="0"/>
                    <w:jc w:val="center"/>
                    <w:rPr>
                      <w:b/>
                      <w:bCs/>
                      <w:color w:val="auto"/>
                      <w:sz w:val="18"/>
                      <w:szCs w:val="18"/>
                      <w:highlight w:val="none"/>
                    </w:rPr>
                  </w:pPr>
                  <w:r>
                    <w:rPr>
                      <w:rFonts w:hint="eastAsia"/>
                      <w:b/>
                      <w:bCs/>
                      <w:color w:val="auto"/>
                      <w:sz w:val="18"/>
                      <w:szCs w:val="18"/>
                      <w:highlight w:val="none"/>
                    </w:rPr>
                    <w:t>执行标准</w:t>
                  </w:r>
                </w:p>
              </w:tc>
              <w:tc>
                <w:tcPr>
                  <w:tcW w:w="549" w:type="pct"/>
                  <w:vAlign w:val="center"/>
                </w:tcPr>
                <w:p>
                  <w:pPr>
                    <w:pStyle w:val="89"/>
                    <w:spacing w:line="240" w:lineRule="auto"/>
                    <w:ind w:firstLine="0" w:firstLineChars="0"/>
                    <w:jc w:val="center"/>
                    <w:rPr>
                      <w:b/>
                      <w:bCs/>
                      <w:color w:val="auto"/>
                      <w:sz w:val="18"/>
                      <w:szCs w:val="18"/>
                      <w:highlight w:val="none"/>
                    </w:rPr>
                  </w:pPr>
                  <w:r>
                    <w:rPr>
                      <w:b/>
                      <w:bCs/>
                      <w:color w:val="auto"/>
                      <w:sz w:val="18"/>
                      <w:szCs w:val="18"/>
                      <w:highlight w:val="none"/>
                    </w:rPr>
                    <w:t>污染物</w:t>
                  </w:r>
                </w:p>
              </w:tc>
              <w:tc>
                <w:tcPr>
                  <w:tcW w:w="1444" w:type="pct"/>
                  <w:vAlign w:val="center"/>
                </w:tcPr>
                <w:p>
                  <w:pPr>
                    <w:spacing w:line="240" w:lineRule="auto"/>
                    <w:jc w:val="center"/>
                    <w:rPr>
                      <w:b/>
                      <w:bCs/>
                      <w:color w:val="auto"/>
                      <w:sz w:val="18"/>
                      <w:szCs w:val="18"/>
                      <w:highlight w:val="none"/>
                    </w:rPr>
                  </w:pPr>
                  <w:r>
                    <w:rPr>
                      <w:rFonts w:hint="eastAsia"/>
                      <w:b/>
                      <w:bCs/>
                      <w:color w:val="auto"/>
                      <w:sz w:val="18"/>
                      <w:szCs w:val="18"/>
                      <w:highlight w:val="none"/>
                    </w:rPr>
                    <w:t>平均时间</w:t>
                  </w:r>
                </w:p>
              </w:tc>
              <w:tc>
                <w:tcPr>
                  <w:tcW w:w="1199" w:type="pct"/>
                  <w:vAlign w:val="center"/>
                </w:tcPr>
                <w:p>
                  <w:pPr>
                    <w:spacing w:line="240" w:lineRule="auto"/>
                    <w:jc w:val="center"/>
                    <w:rPr>
                      <w:b/>
                      <w:bCs/>
                      <w:color w:val="auto"/>
                      <w:sz w:val="18"/>
                      <w:szCs w:val="18"/>
                      <w:highlight w:val="none"/>
                    </w:rPr>
                  </w:pPr>
                  <w:r>
                    <w:rPr>
                      <w:rFonts w:hint="eastAsia"/>
                      <w:b/>
                      <w:bCs/>
                      <w:color w:val="auto"/>
                      <w:sz w:val="18"/>
                      <w:szCs w:val="18"/>
                      <w:highlight w:val="none"/>
                    </w:rPr>
                    <w:t>浓度限值</w:t>
                  </w:r>
                </w:p>
              </w:tc>
              <w:tc>
                <w:tcPr>
                  <w:tcW w:w="958" w:type="pct"/>
                  <w:vAlign w:val="center"/>
                </w:tcPr>
                <w:p>
                  <w:pPr>
                    <w:spacing w:line="240" w:lineRule="auto"/>
                    <w:jc w:val="center"/>
                    <w:rPr>
                      <w:b/>
                      <w:bCs/>
                      <w:color w:val="auto"/>
                      <w:sz w:val="18"/>
                      <w:szCs w:val="18"/>
                      <w:highlight w:val="none"/>
                    </w:rPr>
                  </w:pPr>
                  <w:r>
                    <w:rPr>
                      <w:rFonts w:hint="eastAsia"/>
                      <w:b/>
                      <w:bCs/>
                      <w:color w:val="auto"/>
                      <w:sz w:val="18"/>
                      <w:szCs w:val="18"/>
                      <w:highlight w:val="none"/>
                    </w:rPr>
                    <w:t>单位</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5" w:hRule="atLeast"/>
                <w:jc w:val="center"/>
              </w:trPr>
              <w:tc>
                <w:tcPr>
                  <w:tcW w:w="848" w:type="pct"/>
                  <w:vMerge w:val="restart"/>
                  <w:vAlign w:val="center"/>
                </w:tcPr>
                <w:p>
                  <w:pPr>
                    <w:pStyle w:val="89"/>
                    <w:spacing w:line="240" w:lineRule="auto"/>
                    <w:ind w:firstLine="0" w:firstLineChars="0"/>
                    <w:jc w:val="center"/>
                    <w:rPr>
                      <w:color w:val="auto"/>
                      <w:sz w:val="18"/>
                      <w:szCs w:val="18"/>
                      <w:highlight w:val="none"/>
                    </w:rPr>
                  </w:pPr>
                  <w:r>
                    <w:rPr>
                      <w:rFonts w:hint="eastAsia"/>
                      <w:color w:val="auto"/>
                      <w:sz w:val="18"/>
                      <w:szCs w:val="18"/>
                      <w:highlight w:val="none"/>
                    </w:rPr>
                    <w:t>《环境空气质量标准》（GB3095-2012）二级标准</w:t>
                  </w:r>
                </w:p>
              </w:tc>
              <w:tc>
                <w:tcPr>
                  <w:tcW w:w="549" w:type="pct"/>
                  <w:vMerge w:val="restart"/>
                  <w:vAlign w:val="center"/>
                </w:tcPr>
                <w:p>
                  <w:pPr>
                    <w:pStyle w:val="89"/>
                    <w:spacing w:line="240" w:lineRule="auto"/>
                    <w:ind w:firstLine="0" w:firstLineChars="0"/>
                    <w:jc w:val="center"/>
                    <w:rPr>
                      <w:color w:val="auto"/>
                      <w:sz w:val="18"/>
                      <w:szCs w:val="18"/>
                      <w:highlight w:val="none"/>
                    </w:rPr>
                  </w:pPr>
                  <w:r>
                    <w:rPr>
                      <w:color w:val="auto"/>
                      <w:sz w:val="18"/>
                      <w:szCs w:val="18"/>
                      <w:highlight w:val="none"/>
                    </w:rPr>
                    <w:t>SO</w:t>
                  </w:r>
                  <w:r>
                    <w:rPr>
                      <w:color w:val="auto"/>
                      <w:sz w:val="18"/>
                      <w:szCs w:val="18"/>
                      <w:highlight w:val="none"/>
                      <w:vertAlign w:val="subscript"/>
                    </w:rPr>
                    <w:t>2</w:t>
                  </w:r>
                </w:p>
              </w:tc>
              <w:tc>
                <w:tcPr>
                  <w:tcW w:w="1444" w:type="pct"/>
                  <w:vAlign w:val="center"/>
                </w:tcPr>
                <w:p>
                  <w:pPr>
                    <w:spacing w:line="240" w:lineRule="auto"/>
                    <w:jc w:val="center"/>
                    <w:rPr>
                      <w:color w:val="auto"/>
                      <w:sz w:val="18"/>
                      <w:szCs w:val="18"/>
                      <w:highlight w:val="none"/>
                    </w:rPr>
                  </w:pPr>
                  <w:r>
                    <w:rPr>
                      <w:rFonts w:hint="eastAsia"/>
                      <w:color w:val="auto"/>
                      <w:sz w:val="18"/>
                      <w:szCs w:val="18"/>
                      <w:highlight w:val="none"/>
                    </w:rPr>
                    <w:t>年平均</w:t>
                  </w:r>
                </w:p>
              </w:tc>
              <w:tc>
                <w:tcPr>
                  <w:tcW w:w="1199" w:type="pct"/>
                  <w:vAlign w:val="center"/>
                </w:tcPr>
                <w:p>
                  <w:pPr>
                    <w:spacing w:line="240" w:lineRule="auto"/>
                    <w:jc w:val="center"/>
                    <w:rPr>
                      <w:color w:val="auto"/>
                      <w:sz w:val="18"/>
                      <w:szCs w:val="18"/>
                      <w:highlight w:val="none"/>
                    </w:rPr>
                  </w:pPr>
                  <w:r>
                    <w:rPr>
                      <w:rFonts w:hint="eastAsia"/>
                      <w:color w:val="auto"/>
                      <w:sz w:val="18"/>
                      <w:szCs w:val="18"/>
                      <w:highlight w:val="none"/>
                    </w:rPr>
                    <w:t>60</w:t>
                  </w:r>
                </w:p>
              </w:tc>
              <w:tc>
                <w:tcPr>
                  <w:tcW w:w="958" w:type="pct"/>
                  <w:vMerge w:val="restart"/>
                  <w:vAlign w:val="center"/>
                </w:tcPr>
                <w:p>
                  <w:pPr>
                    <w:spacing w:line="240" w:lineRule="auto"/>
                    <w:jc w:val="center"/>
                    <w:rPr>
                      <w:color w:val="auto"/>
                      <w:sz w:val="18"/>
                      <w:szCs w:val="18"/>
                      <w:highlight w:val="none"/>
                    </w:rPr>
                  </w:pPr>
                  <w:r>
                    <w:rPr>
                      <w:color w:val="auto"/>
                      <w:kern w:val="28"/>
                      <w:sz w:val="18"/>
                      <w:szCs w:val="18"/>
                      <w:highlight w:val="none"/>
                    </w:rPr>
                    <w:t>(</w:t>
                  </w:r>
                  <w:r>
                    <w:rPr>
                      <w:color w:val="auto"/>
                      <w:sz w:val="18"/>
                      <w:szCs w:val="18"/>
                      <w:highlight w:val="none"/>
                    </w:rPr>
                    <w:t>µg/m</w:t>
                  </w:r>
                  <w:r>
                    <w:rPr>
                      <w:color w:val="auto"/>
                      <w:sz w:val="18"/>
                      <w:szCs w:val="18"/>
                      <w:highlight w:val="none"/>
                      <w:vertAlign w:val="superscript"/>
                    </w:rPr>
                    <w:t>3</w:t>
                  </w:r>
                  <w:r>
                    <w:rPr>
                      <w:color w:val="auto"/>
                      <w:kern w:val="28"/>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5" w:hRule="atLeast"/>
                <w:jc w:val="center"/>
              </w:trPr>
              <w:tc>
                <w:tcPr>
                  <w:tcW w:w="848" w:type="pct"/>
                  <w:vMerge w:val="continue"/>
                  <w:vAlign w:val="center"/>
                </w:tcPr>
                <w:p>
                  <w:pPr>
                    <w:spacing w:line="240" w:lineRule="auto"/>
                    <w:jc w:val="center"/>
                    <w:rPr>
                      <w:color w:val="auto"/>
                      <w:highlight w:val="none"/>
                    </w:rPr>
                  </w:pPr>
                </w:p>
              </w:tc>
              <w:tc>
                <w:tcPr>
                  <w:tcW w:w="549" w:type="pct"/>
                  <w:vMerge w:val="continue"/>
                  <w:vAlign w:val="center"/>
                </w:tcPr>
                <w:p>
                  <w:pPr>
                    <w:spacing w:line="240" w:lineRule="auto"/>
                    <w:jc w:val="center"/>
                    <w:rPr>
                      <w:color w:val="auto"/>
                      <w:highlight w:val="none"/>
                    </w:rPr>
                  </w:pPr>
                </w:p>
              </w:tc>
              <w:tc>
                <w:tcPr>
                  <w:tcW w:w="1444" w:type="pct"/>
                  <w:vAlign w:val="center"/>
                </w:tcPr>
                <w:p>
                  <w:pPr>
                    <w:spacing w:line="240" w:lineRule="auto"/>
                    <w:jc w:val="center"/>
                    <w:rPr>
                      <w:color w:val="auto"/>
                      <w:sz w:val="18"/>
                      <w:szCs w:val="18"/>
                      <w:highlight w:val="none"/>
                    </w:rPr>
                  </w:pPr>
                  <w:r>
                    <w:rPr>
                      <w:rFonts w:hint="eastAsia"/>
                      <w:color w:val="auto"/>
                      <w:sz w:val="18"/>
                      <w:szCs w:val="18"/>
                      <w:highlight w:val="none"/>
                    </w:rPr>
                    <w:t>24小时平均</w:t>
                  </w:r>
                </w:p>
              </w:tc>
              <w:tc>
                <w:tcPr>
                  <w:tcW w:w="1199" w:type="pct"/>
                  <w:vAlign w:val="center"/>
                </w:tcPr>
                <w:p>
                  <w:pPr>
                    <w:spacing w:line="240" w:lineRule="auto"/>
                    <w:jc w:val="center"/>
                    <w:rPr>
                      <w:color w:val="auto"/>
                      <w:sz w:val="18"/>
                      <w:szCs w:val="18"/>
                      <w:highlight w:val="none"/>
                    </w:rPr>
                  </w:pPr>
                  <w:r>
                    <w:rPr>
                      <w:rFonts w:hint="eastAsia"/>
                      <w:color w:val="auto"/>
                      <w:sz w:val="18"/>
                      <w:szCs w:val="18"/>
                      <w:highlight w:val="none"/>
                    </w:rPr>
                    <w:t>150</w:t>
                  </w:r>
                </w:p>
              </w:tc>
              <w:tc>
                <w:tcPr>
                  <w:tcW w:w="958" w:type="pct"/>
                  <w:vMerge w:val="continue"/>
                  <w:vAlign w:val="center"/>
                </w:tcPr>
                <w:p>
                  <w:pPr>
                    <w:spacing w:line="240" w:lineRule="auto"/>
                    <w:jc w:val="center"/>
                    <w:rPr>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5" w:hRule="atLeast"/>
                <w:jc w:val="center"/>
              </w:trPr>
              <w:tc>
                <w:tcPr>
                  <w:tcW w:w="848" w:type="pct"/>
                  <w:vMerge w:val="continue"/>
                  <w:vAlign w:val="center"/>
                </w:tcPr>
                <w:p>
                  <w:pPr>
                    <w:spacing w:line="240" w:lineRule="auto"/>
                    <w:jc w:val="center"/>
                    <w:rPr>
                      <w:color w:val="auto"/>
                      <w:sz w:val="18"/>
                      <w:szCs w:val="18"/>
                      <w:highlight w:val="none"/>
                    </w:rPr>
                  </w:pPr>
                </w:p>
              </w:tc>
              <w:tc>
                <w:tcPr>
                  <w:tcW w:w="549" w:type="pct"/>
                  <w:vMerge w:val="continue"/>
                  <w:vAlign w:val="center"/>
                </w:tcPr>
                <w:p>
                  <w:pPr>
                    <w:spacing w:line="240" w:lineRule="auto"/>
                    <w:jc w:val="center"/>
                    <w:rPr>
                      <w:color w:val="auto"/>
                      <w:sz w:val="18"/>
                      <w:szCs w:val="18"/>
                      <w:highlight w:val="none"/>
                    </w:rPr>
                  </w:pPr>
                </w:p>
              </w:tc>
              <w:tc>
                <w:tcPr>
                  <w:tcW w:w="1444" w:type="pct"/>
                  <w:vAlign w:val="center"/>
                </w:tcPr>
                <w:p>
                  <w:pPr>
                    <w:spacing w:line="240" w:lineRule="auto"/>
                    <w:jc w:val="center"/>
                    <w:rPr>
                      <w:color w:val="auto"/>
                      <w:sz w:val="18"/>
                      <w:szCs w:val="18"/>
                      <w:highlight w:val="none"/>
                    </w:rPr>
                  </w:pPr>
                  <w:r>
                    <w:rPr>
                      <w:rFonts w:hint="eastAsia"/>
                      <w:color w:val="auto"/>
                      <w:sz w:val="18"/>
                      <w:szCs w:val="18"/>
                      <w:highlight w:val="none"/>
                    </w:rPr>
                    <w:t>1小时平均</w:t>
                  </w:r>
                </w:p>
              </w:tc>
              <w:tc>
                <w:tcPr>
                  <w:tcW w:w="1199" w:type="pct"/>
                  <w:vAlign w:val="center"/>
                </w:tcPr>
                <w:p>
                  <w:pPr>
                    <w:spacing w:line="240" w:lineRule="auto"/>
                    <w:jc w:val="center"/>
                    <w:rPr>
                      <w:color w:val="auto"/>
                      <w:sz w:val="18"/>
                      <w:szCs w:val="18"/>
                      <w:highlight w:val="none"/>
                    </w:rPr>
                  </w:pPr>
                  <w:r>
                    <w:rPr>
                      <w:rFonts w:hint="eastAsia"/>
                      <w:color w:val="auto"/>
                      <w:sz w:val="18"/>
                      <w:szCs w:val="18"/>
                      <w:highlight w:val="none"/>
                    </w:rPr>
                    <w:t>500</w:t>
                  </w:r>
                </w:p>
              </w:tc>
              <w:tc>
                <w:tcPr>
                  <w:tcW w:w="958" w:type="pct"/>
                  <w:vMerge w:val="continue"/>
                  <w:vAlign w:val="center"/>
                </w:tcPr>
                <w:p>
                  <w:pPr>
                    <w:spacing w:line="240" w:lineRule="auto"/>
                    <w:jc w:val="center"/>
                    <w:rPr>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5" w:hRule="atLeast"/>
                <w:jc w:val="center"/>
              </w:trPr>
              <w:tc>
                <w:tcPr>
                  <w:tcW w:w="848" w:type="pct"/>
                  <w:vMerge w:val="continue"/>
                  <w:vAlign w:val="center"/>
                </w:tcPr>
                <w:p>
                  <w:pPr>
                    <w:pStyle w:val="89"/>
                    <w:spacing w:line="240" w:lineRule="auto"/>
                    <w:ind w:firstLine="0" w:firstLineChars="0"/>
                    <w:jc w:val="center"/>
                    <w:rPr>
                      <w:color w:val="auto"/>
                      <w:sz w:val="18"/>
                      <w:szCs w:val="18"/>
                      <w:highlight w:val="none"/>
                    </w:rPr>
                  </w:pPr>
                </w:p>
              </w:tc>
              <w:tc>
                <w:tcPr>
                  <w:tcW w:w="549" w:type="pct"/>
                  <w:vMerge w:val="restart"/>
                  <w:vAlign w:val="center"/>
                </w:tcPr>
                <w:p>
                  <w:pPr>
                    <w:pStyle w:val="89"/>
                    <w:spacing w:line="240" w:lineRule="auto"/>
                    <w:ind w:firstLine="0" w:firstLineChars="0"/>
                    <w:jc w:val="center"/>
                    <w:rPr>
                      <w:color w:val="auto"/>
                      <w:sz w:val="18"/>
                      <w:szCs w:val="18"/>
                      <w:highlight w:val="none"/>
                    </w:rPr>
                  </w:pPr>
                  <w:r>
                    <w:rPr>
                      <w:color w:val="auto"/>
                      <w:sz w:val="18"/>
                      <w:szCs w:val="18"/>
                      <w:highlight w:val="none"/>
                    </w:rPr>
                    <w:t>NO</w:t>
                  </w:r>
                  <w:r>
                    <w:rPr>
                      <w:color w:val="auto"/>
                      <w:sz w:val="18"/>
                      <w:szCs w:val="18"/>
                      <w:highlight w:val="none"/>
                      <w:vertAlign w:val="subscript"/>
                    </w:rPr>
                    <w:t>2</w:t>
                  </w:r>
                </w:p>
              </w:tc>
              <w:tc>
                <w:tcPr>
                  <w:tcW w:w="1444" w:type="pct"/>
                  <w:vAlign w:val="center"/>
                </w:tcPr>
                <w:p>
                  <w:pPr>
                    <w:spacing w:line="240" w:lineRule="auto"/>
                    <w:jc w:val="center"/>
                    <w:rPr>
                      <w:color w:val="auto"/>
                      <w:sz w:val="18"/>
                      <w:szCs w:val="18"/>
                      <w:highlight w:val="none"/>
                    </w:rPr>
                  </w:pPr>
                  <w:r>
                    <w:rPr>
                      <w:rFonts w:hint="eastAsia"/>
                      <w:color w:val="auto"/>
                      <w:sz w:val="18"/>
                      <w:szCs w:val="18"/>
                      <w:highlight w:val="none"/>
                    </w:rPr>
                    <w:t>年平均</w:t>
                  </w:r>
                </w:p>
              </w:tc>
              <w:tc>
                <w:tcPr>
                  <w:tcW w:w="1199" w:type="pct"/>
                  <w:vAlign w:val="center"/>
                </w:tcPr>
                <w:p>
                  <w:pPr>
                    <w:spacing w:line="240" w:lineRule="auto"/>
                    <w:jc w:val="center"/>
                    <w:rPr>
                      <w:color w:val="auto"/>
                      <w:sz w:val="18"/>
                      <w:szCs w:val="18"/>
                      <w:highlight w:val="none"/>
                    </w:rPr>
                  </w:pPr>
                  <w:r>
                    <w:rPr>
                      <w:rFonts w:hint="eastAsia"/>
                      <w:color w:val="auto"/>
                      <w:sz w:val="18"/>
                      <w:szCs w:val="18"/>
                      <w:highlight w:val="none"/>
                    </w:rPr>
                    <w:t>40</w:t>
                  </w:r>
                </w:p>
              </w:tc>
              <w:tc>
                <w:tcPr>
                  <w:tcW w:w="958" w:type="pct"/>
                  <w:vMerge w:val="restart"/>
                  <w:vAlign w:val="center"/>
                </w:tcPr>
                <w:p>
                  <w:pPr>
                    <w:spacing w:line="240" w:lineRule="auto"/>
                    <w:jc w:val="center"/>
                    <w:rPr>
                      <w:color w:val="auto"/>
                      <w:sz w:val="18"/>
                      <w:szCs w:val="18"/>
                      <w:highlight w:val="none"/>
                    </w:rPr>
                  </w:pPr>
                  <w:r>
                    <w:rPr>
                      <w:color w:val="auto"/>
                      <w:kern w:val="28"/>
                      <w:sz w:val="18"/>
                      <w:szCs w:val="18"/>
                      <w:highlight w:val="none"/>
                    </w:rPr>
                    <w:t>(</w:t>
                  </w:r>
                  <w:r>
                    <w:rPr>
                      <w:color w:val="auto"/>
                      <w:sz w:val="18"/>
                      <w:szCs w:val="18"/>
                      <w:highlight w:val="none"/>
                    </w:rPr>
                    <w:t>µg/m</w:t>
                  </w:r>
                  <w:r>
                    <w:rPr>
                      <w:color w:val="auto"/>
                      <w:sz w:val="18"/>
                      <w:szCs w:val="18"/>
                      <w:highlight w:val="none"/>
                      <w:vertAlign w:val="superscript"/>
                    </w:rPr>
                    <w:t>3</w:t>
                  </w:r>
                  <w:r>
                    <w:rPr>
                      <w:color w:val="auto"/>
                      <w:kern w:val="28"/>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5" w:hRule="atLeast"/>
                <w:jc w:val="center"/>
              </w:trPr>
              <w:tc>
                <w:tcPr>
                  <w:tcW w:w="848" w:type="pct"/>
                  <w:vMerge w:val="continue"/>
                  <w:vAlign w:val="center"/>
                </w:tcPr>
                <w:p>
                  <w:pPr>
                    <w:spacing w:line="240" w:lineRule="auto"/>
                    <w:jc w:val="center"/>
                    <w:rPr>
                      <w:color w:val="auto"/>
                      <w:highlight w:val="none"/>
                    </w:rPr>
                  </w:pPr>
                </w:p>
              </w:tc>
              <w:tc>
                <w:tcPr>
                  <w:tcW w:w="549" w:type="pct"/>
                  <w:vMerge w:val="continue"/>
                  <w:vAlign w:val="center"/>
                </w:tcPr>
                <w:p>
                  <w:pPr>
                    <w:spacing w:line="240" w:lineRule="auto"/>
                    <w:jc w:val="center"/>
                    <w:rPr>
                      <w:color w:val="auto"/>
                      <w:highlight w:val="none"/>
                    </w:rPr>
                  </w:pPr>
                </w:p>
              </w:tc>
              <w:tc>
                <w:tcPr>
                  <w:tcW w:w="1444" w:type="pct"/>
                  <w:vAlign w:val="center"/>
                </w:tcPr>
                <w:p>
                  <w:pPr>
                    <w:spacing w:line="240" w:lineRule="auto"/>
                    <w:jc w:val="center"/>
                    <w:rPr>
                      <w:color w:val="auto"/>
                      <w:sz w:val="18"/>
                      <w:szCs w:val="18"/>
                      <w:highlight w:val="none"/>
                    </w:rPr>
                  </w:pPr>
                  <w:r>
                    <w:rPr>
                      <w:rFonts w:hint="eastAsia"/>
                      <w:color w:val="auto"/>
                      <w:sz w:val="18"/>
                      <w:szCs w:val="18"/>
                      <w:highlight w:val="none"/>
                    </w:rPr>
                    <w:t>24小时平均</w:t>
                  </w:r>
                </w:p>
              </w:tc>
              <w:tc>
                <w:tcPr>
                  <w:tcW w:w="1199" w:type="pct"/>
                  <w:vAlign w:val="center"/>
                </w:tcPr>
                <w:p>
                  <w:pPr>
                    <w:spacing w:line="240" w:lineRule="auto"/>
                    <w:jc w:val="center"/>
                    <w:rPr>
                      <w:color w:val="auto"/>
                      <w:sz w:val="18"/>
                      <w:szCs w:val="18"/>
                      <w:highlight w:val="none"/>
                    </w:rPr>
                  </w:pPr>
                  <w:r>
                    <w:rPr>
                      <w:rFonts w:hint="eastAsia"/>
                      <w:color w:val="auto"/>
                      <w:sz w:val="18"/>
                      <w:szCs w:val="18"/>
                      <w:highlight w:val="none"/>
                    </w:rPr>
                    <w:t>80</w:t>
                  </w:r>
                </w:p>
              </w:tc>
              <w:tc>
                <w:tcPr>
                  <w:tcW w:w="958" w:type="pct"/>
                  <w:vMerge w:val="continue"/>
                  <w:vAlign w:val="center"/>
                </w:tcPr>
                <w:p>
                  <w:pPr>
                    <w:spacing w:line="240" w:lineRule="auto"/>
                    <w:jc w:val="center"/>
                    <w:rPr>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5" w:hRule="atLeast"/>
                <w:jc w:val="center"/>
              </w:trPr>
              <w:tc>
                <w:tcPr>
                  <w:tcW w:w="848" w:type="pct"/>
                  <w:vMerge w:val="continue"/>
                  <w:vAlign w:val="center"/>
                </w:tcPr>
                <w:p>
                  <w:pPr>
                    <w:spacing w:line="240" w:lineRule="auto"/>
                    <w:jc w:val="center"/>
                    <w:rPr>
                      <w:color w:val="auto"/>
                      <w:sz w:val="18"/>
                      <w:szCs w:val="18"/>
                      <w:highlight w:val="none"/>
                    </w:rPr>
                  </w:pPr>
                </w:p>
              </w:tc>
              <w:tc>
                <w:tcPr>
                  <w:tcW w:w="549" w:type="pct"/>
                  <w:vMerge w:val="continue"/>
                  <w:vAlign w:val="center"/>
                </w:tcPr>
                <w:p>
                  <w:pPr>
                    <w:spacing w:line="240" w:lineRule="auto"/>
                    <w:jc w:val="center"/>
                    <w:rPr>
                      <w:color w:val="auto"/>
                      <w:sz w:val="18"/>
                      <w:szCs w:val="18"/>
                      <w:highlight w:val="none"/>
                    </w:rPr>
                  </w:pPr>
                </w:p>
              </w:tc>
              <w:tc>
                <w:tcPr>
                  <w:tcW w:w="1444" w:type="pct"/>
                  <w:vAlign w:val="center"/>
                </w:tcPr>
                <w:p>
                  <w:pPr>
                    <w:spacing w:line="240" w:lineRule="auto"/>
                    <w:jc w:val="center"/>
                    <w:rPr>
                      <w:color w:val="auto"/>
                      <w:sz w:val="18"/>
                      <w:szCs w:val="18"/>
                      <w:highlight w:val="none"/>
                    </w:rPr>
                  </w:pPr>
                  <w:r>
                    <w:rPr>
                      <w:rFonts w:hint="eastAsia"/>
                      <w:color w:val="auto"/>
                      <w:sz w:val="18"/>
                      <w:szCs w:val="18"/>
                      <w:highlight w:val="none"/>
                    </w:rPr>
                    <w:t>1小时平均</w:t>
                  </w:r>
                </w:p>
              </w:tc>
              <w:tc>
                <w:tcPr>
                  <w:tcW w:w="1199" w:type="pct"/>
                  <w:vAlign w:val="center"/>
                </w:tcPr>
                <w:p>
                  <w:pPr>
                    <w:spacing w:line="240" w:lineRule="auto"/>
                    <w:jc w:val="center"/>
                    <w:rPr>
                      <w:color w:val="auto"/>
                      <w:sz w:val="18"/>
                      <w:szCs w:val="18"/>
                      <w:highlight w:val="none"/>
                    </w:rPr>
                  </w:pPr>
                  <w:r>
                    <w:rPr>
                      <w:rFonts w:hint="eastAsia"/>
                      <w:color w:val="auto"/>
                      <w:sz w:val="18"/>
                      <w:szCs w:val="18"/>
                      <w:highlight w:val="none"/>
                    </w:rPr>
                    <w:t>200</w:t>
                  </w:r>
                </w:p>
              </w:tc>
              <w:tc>
                <w:tcPr>
                  <w:tcW w:w="958" w:type="pct"/>
                  <w:vMerge w:val="continue"/>
                  <w:vAlign w:val="center"/>
                </w:tcPr>
                <w:p>
                  <w:pPr>
                    <w:spacing w:line="240" w:lineRule="auto"/>
                    <w:jc w:val="center"/>
                    <w:rPr>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5" w:hRule="atLeast"/>
                <w:jc w:val="center"/>
              </w:trPr>
              <w:tc>
                <w:tcPr>
                  <w:tcW w:w="848" w:type="pct"/>
                  <w:vMerge w:val="continue"/>
                  <w:vAlign w:val="center"/>
                </w:tcPr>
                <w:p>
                  <w:pPr>
                    <w:pStyle w:val="89"/>
                    <w:spacing w:line="240" w:lineRule="auto"/>
                    <w:ind w:firstLine="0" w:firstLineChars="0"/>
                    <w:jc w:val="center"/>
                    <w:rPr>
                      <w:color w:val="auto"/>
                      <w:sz w:val="18"/>
                      <w:szCs w:val="18"/>
                      <w:highlight w:val="none"/>
                    </w:rPr>
                  </w:pPr>
                </w:p>
              </w:tc>
              <w:tc>
                <w:tcPr>
                  <w:tcW w:w="549" w:type="pct"/>
                  <w:vMerge w:val="restart"/>
                  <w:vAlign w:val="center"/>
                </w:tcPr>
                <w:p>
                  <w:pPr>
                    <w:pStyle w:val="89"/>
                    <w:spacing w:line="240" w:lineRule="auto"/>
                    <w:ind w:firstLine="0" w:firstLineChars="0"/>
                    <w:jc w:val="center"/>
                    <w:rPr>
                      <w:color w:val="auto"/>
                      <w:sz w:val="18"/>
                      <w:szCs w:val="18"/>
                      <w:highlight w:val="none"/>
                    </w:rPr>
                  </w:pPr>
                  <w:r>
                    <w:rPr>
                      <w:color w:val="auto"/>
                      <w:sz w:val="18"/>
                      <w:szCs w:val="18"/>
                      <w:highlight w:val="none"/>
                    </w:rPr>
                    <w:t>PM</w:t>
                  </w:r>
                  <w:r>
                    <w:rPr>
                      <w:color w:val="auto"/>
                      <w:sz w:val="18"/>
                      <w:szCs w:val="18"/>
                      <w:highlight w:val="none"/>
                      <w:vertAlign w:val="subscript"/>
                    </w:rPr>
                    <w:t>10</w:t>
                  </w:r>
                </w:p>
              </w:tc>
              <w:tc>
                <w:tcPr>
                  <w:tcW w:w="1444" w:type="pct"/>
                  <w:vAlign w:val="center"/>
                </w:tcPr>
                <w:p>
                  <w:pPr>
                    <w:spacing w:line="240" w:lineRule="auto"/>
                    <w:jc w:val="center"/>
                    <w:rPr>
                      <w:color w:val="auto"/>
                      <w:sz w:val="18"/>
                      <w:szCs w:val="18"/>
                      <w:highlight w:val="none"/>
                    </w:rPr>
                  </w:pPr>
                  <w:r>
                    <w:rPr>
                      <w:rFonts w:hint="eastAsia"/>
                      <w:color w:val="auto"/>
                      <w:sz w:val="18"/>
                      <w:szCs w:val="18"/>
                      <w:highlight w:val="none"/>
                    </w:rPr>
                    <w:t>年平均</w:t>
                  </w:r>
                </w:p>
              </w:tc>
              <w:tc>
                <w:tcPr>
                  <w:tcW w:w="1199" w:type="pct"/>
                  <w:vAlign w:val="center"/>
                </w:tcPr>
                <w:p>
                  <w:pPr>
                    <w:spacing w:line="240" w:lineRule="auto"/>
                    <w:jc w:val="center"/>
                    <w:rPr>
                      <w:color w:val="auto"/>
                      <w:sz w:val="18"/>
                      <w:szCs w:val="18"/>
                      <w:highlight w:val="none"/>
                    </w:rPr>
                  </w:pPr>
                  <w:r>
                    <w:rPr>
                      <w:rFonts w:hint="eastAsia"/>
                      <w:color w:val="auto"/>
                      <w:sz w:val="18"/>
                      <w:szCs w:val="18"/>
                      <w:highlight w:val="none"/>
                    </w:rPr>
                    <w:t>70</w:t>
                  </w:r>
                </w:p>
              </w:tc>
              <w:tc>
                <w:tcPr>
                  <w:tcW w:w="958" w:type="pct"/>
                  <w:vMerge w:val="restart"/>
                  <w:vAlign w:val="center"/>
                </w:tcPr>
                <w:p>
                  <w:pPr>
                    <w:spacing w:line="240" w:lineRule="auto"/>
                    <w:jc w:val="center"/>
                    <w:rPr>
                      <w:color w:val="auto"/>
                      <w:sz w:val="18"/>
                      <w:szCs w:val="18"/>
                      <w:highlight w:val="none"/>
                    </w:rPr>
                  </w:pPr>
                  <w:r>
                    <w:rPr>
                      <w:color w:val="auto"/>
                      <w:kern w:val="28"/>
                      <w:sz w:val="18"/>
                      <w:szCs w:val="18"/>
                      <w:highlight w:val="none"/>
                    </w:rPr>
                    <w:t>(</w:t>
                  </w:r>
                  <w:r>
                    <w:rPr>
                      <w:color w:val="auto"/>
                      <w:sz w:val="18"/>
                      <w:szCs w:val="18"/>
                      <w:highlight w:val="none"/>
                    </w:rPr>
                    <w:t>µg/m</w:t>
                  </w:r>
                  <w:r>
                    <w:rPr>
                      <w:color w:val="auto"/>
                      <w:sz w:val="18"/>
                      <w:szCs w:val="18"/>
                      <w:highlight w:val="none"/>
                      <w:vertAlign w:val="superscript"/>
                    </w:rPr>
                    <w:t>3</w:t>
                  </w:r>
                  <w:r>
                    <w:rPr>
                      <w:color w:val="auto"/>
                      <w:kern w:val="28"/>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848" w:type="pct"/>
                  <w:vMerge w:val="continue"/>
                  <w:vAlign w:val="center"/>
                </w:tcPr>
                <w:p>
                  <w:pPr>
                    <w:spacing w:line="240" w:lineRule="auto"/>
                    <w:jc w:val="center"/>
                    <w:rPr>
                      <w:color w:val="auto"/>
                      <w:highlight w:val="none"/>
                    </w:rPr>
                  </w:pPr>
                </w:p>
              </w:tc>
              <w:tc>
                <w:tcPr>
                  <w:tcW w:w="549" w:type="pct"/>
                  <w:vMerge w:val="continue"/>
                  <w:vAlign w:val="center"/>
                </w:tcPr>
                <w:p>
                  <w:pPr>
                    <w:spacing w:line="240" w:lineRule="auto"/>
                    <w:jc w:val="center"/>
                    <w:rPr>
                      <w:color w:val="auto"/>
                      <w:highlight w:val="none"/>
                    </w:rPr>
                  </w:pPr>
                </w:p>
              </w:tc>
              <w:tc>
                <w:tcPr>
                  <w:tcW w:w="1444" w:type="pct"/>
                  <w:vAlign w:val="center"/>
                </w:tcPr>
                <w:p>
                  <w:pPr>
                    <w:spacing w:line="240" w:lineRule="auto"/>
                    <w:jc w:val="center"/>
                    <w:rPr>
                      <w:color w:val="auto"/>
                      <w:sz w:val="18"/>
                      <w:szCs w:val="18"/>
                      <w:highlight w:val="none"/>
                    </w:rPr>
                  </w:pPr>
                  <w:r>
                    <w:rPr>
                      <w:rFonts w:hint="eastAsia"/>
                      <w:color w:val="auto"/>
                      <w:sz w:val="18"/>
                      <w:szCs w:val="18"/>
                      <w:highlight w:val="none"/>
                    </w:rPr>
                    <w:t>24小时平均</w:t>
                  </w:r>
                </w:p>
              </w:tc>
              <w:tc>
                <w:tcPr>
                  <w:tcW w:w="1199" w:type="pct"/>
                  <w:vAlign w:val="center"/>
                </w:tcPr>
                <w:p>
                  <w:pPr>
                    <w:spacing w:line="240" w:lineRule="auto"/>
                    <w:jc w:val="center"/>
                    <w:rPr>
                      <w:color w:val="auto"/>
                      <w:sz w:val="18"/>
                      <w:szCs w:val="18"/>
                      <w:highlight w:val="none"/>
                    </w:rPr>
                  </w:pPr>
                  <w:r>
                    <w:rPr>
                      <w:rFonts w:hint="eastAsia"/>
                      <w:color w:val="auto"/>
                      <w:sz w:val="18"/>
                      <w:szCs w:val="18"/>
                      <w:highlight w:val="none"/>
                    </w:rPr>
                    <w:t>150</w:t>
                  </w:r>
                </w:p>
              </w:tc>
              <w:tc>
                <w:tcPr>
                  <w:tcW w:w="958" w:type="pct"/>
                  <w:vMerge w:val="continue"/>
                  <w:vAlign w:val="center"/>
                </w:tcPr>
                <w:p>
                  <w:pPr>
                    <w:spacing w:line="240" w:lineRule="auto"/>
                    <w:jc w:val="center"/>
                    <w:rPr>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5" w:hRule="atLeast"/>
                <w:jc w:val="center"/>
              </w:trPr>
              <w:tc>
                <w:tcPr>
                  <w:tcW w:w="848" w:type="pct"/>
                  <w:vMerge w:val="continue"/>
                  <w:vAlign w:val="center"/>
                </w:tcPr>
                <w:p>
                  <w:pPr>
                    <w:pStyle w:val="89"/>
                    <w:spacing w:line="240" w:lineRule="auto"/>
                    <w:ind w:firstLine="0" w:firstLineChars="0"/>
                    <w:jc w:val="center"/>
                    <w:rPr>
                      <w:color w:val="auto"/>
                      <w:sz w:val="18"/>
                      <w:szCs w:val="18"/>
                      <w:highlight w:val="none"/>
                    </w:rPr>
                  </w:pPr>
                </w:p>
              </w:tc>
              <w:tc>
                <w:tcPr>
                  <w:tcW w:w="549" w:type="pct"/>
                  <w:vMerge w:val="restart"/>
                  <w:vAlign w:val="center"/>
                </w:tcPr>
                <w:p>
                  <w:pPr>
                    <w:pStyle w:val="89"/>
                    <w:spacing w:line="240" w:lineRule="auto"/>
                    <w:ind w:firstLine="0" w:firstLineChars="0"/>
                    <w:jc w:val="center"/>
                    <w:rPr>
                      <w:color w:val="auto"/>
                      <w:sz w:val="18"/>
                      <w:szCs w:val="18"/>
                      <w:highlight w:val="none"/>
                    </w:rPr>
                  </w:pPr>
                  <w:r>
                    <w:rPr>
                      <w:color w:val="auto"/>
                      <w:sz w:val="18"/>
                      <w:szCs w:val="18"/>
                      <w:highlight w:val="none"/>
                    </w:rPr>
                    <w:t>PM</w:t>
                  </w:r>
                  <w:r>
                    <w:rPr>
                      <w:color w:val="auto"/>
                      <w:sz w:val="18"/>
                      <w:szCs w:val="18"/>
                      <w:highlight w:val="none"/>
                      <w:vertAlign w:val="subscript"/>
                    </w:rPr>
                    <w:t>2.5</w:t>
                  </w:r>
                </w:p>
              </w:tc>
              <w:tc>
                <w:tcPr>
                  <w:tcW w:w="1444" w:type="pct"/>
                  <w:vAlign w:val="center"/>
                </w:tcPr>
                <w:p>
                  <w:pPr>
                    <w:spacing w:line="240" w:lineRule="auto"/>
                    <w:jc w:val="center"/>
                    <w:rPr>
                      <w:color w:val="auto"/>
                      <w:sz w:val="18"/>
                      <w:szCs w:val="18"/>
                      <w:highlight w:val="none"/>
                    </w:rPr>
                  </w:pPr>
                  <w:r>
                    <w:rPr>
                      <w:rFonts w:hint="eastAsia"/>
                      <w:color w:val="auto"/>
                      <w:sz w:val="18"/>
                      <w:szCs w:val="18"/>
                      <w:highlight w:val="none"/>
                    </w:rPr>
                    <w:t>年平均</w:t>
                  </w:r>
                </w:p>
              </w:tc>
              <w:tc>
                <w:tcPr>
                  <w:tcW w:w="1199" w:type="pct"/>
                  <w:vAlign w:val="center"/>
                </w:tcPr>
                <w:p>
                  <w:pPr>
                    <w:spacing w:line="240" w:lineRule="auto"/>
                    <w:jc w:val="center"/>
                    <w:rPr>
                      <w:color w:val="auto"/>
                      <w:sz w:val="18"/>
                      <w:szCs w:val="18"/>
                      <w:highlight w:val="none"/>
                    </w:rPr>
                  </w:pPr>
                  <w:r>
                    <w:rPr>
                      <w:rFonts w:hint="eastAsia"/>
                      <w:color w:val="auto"/>
                      <w:sz w:val="18"/>
                      <w:szCs w:val="18"/>
                      <w:highlight w:val="none"/>
                    </w:rPr>
                    <w:t>35</w:t>
                  </w:r>
                </w:p>
              </w:tc>
              <w:tc>
                <w:tcPr>
                  <w:tcW w:w="958" w:type="pct"/>
                  <w:vMerge w:val="restart"/>
                  <w:vAlign w:val="center"/>
                </w:tcPr>
                <w:p>
                  <w:pPr>
                    <w:spacing w:line="240" w:lineRule="auto"/>
                    <w:jc w:val="center"/>
                    <w:rPr>
                      <w:color w:val="auto"/>
                      <w:sz w:val="18"/>
                      <w:szCs w:val="18"/>
                      <w:highlight w:val="none"/>
                    </w:rPr>
                  </w:pPr>
                  <w:r>
                    <w:rPr>
                      <w:color w:val="auto"/>
                      <w:kern w:val="28"/>
                      <w:sz w:val="18"/>
                      <w:szCs w:val="18"/>
                      <w:highlight w:val="none"/>
                    </w:rPr>
                    <w:t>(</w:t>
                  </w:r>
                  <w:r>
                    <w:rPr>
                      <w:color w:val="auto"/>
                      <w:sz w:val="18"/>
                      <w:szCs w:val="18"/>
                      <w:highlight w:val="none"/>
                    </w:rPr>
                    <w:t>µg/m</w:t>
                  </w:r>
                  <w:r>
                    <w:rPr>
                      <w:color w:val="auto"/>
                      <w:sz w:val="18"/>
                      <w:szCs w:val="18"/>
                      <w:highlight w:val="none"/>
                      <w:vertAlign w:val="superscript"/>
                    </w:rPr>
                    <w:t>3</w:t>
                  </w:r>
                  <w:r>
                    <w:rPr>
                      <w:color w:val="auto"/>
                      <w:kern w:val="28"/>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9" w:hRule="atLeast"/>
                <w:jc w:val="center"/>
              </w:trPr>
              <w:tc>
                <w:tcPr>
                  <w:tcW w:w="848" w:type="pct"/>
                  <w:vMerge w:val="continue"/>
                  <w:vAlign w:val="center"/>
                </w:tcPr>
                <w:p>
                  <w:pPr>
                    <w:spacing w:line="240" w:lineRule="auto"/>
                    <w:jc w:val="center"/>
                    <w:rPr>
                      <w:color w:val="auto"/>
                      <w:highlight w:val="none"/>
                    </w:rPr>
                  </w:pPr>
                </w:p>
              </w:tc>
              <w:tc>
                <w:tcPr>
                  <w:tcW w:w="549" w:type="pct"/>
                  <w:vMerge w:val="continue"/>
                  <w:vAlign w:val="center"/>
                </w:tcPr>
                <w:p>
                  <w:pPr>
                    <w:spacing w:line="240" w:lineRule="auto"/>
                    <w:jc w:val="center"/>
                    <w:rPr>
                      <w:color w:val="auto"/>
                      <w:highlight w:val="none"/>
                    </w:rPr>
                  </w:pPr>
                </w:p>
              </w:tc>
              <w:tc>
                <w:tcPr>
                  <w:tcW w:w="1444" w:type="pct"/>
                  <w:vAlign w:val="center"/>
                </w:tcPr>
                <w:p>
                  <w:pPr>
                    <w:spacing w:line="240" w:lineRule="auto"/>
                    <w:jc w:val="center"/>
                    <w:rPr>
                      <w:color w:val="auto"/>
                      <w:sz w:val="18"/>
                      <w:szCs w:val="18"/>
                      <w:highlight w:val="none"/>
                    </w:rPr>
                  </w:pPr>
                  <w:r>
                    <w:rPr>
                      <w:rFonts w:hint="eastAsia"/>
                      <w:color w:val="auto"/>
                      <w:sz w:val="18"/>
                      <w:szCs w:val="18"/>
                      <w:highlight w:val="none"/>
                    </w:rPr>
                    <w:t>24小时平均</w:t>
                  </w:r>
                </w:p>
              </w:tc>
              <w:tc>
                <w:tcPr>
                  <w:tcW w:w="1199" w:type="pct"/>
                  <w:vAlign w:val="center"/>
                </w:tcPr>
                <w:p>
                  <w:pPr>
                    <w:spacing w:line="240" w:lineRule="auto"/>
                    <w:jc w:val="center"/>
                    <w:rPr>
                      <w:color w:val="auto"/>
                      <w:sz w:val="18"/>
                      <w:szCs w:val="18"/>
                      <w:highlight w:val="none"/>
                    </w:rPr>
                  </w:pPr>
                  <w:r>
                    <w:rPr>
                      <w:rFonts w:hint="eastAsia"/>
                      <w:color w:val="auto"/>
                      <w:sz w:val="18"/>
                      <w:szCs w:val="18"/>
                      <w:highlight w:val="none"/>
                    </w:rPr>
                    <w:t>75</w:t>
                  </w:r>
                </w:p>
              </w:tc>
              <w:tc>
                <w:tcPr>
                  <w:tcW w:w="958" w:type="pct"/>
                  <w:vMerge w:val="continue"/>
                  <w:vAlign w:val="center"/>
                </w:tcPr>
                <w:p>
                  <w:pPr>
                    <w:spacing w:line="240" w:lineRule="auto"/>
                    <w:jc w:val="center"/>
                    <w:rPr>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88" w:hRule="atLeast"/>
                <w:jc w:val="center"/>
              </w:trPr>
              <w:tc>
                <w:tcPr>
                  <w:tcW w:w="848" w:type="pct"/>
                  <w:vMerge w:val="continue"/>
                  <w:vAlign w:val="center"/>
                </w:tcPr>
                <w:p>
                  <w:pPr>
                    <w:pStyle w:val="89"/>
                    <w:spacing w:line="240" w:lineRule="auto"/>
                    <w:ind w:firstLine="0" w:firstLineChars="0"/>
                    <w:jc w:val="center"/>
                    <w:rPr>
                      <w:color w:val="auto"/>
                      <w:sz w:val="18"/>
                      <w:szCs w:val="18"/>
                      <w:highlight w:val="none"/>
                    </w:rPr>
                  </w:pPr>
                </w:p>
              </w:tc>
              <w:tc>
                <w:tcPr>
                  <w:tcW w:w="549" w:type="pct"/>
                  <w:vMerge w:val="restart"/>
                  <w:vAlign w:val="center"/>
                </w:tcPr>
                <w:p>
                  <w:pPr>
                    <w:pStyle w:val="89"/>
                    <w:spacing w:line="240" w:lineRule="auto"/>
                    <w:ind w:firstLine="0" w:firstLineChars="0"/>
                    <w:jc w:val="center"/>
                    <w:rPr>
                      <w:color w:val="auto"/>
                      <w:sz w:val="18"/>
                      <w:szCs w:val="18"/>
                      <w:highlight w:val="none"/>
                    </w:rPr>
                  </w:pPr>
                  <w:r>
                    <w:rPr>
                      <w:rFonts w:hint="eastAsia"/>
                      <w:color w:val="auto"/>
                      <w:sz w:val="18"/>
                      <w:szCs w:val="18"/>
                      <w:highlight w:val="none"/>
                    </w:rPr>
                    <w:t>CO</w:t>
                  </w:r>
                </w:p>
              </w:tc>
              <w:tc>
                <w:tcPr>
                  <w:tcW w:w="1444" w:type="pct"/>
                  <w:vAlign w:val="center"/>
                </w:tcPr>
                <w:p>
                  <w:pPr>
                    <w:spacing w:line="240" w:lineRule="auto"/>
                    <w:jc w:val="center"/>
                    <w:rPr>
                      <w:color w:val="auto"/>
                      <w:sz w:val="18"/>
                      <w:szCs w:val="18"/>
                      <w:highlight w:val="none"/>
                    </w:rPr>
                  </w:pPr>
                  <w:r>
                    <w:rPr>
                      <w:rFonts w:hint="eastAsia"/>
                      <w:color w:val="auto"/>
                      <w:sz w:val="18"/>
                      <w:szCs w:val="18"/>
                      <w:highlight w:val="none"/>
                    </w:rPr>
                    <w:t>24小时平均</w:t>
                  </w:r>
                </w:p>
              </w:tc>
              <w:tc>
                <w:tcPr>
                  <w:tcW w:w="1199" w:type="pct"/>
                  <w:vAlign w:val="center"/>
                </w:tcPr>
                <w:p>
                  <w:pPr>
                    <w:spacing w:line="240" w:lineRule="auto"/>
                    <w:jc w:val="center"/>
                    <w:rPr>
                      <w:color w:val="auto"/>
                      <w:sz w:val="18"/>
                      <w:szCs w:val="18"/>
                      <w:highlight w:val="none"/>
                    </w:rPr>
                  </w:pPr>
                  <w:r>
                    <w:rPr>
                      <w:rFonts w:hint="eastAsia"/>
                      <w:color w:val="auto"/>
                      <w:sz w:val="18"/>
                      <w:szCs w:val="18"/>
                      <w:highlight w:val="none"/>
                    </w:rPr>
                    <w:t>4</w:t>
                  </w:r>
                </w:p>
              </w:tc>
              <w:tc>
                <w:tcPr>
                  <w:tcW w:w="958" w:type="pct"/>
                  <w:vMerge w:val="restart"/>
                  <w:vAlign w:val="center"/>
                </w:tcPr>
                <w:p>
                  <w:pPr>
                    <w:spacing w:line="240" w:lineRule="auto"/>
                    <w:jc w:val="center"/>
                    <w:rPr>
                      <w:color w:val="auto"/>
                      <w:sz w:val="18"/>
                      <w:szCs w:val="18"/>
                      <w:highlight w:val="none"/>
                    </w:rPr>
                  </w:pPr>
                  <w:r>
                    <w:rPr>
                      <w:color w:val="auto"/>
                      <w:kern w:val="28"/>
                      <w:sz w:val="18"/>
                      <w:szCs w:val="18"/>
                      <w:highlight w:val="none"/>
                    </w:rPr>
                    <w:t>(</w:t>
                  </w:r>
                  <w:r>
                    <w:rPr>
                      <w:rFonts w:hint="eastAsia"/>
                      <w:color w:val="auto"/>
                      <w:kern w:val="28"/>
                      <w:sz w:val="18"/>
                      <w:szCs w:val="18"/>
                      <w:highlight w:val="none"/>
                    </w:rPr>
                    <w:t>m</w:t>
                  </w:r>
                  <w:r>
                    <w:rPr>
                      <w:color w:val="auto"/>
                      <w:sz w:val="18"/>
                      <w:szCs w:val="18"/>
                      <w:highlight w:val="none"/>
                    </w:rPr>
                    <w:t>g/m</w:t>
                  </w:r>
                  <w:r>
                    <w:rPr>
                      <w:color w:val="auto"/>
                      <w:sz w:val="18"/>
                      <w:szCs w:val="18"/>
                      <w:highlight w:val="none"/>
                      <w:vertAlign w:val="superscript"/>
                    </w:rPr>
                    <w:t>3</w:t>
                  </w:r>
                  <w:r>
                    <w:rPr>
                      <w:color w:val="auto"/>
                      <w:kern w:val="28"/>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88" w:hRule="atLeast"/>
                <w:jc w:val="center"/>
              </w:trPr>
              <w:tc>
                <w:tcPr>
                  <w:tcW w:w="848" w:type="pct"/>
                  <w:vMerge w:val="continue"/>
                  <w:vAlign w:val="center"/>
                </w:tcPr>
                <w:p>
                  <w:pPr>
                    <w:spacing w:line="240" w:lineRule="auto"/>
                    <w:jc w:val="center"/>
                    <w:rPr>
                      <w:color w:val="auto"/>
                      <w:highlight w:val="none"/>
                    </w:rPr>
                  </w:pPr>
                </w:p>
              </w:tc>
              <w:tc>
                <w:tcPr>
                  <w:tcW w:w="549" w:type="pct"/>
                  <w:vMerge w:val="continue"/>
                  <w:vAlign w:val="center"/>
                </w:tcPr>
                <w:p>
                  <w:pPr>
                    <w:spacing w:line="240" w:lineRule="auto"/>
                    <w:jc w:val="center"/>
                    <w:rPr>
                      <w:color w:val="auto"/>
                      <w:highlight w:val="none"/>
                    </w:rPr>
                  </w:pPr>
                </w:p>
              </w:tc>
              <w:tc>
                <w:tcPr>
                  <w:tcW w:w="1444" w:type="pct"/>
                  <w:vAlign w:val="center"/>
                </w:tcPr>
                <w:p>
                  <w:pPr>
                    <w:spacing w:line="240" w:lineRule="auto"/>
                    <w:jc w:val="center"/>
                    <w:rPr>
                      <w:color w:val="auto"/>
                      <w:sz w:val="18"/>
                      <w:szCs w:val="18"/>
                      <w:highlight w:val="none"/>
                    </w:rPr>
                  </w:pPr>
                  <w:r>
                    <w:rPr>
                      <w:rFonts w:hint="eastAsia"/>
                      <w:color w:val="auto"/>
                      <w:sz w:val="18"/>
                      <w:szCs w:val="18"/>
                      <w:highlight w:val="none"/>
                    </w:rPr>
                    <w:t>1小时平均</w:t>
                  </w:r>
                </w:p>
              </w:tc>
              <w:tc>
                <w:tcPr>
                  <w:tcW w:w="1199" w:type="pct"/>
                  <w:vAlign w:val="center"/>
                </w:tcPr>
                <w:p>
                  <w:pPr>
                    <w:spacing w:line="240" w:lineRule="auto"/>
                    <w:jc w:val="center"/>
                    <w:rPr>
                      <w:color w:val="auto"/>
                      <w:sz w:val="18"/>
                      <w:szCs w:val="18"/>
                      <w:highlight w:val="none"/>
                    </w:rPr>
                  </w:pPr>
                  <w:r>
                    <w:rPr>
                      <w:rFonts w:hint="eastAsia"/>
                      <w:color w:val="auto"/>
                      <w:sz w:val="18"/>
                      <w:szCs w:val="18"/>
                      <w:highlight w:val="none"/>
                    </w:rPr>
                    <w:t>10</w:t>
                  </w:r>
                </w:p>
              </w:tc>
              <w:tc>
                <w:tcPr>
                  <w:tcW w:w="958" w:type="pct"/>
                  <w:vMerge w:val="continue"/>
                  <w:vAlign w:val="center"/>
                </w:tcPr>
                <w:p>
                  <w:pPr>
                    <w:spacing w:line="240" w:lineRule="auto"/>
                    <w:jc w:val="center"/>
                    <w:rPr>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3" w:hRule="atLeast"/>
                <w:jc w:val="center"/>
              </w:trPr>
              <w:tc>
                <w:tcPr>
                  <w:tcW w:w="848" w:type="pct"/>
                  <w:vMerge w:val="continue"/>
                  <w:vAlign w:val="center"/>
                </w:tcPr>
                <w:p>
                  <w:pPr>
                    <w:spacing w:line="240" w:lineRule="auto"/>
                    <w:jc w:val="center"/>
                    <w:rPr>
                      <w:color w:val="auto"/>
                      <w:sz w:val="18"/>
                      <w:szCs w:val="18"/>
                      <w:highlight w:val="none"/>
                    </w:rPr>
                  </w:pPr>
                </w:p>
              </w:tc>
              <w:tc>
                <w:tcPr>
                  <w:tcW w:w="549" w:type="pct"/>
                  <w:vMerge w:val="restart"/>
                  <w:vAlign w:val="center"/>
                </w:tcPr>
                <w:p>
                  <w:pPr>
                    <w:spacing w:line="240" w:lineRule="auto"/>
                    <w:jc w:val="center"/>
                    <w:rPr>
                      <w:color w:val="auto"/>
                      <w:sz w:val="18"/>
                      <w:szCs w:val="18"/>
                      <w:highlight w:val="none"/>
                    </w:rPr>
                  </w:pPr>
                  <w:r>
                    <w:rPr>
                      <w:color w:val="auto"/>
                      <w:sz w:val="18"/>
                      <w:szCs w:val="18"/>
                      <w:highlight w:val="none"/>
                    </w:rPr>
                    <w:t>O</w:t>
                  </w:r>
                  <w:r>
                    <w:rPr>
                      <w:color w:val="auto"/>
                      <w:sz w:val="18"/>
                      <w:szCs w:val="18"/>
                      <w:highlight w:val="none"/>
                      <w:vertAlign w:val="subscript"/>
                    </w:rPr>
                    <w:t>3</w:t>
                  </w:r>
                </w:p>
              </w:tc>
              <w:tc>
                <w:tcPr>
                  <w:tcW w:w="1444" w:type="pct"/>
                  <w:vAlign w:val="center"/>
                </w:tcPr>
                <w:p>
                  <w:pPr>
                    <w:spacing w:line="240" w:lineRule="auto"/>
                    <w:jc w:val="center"/>
                    <w:rPr>
                      <w:color w:val="auto"/>
                      <w:sz w:val="18"/>
                      <w:szCs w:val="18"/>
                      <w:highlight w:val="none"/>
                    </w:rPr>
                  </w:pPr>
                  <w:r>
                    <w:rPr>
                      <w:rFonts w:hint="eastAsia"/>
                      <w:color w:val="auto"/>
                      <w:sz w:val="18"/>
                      <w:szCs w:val="18"/>
                      <w:highlight w:val="none"/>
                    </w:rPr>
                    <w:t>日最大8小时平均</w:t>
                  </w:r>
                </w:p>
              </w:tc>
              <w:tc>
                <w:tcPr>
                  <w:tcW w:w="1199" w:type="pct"/>
                  <w:vAlign w:val="center"/>
                </w:tcPr>
                <w:p>
                  <w:pPr>
                    <w:spacing w:line="240" w:lineRule="auto"/>
                    <w:jc w:val="center"/>
                    <w:rPr>
                      <w:color w:val="auto"/>
                      <w:sz w:val="18"/>
                      <w:szCs w:val="18"/>
                      <w:highlight w:val="none"/>
                    </w:rPr>
                  </w:pPr>
                  <w:r>
                    <w:rPr>
                      <w:rFonts w:hint="eastAsia"/>
                      <w:color w:val="auto"/>
                      <w:sz w:val="18"/>
                      <w:szCs w:val="18"/>
                      <w:highlight w:val="none"/>
                    </w:rPr>
                    <w:t>160</w:t>
                  </w:r>
                </w:p>
              </w:tc>
              <w:tc>
                <w:tcPr>
                  <w:tcW w:w="958" w:type="pct"/>
                  <w:vMerge w:val="restart"/>
                  <w:vAlign w:val="center"/>
                </w:tcPr>
                <w:p>
                  <w:pPr>
                    <w:spacing w:line="240" w:lineRule="auto"/>
                    <w:jc w:val="center"/>
                    <w:rPr>
                      <w:color w:val="auto"/>
                      <w:sz w:val="18"/>
                      <w:szCs w:val="18"/>
                      <w:highlight w:val="none"/>
                    </w:rPr>
                  </w:pPr>
                  <w:r>
                    <w:rPr>
                      <w:color w:val="auto"/>
                      <w:kern w:val="28"/>
                      <w:sz w:val="18"/>
                      <w:szCs w:val="18"/>
                      <w:highlight w:val="none"/>
                    </w:rPr>
                    <w:t>(</w:t>
                  </w:r>
                  <w:r>
                    <w:rPr>
                      <w:color w:val="auto"/>
                      <w:sz w:val="18"/>
                      <w:szCs w:val="18"/>
                      <w:highlight w:val="none"/>
                    </w:rPr>
                    <w:t>µg/m</w:t>
                  </w:r>
                  <w:r>
                    <w:rPr>
                      <w:color w:val="auto"/>
                      <w:sz w:val="18"/>
                      <w:szCs w:val="18"/>
                      <w:highlight w:val="none"/>
                      <w:vertAlign w:val="superscript"/>
                    </w:rPr>
                    <w:t>3</w:t>
                  </w:r>
                  <w:r>
                    <w:rPr>
                      <w:color w:val="auto"/>
                      <w:kern w:val="28"/>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3" w:hRule="atLeast"/>
                <w:jc w:val="center"/>
              </w:trPr>
              <w:tc>
                <w:tcPr>
                  <w:tcW w:w="848" w:type="pct"/>
                  <w:vMerge w:val="continue"/>
                  <w:vAlign w:val="center"/>
                </w:tcPr>
                <w:p>
                  <w:pPr>
                    <w:spacing w:line="240" w:lineRule="auto"/>
                    <w:jc w:val="center"/>
                    <w:rPr>
                      <w:color w:val="auto"/>
                      <w:highlight w:val="none"/>
                    </w:rPr>
                  </w:pPr>
                </w:p>
              </w:tc>
              <w:tc>
                <w:tcPr>
                  <w:tcW w:w="549" w:type="pct"/>
                  <w:vMerge w:val="continue"/>
                  <w:vAlign w:val="center"/>
                </w:tcPr>
                <w:p>
                  <w:pPr>
                    <w:spacing w:line="240" w:lineRule="auto"/>
                    <w:jc w:val="center"/>
                    <w:rPr>
                      <w:color w:val="auto"/>
                      <w:highlight w:val="none"/>
                    </w:rPr>
                  </w:pPr>
                </w:p>
              </w:tc>
              <w:tc>
                <w:tcPr>
                  <w:tcW w:w="1444" w:type="pct"/>
                  <w:vAlign w:val="center"/>
                </w:tcPr>
                <w:p>
                  <w:pPr>
                    <w:spacing w:line="240" w:lineRule="auto"/>
                    <w:jc w:val="center"/>
                    <w:rPr>
                      <w:color w:val="auto"/>
                      <w:sz w:val="18"/>
                      <w:szCs w:val="18"/>
                      <w:highlight w:val="none"/>
                    </w:rPr>
                  </w:pPr>
                  <w:r>
                    <w:rPr>
                      <w:rFonts w:hint="eastAsia"/>
                      <w:color w:val="auto"/>
                      <w:sz w:val="18"/>
                      <w:szCs w:val="18"/>
                      <w:highlight w:val="none"/>
                    </w:rPr>
                    <w:t>1小时平均</w:t>
                  </w:r>
                </w:p>
              </w:tc>
              <w:tc>
                <w:tcPr>
                  <w:tcW w:w="1199" w:type="pct"/>
                  <w:vAlign w:val="center"/>
                </w:tcPr>
                <w:p>
                  <w:pPr>
                    <w:spacing w:line="240" w:lineRule="auto"/>
                    <w:jc w:val="center"/>
                    <w:rPr>
                      <w:color w:val="auto"/>
                      <w:sz w:val="18"/>
                      <w:szCs w:val="18"/>
                      <w:highlight w:val="none"/>
                    </w:rPr>
                  </w:pPr>
                  <w:r>
                    <w:rPr>
                      <w:rFonts w:hint="eastAsia"/>
                      <w:color w:val="auto"/>
                      <w:sz w:val="18"/>
                      <w:szCs w:val="18"/>
                      <w:highlight w:val="none"/>
                    </w:rPr>
                    <w:t>200</w:t>
                  </w:r>
                </w:p>
              </w:tc>
              <w:tc>
                <w:tcPr>
                  <w:tcW w:w="958" w:type="pct"/>
                  <w:vMerge w:val="continue"/>
                  <w:vAlign w:val="center"/>
                </w:tcPr>
                <w:p>
                  <w:pPr>
                    <w:spacing w:line="240" w:lineRule="auto"/>
                    <w:jc w:val="center"/>
                    <w:rPr>
                      <w:color w:val="auto"/>
                      <w:sz w:val="18"/>
                      <w:szCs w:val="18"/>
                      <w:highlight w:val="none"/>
                    </w:rPr>
                  </w:pPr>
                </w:p>
              </w:tc>
            </w:tr>
          </w:tbl>
          <w:p>
            <w:pPr>
              <w:adjustRightInd w:val="0"/>
              <w:snapToGrid w:val="0"/>
              <w:spacing w:line="360" w:lineRule="auto"/>
              <w:ind w:firstLine="420"/>
              <w:rPr>
                <w:color w:val="auto"/>
                <w:szCs w:val="21"/>
                <w:highlight w:val="none"/>
              </w:rPr>
            </w:pPr>
            <w:r>
              <w:rPr>
                <w:color w:val="auto"/>
                <w:kern w:val="0"/>
                <w:szCs w:val="21"/>
                <w:highlight w:val="none"/>
              </w:rPr>
              <w:t>（2）</w:t>
            </w:r>
            <w:r>
              <w:rPr>
                <w:color w:val="auto"/>
                <w:szCs w:val="21"/>
                <w:highlight w:val="none"/>
              </w:rPr>
              <w:t>地表水环境质量标准</w:t>
            </w:r>
          </w:p>
          <w:p>
            <w:pPr>
              <w:keepNext w:val="0"/>
              <w:keepLines w:val="0"/>
              <w:pageBreakBefore w:val="0"/>
              <w:widowControl w:val="0"/>
              <w:tabs>
                <w:tab w:val="left" w:pos="662"/>
              </w:tabs>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地表水环境质量现状执行《地表水环境质量标准》（GB3838-2002）Ⅲ类水质标准。</w:t>
            </w:r>
          </w:p>
          <w:p>
            <w:pPr>
              <w:pStyle w:val="88"/>
              <w:adjustRightInd w:val="0"/>
              <w:snapToGrid w:val="0"/>
              <w:spacing w:line="360" w:lineRule="auto"/>
              <w:ind w:firstLine="0" w:firstLineChars="0"/>
              <w:jc w:val="center"/>
              <w:rPr>
                <w:color w:val="auto"/>
                <w:sz w:val="21"/>
                <w:szCs w:val="21"/>
                <w:highlight w:val="none"/>
              </w:rPr>
            </w:pPr>
            <w:r>
              <w:rPr>
                <w:color w:val="auto"/>
                <w:sz w:val="21"/>
                <w:szCs w:val="21"/>
                <w:highlight w:val="none"/>
              </w:rPr>
              <w:t>表</w:t>
            </w:r>
            <w:r>
              <w:rPr>
                <w:rFonts w:hint="eastAsia"/>
                <w:color w:val="auto"/>
                <w:sz w:val="21"/>
                <w:szCs w:val="21"/>
                <w:highlight w:val="none"/>
              </w:rPr>
              <w:t xml:space="preserve">3.4.1-2  </w:t>
            </w:r>
            <w:r>
              <w:rPr>
                <w:color w:val="auto"/>
                <w:sz w:val="21"/>
                <w:szCs w:val="21"/>
                <w:highlight w:val="none"/>
              </w:rPr>
              <w:t>地表水环境质量标准   单位：mg/L（pH无量纲）</w:t>
            </w:r>
          </w:p>
          <w:tbl>
            <w:tblPr>
              <w:tblStyle w:val="29"/>
              <w:tblW w:w="50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11"/>
              <w:gridCol w:w="2007"/>
              <w:gridCol w:w="4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jc w:val="center"/>
              </w:trPr>
              <w:tc>
                <w:tcPr>
                  <w:tcW w:w="1242" w:type="pct"/>
                  <w:vAlign w:val="center"/>
                </w:tcPr>
                <w:p>
                  <w:pPr>
                    <w:pageBreakBefore w:val="0"/>
                    <w:kinsoku/>
                    <w:wordWrap/>
                    <w:overflowPunct/>
                    <w:bidi w:val="0"/>
                    <w:spacing w:beforeAutospacing="0" w:afterAutospacing="0" w:line="240" w:lineRule="auto"/>
                    <w:jc w:val="center"/>
                    <w:rPr>
                      <w:rFonts w:hint="eastAsia" w:eastAsia="宋体"/>
                      <w:b/>
                      <w:bCs/>
                      <w:color w:val="auto"/>
                      <w:sz w:val="18"/>
                      <w:szCs w:val="18"/>
                      <w:highlight w:val="none"/>
                      <w:lang w:val="en-US" w:eastAsia="zh-CN"/>
                    </w:rPr>
                  </w:pPr>
                  <w:r>
                    <w:rPr>
                      <w:rFonts w:hint="eastAsia"/>
                      <w:b/>
                      <w:bCs/>
                      <w:color w:val="auto"/>
                      <w:sz w:val="18"/>
                      <w:szCs w:val="18"/>
                      <w:highlight w:val="none"/>
                      <w:lang w:val="en-US" w:eastAsia="zh-CN"/>
                    </w:rPr>
                    <w:t>序号</w:t>
                  </w:r>
                </w:p>
              </w:tc>
              <w:tc>
                <w:tcPr>
                  <w:tcW w:w="1239" w:type="pct"/>
                  <w:vAlign w:val="center"/>
                </w:tcPr>
                <w:p>
                  <w:pPr>
                    <w:pageBreakBefore w:val="0"/>
                    <w:kinsoku/>
                    <w:wordWrap/>
                    <w:overflowPunct/>
                    <w:bidi w:val="0"/>
                    <w:spacing w:beforeAutospacing="0" w:afterAutospacing="0" w:line="240" w:lineRule="auto"/>
                    <w:jc w:val="center"/>
                    <w:rPr>
                      <w:rFonts w:ascii="Times New Roman" w:hAnsi="Times New Roman" w:eastAsia="宋体" w:cs="Times New Roman"/>
                      <w:b/>
                      <w:bCs/>
                      <w:color w:val="auto"/>
                      <w:kern w:val="2"/>
                      <w:sz w:val="18"/>
                      <w:szCs w:val="18"/>
                      <w:highlight w:val="none"/>
                      <w:lang w:val="en-US" w:eastAsia="zh-CN" w:bidi="ar-SA"/>
                    </w:rPr>
                  </w:pPr>
                  <w:r>
                    <w:rPr>
                      <w:b/>
                      <w:bCs/>
                      <w:color w:val="auto"/>
                      <w:sz w:val="18"/>
                      <w:szCs w:val="18"/>
                      <w:highlight w:val="none"/>
                    </w:rPr>
                    <w:t>项目</w:t>
                  </w:r>
                </w:p>
              </w:tc>
              <w:tc>
                <w:tcPr>
                  <w:tcW w:w="2518" w:type="pct"/>
                  <w:vAlign w:val="center"/>
                </w:tcPr>
                <w:p>
                  <w:pPr>
                    <w:pageBreakBefore w:val="0"/>
                    <w:kinsoku/>
                    <w:wordWrap/>
                    <w:overflowPunct/>
                    <w:bidi w:val="0"/>
                    <w:spacing w:beforeAutospacing="0" w:afterAutospacing="0" w:line="240" w:lineRule="auto"/>
                    <w:jc w:val="center"/>
                    <w:rPr>
                      <w:b/>
                      <w:bCs/>
                      <w:color w:val="auto"/>
                      <w:sz w:val="18"/>
                      <w:szCs w:val="18"/>
                      <w:highlight w:val="none"/>
                    </w:rPr>
                  </w:pPr>
                  <w:r>
                    <w:rPr>
                      <w:b/>
                      <w:bCs/>
                      <w:color w:val="auto"/>
                      <w:sz w:val="18"/>
                      <w:szCs w:val="18"/>
                      <w:highlight w:val="none"/>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jc w:val="center"/>
              </w:trPr>
              <w:tc>
                <w:tcPr>
                  <w:tcW w:w="1242" w:type="pct"/>
                  <w:vAlign w:val="center"/>
                </w:tcPr>
                <w:p>
                  <w:pPr>
                    <w:pageBreakBefore w:val="0"/>
                    <w:widowControl/>
                    <w:numPr>
                      <w:ilvl w:val="0"/>
                      <w:numId w:val="3"/>
                    </w:numPr>
                    <w:kinsoku/>
                    <w:wordWrap/>
                    <w:overflowPunct/>
                    <w:bidi w:val="0"/>
                    <w:spacing w:beforeAutospacing="0" w:afterAutospacing="0" w:line="240" w:lineRule="auto"/>
                    <w:ind w:left="0" w:leftChars="0" w:firstLine="0" w:firstLineChars="0"/>
                    <w:jc w:val="center"/>
                    <w:rPr>
                      <w:color w:val="auto"/>
                      <w:sz w:val="18"/>
                      <w:szCs w:val="18"/>
                      <w:highlight w:val="none"/>
                    </w:rPr>
                  </w:pPr>
                </w:p>
              </w:tc>
              <w:tc>
                <w:tcPr>
                  <w:tcW w:w="1239" w:type="pct"/>
                  <w:vAlign w:val="center"/>
                </w:tcPr>
                <w:p>
                  <w:pPr>
                    <w:pageBreakBefore w:val="0"/>
                    <w:widowControl/>
                    <w:kinsoku/>
                    <w:wordWrap/>
                    <w:overflowPunct/>
                    <w:bidi w:val="0"/>
                    <w:spacing w:beforeAutospacing="0" w:afterAutospacing="0" w:line="240" w:lineRule="auto"/>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pH</w:t>
                  </w:r>
                </w:p>
              </w:tc>
              <w:tc>
                <w:tcPr>
                  <w:tcW w:w="2518" w:type="pct"/>
                  <w:vAlign w:val="center"/>
                </w:tcPr>
                <w:p>
                  <w:pPr>
                    <w:pageBreakBefore w:val="0"/>
                    <w:widowControl/>
                    <w:kinsoku/>
                    <w:wordWrap/>
                    <w:overflowPunct/>
                    <w:bidi w:val="0"/>
                    <w:spacing w:beforeAutospacing="0" w:afterAutospacing="0" w:line="240" w:lineRule="auto"/>
                    <w:jc w:val="center"/>
                    <w:rPr>
                      <w:color w:val="auto"/>
                      <w:sz w:val="18"/>
                      <w:szCs w:val="18"/>
                      <w:highlight w:val="none"/>
                    </w:rPr>
                  </w:pPr>
                  <w:r>
                    <w:rPr>
                      <w:color w:val="auto"/>
                      <w:sz w:val="18"/>
                      <w:szCs w:val="18"/>
                      <w:highlight w:val="none"/>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jc w:val="center"/>
              </w:trPr>
              <w:tc>
                <w:tcPr>
                  <w:tcW w:w="1242" w:type="pct"/>
                  <w:vAlign w:val="center"/>
                </w:tcPr>
                <w:p>
                  <w:pPr>
                    <w:pageBreakBefore w:val="0"/>
                    <w:widowControl/>
                    <w:numPr>
                      <w:ilvl w:val="0"/>
                      <w:numId w:val="3"/>
                    </w:numPr>
                    <w:kinsoku/>
                    <w:wordWrap/>
                    <w:overflowPunct/>
                    <w:bidi w:val="0"/>
                    <w:spacing w:beforeAutospacing="0" w:afterAutospacing="0" w:line="240" w:lineRule="auto"/>
                    <w:ind w:left="0" w:leftChars="0" w:firstLine="0" w:firstLineChars="0"/>
                    <w:jc w:val="center"/>
                    <w:rPr>
                      <w:color w:val="auto"/>
                      <w:sz w:val="18"/>
                      <w:szCs w:val="18"/>
                      <w:highlight w:val="none"/>
                    </w:rPr>
                  </w:pPr>
                </w:p>
              </w:tc>
              <w:tc>
                <w:tcPr>
                  <w:tcW w:w="1239" w:type="pct"/>
                  <w:vAlign w:val="center"/>
                </w:tcPr>
                <w:p>
                  <w:pPr>
                    <w:pageBreakBefore w:val="0"/>
                    <w:widowControl/>
                    <w:kinsoku/>
                    <w:wordWrap/>
                    <w:overflowPunct/>
                    <w:bidi w:val="0"/>
                    <w:spacing w:beforeAutospacing="0" w:afterAutospacing="0" w:line="240" w:lineRule="auto"/>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DO</w:t>
                  </w:r>
                </w:p>
              </w:tc>
              <w:tc>
                <w:tcPr>
                  <w:tcW w:w="2518" w:type="pct"/>
                  <w:vAlign w:val="center"/>
                </w:tcPr>
                <w:p>
                  <w:pPr>
                    <w:pageBreakBefore w:val="0"/>
                    <w:widowControl/>
                    <w:kinsoku/>
                    <w:wordWrap/>
                    <w:overflowPunct/>
                    <w:bidi w:val="0"/>
                    <w:spacing w:beforeAutospacing="0" w:afterAutospacing="0" w:line="240" w:lineRule="auto"/>
                    <w:jc w:val="center"/>
                    <w:rPr>
                      <w:color w:val="auto"/>
                      <w:sz w:val="18"/>
                      <w:szCs w:val="18"/>
                      <w:highlight w:val="none"/>
                    </w:rPr>
                  </w:pPr>
                  <w:r>
                    <w:rPr>
                      <w:color w:val="auto"/>
                      <w:sz w:val="18"/>
                      <w:szCs w:val="18"/>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jc w:val="center"/>
              </w:trPr>
              <w:tc>
                <w:tcPr>
                  <w:tcW w:w="1242" w:type="pct"/>
                  <w:vAlign w:val="center"/>
                </w:tcPr>
                <w:p>
                  <w:pPr>
                    <w:pageBreakBefore w:val="0"/>
                    <w:widowControl/>
                    <w:numPr>
                      <w:ilvl w:val="0"/>
                      <w:numId w:val="3"/>
                    </w:numPr>
                    <w:kinsoku/>
                    <w:wordWrap/>
                    <w:overflowPunct/>
                    <w:bidi w:val="0"/>
                    <w:spacing w:beforeAutospacing="0" w:afterAutospacing="0" w:line="240" w:lineRule="auto"/>
                    <w:ind w:left="0" w:leftChars="0" w:firstLine="0" w:firstLineChars="0"/>
                    <w:jc w:val="center"/>
                    <w:rPr>
                      <w:rFonts w:hint="eastAsia"/>
                      <w:color w:val="auto"/>
                      <w:sz w:val="18"/>
                      <w:szCs w:val="18"/>
                      <w:highlight w:val="none"/>
                    </w:rPr>
                  </w:pPr>
                </w:p>
              </w:tc>
              <w:tc>
                <w:tcPr>
                  <w:tcW w:w="1239" w:type="pct"/>
                  <w:vAlign w:val="center"/>
                </w:tcPr>
                <w:p>
                  <w:pPr>
                    <w:pageBreakBefore w:val="0"/>
                    <w:widowControl/>
                    <w:kinsoku/>
                    <w:wordWrap/>
                    <w:overflowPunct/>
                    <w:bidi w:val="0"/>
                    <w:spacing w:beforeAutospacing="0" w:afterAutospacing="0" w:line="240" w:lineRule="auto"/>
                    <w:jc w:val="center"/>
                    <w:rPr>
                      <w:rFonts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rPr>
                    <w:t>高锰酸盐指数</w:t>
                  </w:r>
                </w:p>
              </w:tc>
              <w:tc>
                <w:tcPr>
                  <w:tcW w:w="2518" w:type="pct"/>
                  <w:vAlign w:val="center"/>
                </w:tcPr>
                <w:p>
                  <w:pPr>
                    <w:pageBreakBefore w:val="0"/>
                    <w:widowControl/>
                    <w:kinsoku/>
                    <w:wordWrap/>
                    <w:overflowPunct/>
                    <w:bidi w:val="0"/>
                    <w:spacing w:beforeAutospacing="0" w:afterAutospacing="0" w:line="240" w:lineRule="auto"/>
                    <w:jc w:val="center"/>
                    <w:rPr>
                      <w:color w:val="auto"/>
                      <w:sz w:val="18"/>
                      <w:szCs w:val="18"/>
                      <w:highlight w:val="none"/>
                    </w:rPr>
                  </w:pPr>
                  <w:r>
                    <w:rPr>
                      <w:color w:val="auto"/>
                      <w:sz w:val="18"/>
                      <w:szCs w:val="18"/>
                      <w:highlight w:val="none"/>
                    </w:rPr>
                    <w:t>≤</w:t>
                  </w:r>
                  <w:r>
                    <w:rPr>
                      <w:rFonts w:hint="eastAsia"/>
                      <w:color w:val="auto"/>
                      <w:sz w:val="18"/>
                      <w:szCs w:val="18"/>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jc w:val="center"/>
              </w:trPr>
              <w:tc>
                <w:tcPr>
                  <w:tcW w:w="1242" w:type="pct"/>
                  <w:vAlign w:val="center"/>
                </w:tcPr>
                <w:p>
                  <w:pPr>
                    <w:pageBreakBefore w:val="0"/>
                    <w:widowControl/>
                    <w:numPr>
                      <w:ilvl w:val="0"/>
                      <w:numId w:val="3"/>
                    </w:numPr>
                    <w:kinsoku/>
                    <w:wordWrap/>
                    <w:overflowPunct/>
                    <w:bidi w:val="0"/>
                    <w:spacing w:beforeAutospacing="0" w:afterAutospacing="0" w:line="240" w:lineRule="auto"/>
                    <w:ind w:left="0" w:leftChars="0" w:firstLine="0" w:firstLineChars="0"/>
                    <w:jc w:val="center"/>
                    <w:rPr>
                      <w:color w:val="auto"/>
                      <w:sz w:val="18"/>
                      <w:szCs w:val="18"/>
                      <w:highlight w:val="none"/>
                    </w:rPr>
                  </w:pPr>
                </w:p>
              </w:tc>
              <w:tc>
                <w:tcPr>
                  <w:tcW w:w="1239" w:type="pct"/>
                  <w:vAlign w:val="center"/>
                </w:tcPr>
                <w:p>
                  <w:pPr>
                    <w:pageBreakBefore w:val="0"/>
                    <w:widowControl/>
                    <w:kinsoku/>
                    <w:wordWrap/>
                    <w:overflowPunct/>
                    <w:bidi w:val="0"/>
                    <w:spacing w:beforeAutospacing="0" w:afterAutospacing="0" w:line="240" w:lineRule="auto"/>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COD</w:t>
                  </w:r>
                </w:p>
              </w:tc>
              <w:tc>
                <w:tcPr>
                  <w:tcW w:w="2518" w:type="pct"/>
                  <w:vAlign w:val="center"/>
                </w:tcPr>
                <w:p>
                  <w:pPr>
                    <w:pageBreakBefore w:val="0"/>
                    <w:widowControl/>
                    <w:kinsoku/>
                    <w:wordWrap/>
                    <w:overflowPunct/>
                    <w:bidi w:val="0"/>
                    <w:spacing w:beforeAutospacing="0" w:afterAutospacing="0" w:line="240" w:lineRule="auto"/>
                    <w:jc w:val="center"/>
                    <w:rPr>
                      <w:color w:val="auto"/>
                      <w:sz w:val="18"/>
                      <w:szCs w:val="18"/>
                      <w:highlight w:val="none"/>
                    </w:rPr>
                  </w:pPr>
                  <w:r>
                    <w:rPr>
                      <w:color w:val="auto"/>
                      <w:sz w:val="18"/>
                      <w:szCs w:val="18"/>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jc w:val="center"/>
              </w:trPr>
              <w:tc>
                <w:tcPr>
                  <w:tcW w:w="1242" w:type="pct"/>
                  <w:vAlign w:val="center"/>
                </w:tcPr>
                <w:p>
                  <w:pPr>
                    <w:pageBreakBefore w:val="0"/>
                    <w:widowControl/>
                    <w:numPr>
                      <w:ilvl w:val="0"/>
                      <w:numId w:val="3"/>
                    </w:numPr>
                    <w:kinsoku/>
                    <w:wordWrap/>
                    <w:overflowPunct/>
                    <w:bidi w:val="0"/>
                    <w:spacing w:beforeAutospacing="0" w:afterAutospacing="0" w:line="240" w:lineRule="auto"/>
                    <w:ind w:left="0" w:leftChars="0" w:firstLine="0" w:firstLineChars="0"/>
                    <w:jc w:val="center"/>
                    <w:rPr>
                      <w:color w:val="auto"/>
                      <w:sz w:val="18"/>
                      <w:szCs w:val="18"/>
                      <w:highlight w:val="none"/>
                    </w:rPr>
                  </w:pPr>
                </w:p>
              </w:tc>
              <w:tc>
                <w:tcPr>
                  <w:tcW w:w="1239" w:type="pct"/>
                  <w:vAlign w:val="center"/>
                </w:tcPr>
                <w:p>
                  <w:pPr>
                    <w:pageBreakBefore w:val="0"/>
                    <w:widowControl/>
                    <w:kinsoku/>
                    <w:wordWrap/>
                    <w:overflowPunct/>
                    <w:bidi w:val="0"/>
                    <w:spacing w:beforeAutospacing="0" w:afterAutospacing="0" w:line="240" w:lineRule="auto"/>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BOD</w:t>
                  </w:r>
                  <w:r>
                    <w:rPr>
                      <w:color w:val="auto"/>
                      <w:sz w:val="18"/>
                      <w:szCs w:val="18"/>
                      <w:highlight w:val="none"/>
                      <w:vertAlign w:val="subscript"/>
                    </w:rPr>
                    <w:t>5</w:t>
                  </w:r>
                </w:p>
              </w:tc>
              <w:tc>
                <w:tcPr>
                  <w:tcW w:w="2518" w:type="pct"/>
                  <w:vAlign w:val="center"/>
                </w:tcPr>
                <w:p>
                  <w:pPr>
                    <w:pageBreakBefore w:val="0"/>
                    <w:widowControl/>
                    <w:kinsoku/>
                    <w:wordWrap/>
                    <w:overflowPunct/>
                    <w:bidi w:val="0"/>
                    <w:spacing w:beforeAutospacing="0" w:afterAutospacing="0" w:line="240" w:lineRule="auto"/>
                    <w:jc w:val="center"/>
                    <w:rPr>
                      <w:color w:val="auto"/>
                      <w:sz w:val="18"/>
                      <w:szCs w:val="18"/>
                      <w:highlight w:val="none"/>
                    </w:rPr>
                  </w:pPr>
                  <w:r>
                    <w:rPr>
                      <w:color w:val="auto"/>
                      <w:sz w:val="18"/>
                      <w:szCs w:val="18"/>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jc w:val="center"/>
              </w:trPr>
              <w:tc>
                <w:tcPr>
                  <w:tcW w:w="1242" w:type="pct"/>
                  <w:vAlign w:val="center"/>
                </w:tcPr>
                <w:p>
                  <w:pPr>
                    <w:pageBreakBefore w:val="0"/>
                    <w:widowControl/>
                    <w:numPr>
                      <w:ilvl w:val="0"/>
                      <w:numId w:val="3"/>
                    </w:numPr>
                    <w:kinsoku/>
                    <w:wordWrap/>
                    <w:overflowPunct/>
                    <w:bidi w:val="0"/>
                    <w:spacing w:beforeAutospacing="0" w:afterAutospacing="0" w:line="240" w:lineRule="auto"/>
                    <w:ind w:left="0" w:leftChars="0" w:firstLine="0" w:firstLineChars="0"/>
                    <w:jc w:val="center"/>
                    <w:rPr>
                      <w:color w:val="auto"/>
                      <w:sz w:val="18"/>
                      <w:szCs w:val="18"/>
                      <w:highlight w:val="none"/>
                    </w:rPr>
                  </w:pPr>
                </w:p>
              </w:tc>
              <w:tc>
                <w:tcPr>
                  <w:tcW w:w="1239" w:type="pct"/>
                  <w:vAlign w:val="center"/>
                </w:tcPr>
                <w:p>
                  <w:pPr>
                    <w:pageBreakBefore w:val="0"/>
                    <w:widowControl/>
                    <w:kinsoku/>
                    <w:wordWrap/>
                    <w:overflowPunct/>
                    <w:bidi w:val="0"/>
                    <w:spacing w:beforeAutospacing="0" w:afterAutospacing="0" w:line="240" w:lineRule="auto"/>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NH</w:t>
                  </w:r>
                  <w:r>
                    <w:rPr>
                      <w:color w:val="auto"/>
                      <w:sz w:val="18"/>
                      <w:szCs w:val="18"/>
                      <w:highlight w:val="none"/>
                      <w:vertAlign w:val="subscript"/>
                    </w:rPr>
                    <w:t>3</w:t>
                  </w:r>
                  <w:r>
                    <w:rPr>
                      <w:color w:val="auto"/>
                      <w:sz w:val="18"/>
                      <w:szCs w:val="18"/>
                      <w:highlight w:val="none"/>
                    </w:rPr>
                    <w:t>-N</w:t>
                  </w:r>
                </w:p>
              </w:tc>
              <w:tc>
                <w:tcPr>
                  <w:tcW w:w="2518" w:type="pct"/>
                  <w:vAlign w:val="center"/>
                </w:tcPr>
                <w:p>
                  <w:pPr>
                    <w:pageBreakBefore w:val="0"/>
                    <w:widowControl/>
                    <w:kinsoku/>
                    <w:wordWrap/>
                    <w:overflowPunct/>
                    <w:bidi w:val="0"/>
                    <w:spacing w:beforeAutospacing="0" w:afterAutospacing="0" w:line="240" w:lineRule="auto"/>
                    <w:jc w:val="center"/>
                    <w:rPr>
                      <w:color w:val="auto"/>
                      <w:sz w:val="18"/>
                      <w:szCs w:val="18"/>
                      <w:highlight w:val="none"/>
                    </w:rPr>
                  </w:pPr>
                  <w:r>
                    <w:rPr>
                      <w:color w:val="auto"/>
                      <w:sz w:val="18"/>
                      <w:szCs w:val="18"/>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jc w:val="center"/>
              </w:trPr>
              <w:tc>
                <w:tcPr>
                  <w:tcW w:w="1242" w:type="pct"/>
                  <w:vAlign w:val="center"/>
                </w:tcPr>
                <w:p>
                  <w:pPr>
                    <w:pageBreakBefore w:val="0"/>
                    <w:widowControl/>
                    <w:numPr>
                      <w:ilvl w:val="0"/>
                      <w:numId w:val="3"/>
                    </w:numPr>
                    <w:kinsoku/>
                    <w:wordWrap/>
                    <w:overflowPunct/>
                    <w:bidi w:val="0"/>
                    <w:spacing w:beforeAutospacing="0" w:afterAutospacing="0" w:line="240" w:lineRule="auto"/>
                    <w:ind w:left="0" w:leftChars="0" w:firstLine="0" w:firstLineChars="0"/>
                    <w:jc w:val="center"/>
                    <w:rPr>
                      <w:color w:val="auto"/>
                      <w:sz w:val="18"/>
                      <w:szCs w:val="18"/>
                      <w:highlight w:val="none"/>
                    </w:rPr>
                  </w:pPr>
                </w:p>
              </w:tc>
              <w:tc>
                <w:tcPr>
                  <w:tcW w:w="1239" w:type="pct"/>
                  <w:vAlign w:val="center"/>
                </w:tcPr>
                <w:p>
                  <w:pPr>
                    <w:pageBreakBefore w:val="0"/>
                    <w:widowControl/>
                    <w:kinsoku/>
                    <w:wordWrap/>
                    <w:overflowPunct/>
                    <w:bidi w:val="0"/>
                    <w:spacing w:beforeAutospacing="0" w:afterAutospacing="0" w:line="240" w:lineRule="auto"/>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总磷</w:t>
                  </w:r>
                </w:p>
              </w:tc>
              <w:tc>
                <w:tcPr>
                  <w:tcW w:w="2518" w:type="pct"/>
                  <w:vAlign w:val="center"/>
                </w:tcPr>
                <w:p>
                  <w:pPr>
                    <w:pageBreakBefore w:val="0"/>
                    <w:widowControl/>
                    <w:kinsoku/>
                    <w:wordWrap/>
                    <w:overflowPunct/>
                    <w:bidi w:val="0"/>
                    <w:spacing w:beforeAutospacing="0" w:afterAutospacing="0" w:line="240" w:lineRule="auto"/>
                    <w:jc w:val="center"/>
                    <w:rPr>
                      <w:color w:val="auto"/>
                      <w:sz w:val="18"/>
                      <w:szCs w:val="18"/>
                      <w:highlight w:val="none"/>
                    </w:rPr>
                  </w:pPr>
                  <w:r>
                    <w:rPr>
                      <w:color w:val="auto"/>
                      <w:sz w:val="18"/>
                      <w:szCs w:val="18"/>
                      <w:highlight w: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jc w:val="center"/>
              </w:trPr>
              <w:tc>
                <w:tcPr>
                  <w:tcW w:w="1242" w:type="pct"/>
                  <w:vAlign w:val="center"/>
                </w:tcPr>
                <w:p>
                  <w:pPr>
                    <w:pageBreakBefore w:val="0"/>
                    <w:widowControl/>
                    <w:numPr>
                      <w:ilvl w:val="0"/>
                      <w:numId w:val="3"/>
                    </w:numPr>
                    <w:kinsoku/>
                    <w:wordWrap/>
                    <w:overflowPunct/>
                    <w:bidi w:val="0"/>
                    <w:spacing w:beforeAutospacing="0" w:afterAutospacing="0" w:line="240" w:lineRule="auto"/>
                    <w:ind w:left="0" w:leftChars="0" w:firstLine="0" w:firstLineChars="0"/>
                    <w:jc w:val="center"/>
                    <w:rPr>
                      <w:color w:val="auto"/>
                      <w:sz w:val="18"/>
                      <w:szCs w:val="18"/>
                      <w:highlight w:val="none"/>
                    </w:rPr>
                  </w:pPr>
                </w:p>
              </w:tc>
              <w:tc>
                <w:tcPr>
                  <w:tcW w:w="1239" w:type="pct"/>
                  <w:vAlign w:val="center"/>
                </w:tcPr>
                <w:p>
                  <w:pPr>
                    <w:pageBreakBefore w:val="0"/>
                    <w:widowControl/>
                    <w:kinsoku/>
                    <w:wordWrap/>
                    <w:overflowPunct/>
                    <w:bidi w:val="0"/>
                    <w:spacing w:beforeAutospacing="0" w:afterAutospacing="0" w:line="240" w:lineRule="auto"/>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总氮</w:t>
                  </w:r>
                </w:p>
              </w:tc>
              <w:tc>
                <w:tcPr>
                  <w:tcW w:w="2518" w:type="pct"/>
                  <w:vAlign w:val="center"/>
                </w:tcPr>
                <w:p>
                  <w:pPr>
                    <w:pageBreakBefore w:val="0"/>
                    <w:widowControl/>
                    <w:kinsoku/>
                    <w:wordWrap/>
                    <w:overflowPunct/>
                    <w:bidi w:val="0"/>
                    <w:spacing w:beforeAutospacing="0" w:afterAutospacing="0" w:line="240" w:lineRule="auto"/>
                    <w:jc w:val="center"/>
                    <w:rPr>
                      <w:color w:val="auto"/>
                      <w:sz w:val="18"/>
                      <w:szCs w:val="18"/>
                      <w:highlight w:val="none"/>
                    </w:rPr>
                  </w:pPr>
                  <w:r>
                    <w:rPr>
                      <w:color w:val="auto"/>
                      <w:sz w:val="18"/>
                      <w:szCs w:val="18"/>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jc w:val="center"/>
              </w:trPr>
              <w:tc>
                <w:tcPr>
                  <w:tcW w:w="1242" w:type="pct"/>
                  <w:vAlign w:val="center"/>
                </w:tcPr>
                <w:p>
                  <w:pPr>
                    <w:pageBreakBefore w:val="0"/>
                    <w:widowControl/>
                    <w:numPr>
                      <w:ilvl w:val="0"/>
                      <w:numId w:val="3"/>
                    </w:numPr>
                    <w:kinsoku/>
                    <w:wordWrap/>
                    <w:overflowPunct/>
                    <w:bidi w:val="0"/>
                    <w:spacing w:beforeAutospacing="0" w:afterAutospacing="0" w:line="240" w:lineRule="auto"/>
                    <w:ind w:left="0" w:leftChars="0" w:firstLine="0" w:firstLineChars="0"/>
                    <w:jc w:val="center"/>
                    <w:rPr>
                      <w:color w:val="auto"/>
                      <w:sz w:val="18"/>
                      <w:szCs w:val="18"/>
                      <w:highlight w:val="none"/>
                    </w:rPr>
                  </w:pPr>
                </w:p>
              </w:tc>
              <w:tc>
                <w:tcPr>
                  <w:tcW w:w="1239" w:type="pct"/>
                  <w:vAlign w:val="center"/>
                </w:tcPr>
                <w:p>
                  <w:pPr>
                    <w:pageBreakBefore w:val="0"/>
                    <w:widowControl/>
                    <w:kinsoku/>
                    <w:wordWrap/>
                    <w:overflowPunct/>
                    <w:bidi w:val="0"/>
                    <w:spacing w:beforeAutospacing="0" w:afterAutospacing="0" w:line="240" w:lineRule="auto"/>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铜</w:t>
                  </w:r>
                </w:p>
              </w:tc>
              <w:tc>
                <w:tcPr>
                  <w:tcW w:w="2518" w:type="pct"/>
                  <w:vAlign w:val="center"/>
                </w:tcPr>
                <w:p>
                  <w:pPr>
                    <w:pageBreakBefore w:val="0"/>
                    <w:widowControl/>
                    <w:kinsoku/>
                    <w:wordWrap/>
                    <w:overflowPunct/>
                    <w:bidi w:val="0"/>
                    <w:spacing w:beforeAutospacing="0" w:afterAutospacing="0" w:line="240" w:lineRule="auto"/>
                    <w:jc w:val="center"/>
                    <w:rPr>
                      <w:color w:val="auto"/>
                      <w:sz w:val="18"/>
                      <w:szCs w:val="18"/>
                      <w:highlight w:val="none"/>
                    </w:rPr>
                  </w:pPr>
                  <w:r>
                    <w:rPr>
                      <w:color w:val="auto"/>
                      <w:sz w:val="18"/>
                      <w:szCs w:val="18"/>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jc w:val="center"/>
              </w:trPr>
              <w:tc>
                <w:tcPr>
                  <w:tcW w:w="1242" w:type="pct"/>
                  <w:vAlign w:val="center"/>
                </w:tcPr>
                <w:p>
                  <w:pPr>
                    <w:pageBreakBefore w:val="0"/>
                    <w:widowControl/>
                    <w:numPr>
                      <w:ilvl w:val="0"/>
                      <w:numId w:val="3"/>
                    </w:numPr>
                    <w:kinsoku/>
                    <w:wordWrap/>
                    <w:overflowPunct/>
                    <w:bidi w:val="0"/>
                    <w:spacing w:beforeAutospacing="0" w:afterAutospacing="0" w:line="240" w:lineRule="auto"/>
                    <w:ind w:left="0" w:leftChars="0" w:firstLine="0" w:firstLineChars="0"/>
                    <w:jc w:val="center"/>
                    <w:rPr>
                      <w:color w:val="auto"/>
                      <w:sz w:val="18"/>
                      <w:szCs w:val="18"/>
                      <w:highlight w:val="none"/>
                    </w:rPr>
                  </w:pPr>
                </w:p>
              </w:tc>
              <w:tc>
                <w:tcPr>
                  <w:tcW w:w="1239" w:type="pct"/>
                  <w:vAlign w:val="center"/>
                </w:tcPr>
                <w:p>
                  <w:pPr>
                    <w:pageBreakBefore w:val="0"/>
                    <w:widowControl/>
                    <w:kinsoku/>
                    <w:wordWrap/>
                    <w:overflowPunct/>
                    <w:bidi w:val="0"/>
                    <w:spacing w:beforeAutospacing="0" w:afterAutospacing="0" w:line="240" w:lineRule="auto"/>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锌</w:t>
                  </w:r>
                </w:p>
              </w:tc>
              <w:tc>
                <w:tcPr>
                  <w:tcW w:w="2518" w:type="pct"/>
                  <w:vAlign w:val="center"/>
                </w:tcPr>
                <w:p>
                  <w:pPr>
                    <w:pageBreakBefore w:val="0"/>
                    <w:kinsoku/>
                    <w:wordWrap/>
                    <w:overflowPunct/>
                    <w:bidi w:val="0"/>
                    <w:spacing w:beforeAutospacing="0" w:afterAutospacing="0" w:line="240" w:lineRule="auto"/>
                    <w:jc w:val="center"/>
                    <w:rPr>
                      <w:color w:val="auto"/>
                      <w:sz w:val="18"/>
                      <w:szCs w:val="18"/>
                      <w:highlight w:val="none"/>
                    </w:rPr>
                  </w:pPr>
                  <w:r>
                    <w:rPr>
                      <w:color w:val="auto"/>
                      <w:sz w:val="18"/>
                      <w:szCs w:val="18"/>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jc w:val="center"/>
              </w:trPr>
              <w:tc>
                <w:tcPr>
                  <w:tcW w:w="1242" w:type="pct"/>
                  <w:vAlign w:val="center"/>
                </w:tcPr>
                <w:p>
                  <w:pPr>
                    <w:pageBreakBefore w:val="0"/>
                    <w:widowControl/>
                    <w:numPr>
                      <w:ilvl w:val="0"/>
                      <w:numId w:val="3"/>
                    </w:numPr>
                    <w:kinsoku/>
                    <w:wordWrap/>
                    <w:overflowPunct/>
                    <w:bidi w:val="0"/>
                    <w:spacing w:beforeAutospacing="0" w:afterAutospacing="0" w:line="240" w:lineRule="auto"/>
                    <w:ind w:left="0" w:leftChars="0" w:firstLine="0" w:firstLineChars="0"/>
                    <w:jc w:val="center"/>
                    <w:rPr>
                      <w:color w:val="auto"/>
                      <w:sz w:val="18"/>
                      <w:szCs w:val="18"/>
                      <w:highlight w:val="none"/>
                    </w:rPr>
                  </w:pPr>
                </w:p>
              </w:tc>
              <w:tc>
                <w:tcPr>
                  <w:tcW w:w="1239" w:type="pct"/>
                  <w:vAlign w:val="center"/>
                </w:tcPr>
                <w:p>
                  <w:pPr>
                    <w:pageBreakBefore w:val="0"/>
                    <w:widowControl/>
                    <w:kinsoku/>
                    <w:wordWrap/>
                    <w:overflowPunct/>
                    <w:bidi w:val="0"/>
                    <w:spacing w:beforeAutospacing="0" w:afterAutospacing="0" w:line="240" w:lineRule="auto"/>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氟化物</w:t>
                  </w:r>
                </w:p>
              </w:tc>
              <w:tc>
                <w:tcPr>
                  <w:tcW w:w="2518" w:type="pct"/>
                  <w:vAlign w:val="center"/>
                </w:tcPr>
                <w:p>
                  <w:pPr>
                    <w:pageBreakBefore w:val="0"/>
                    <w:kinsoku/>
                    <w:wordWrap/>
                    <w:overflowPunct/>
                    <w:bidi w:val="0"/>
                    <w:spacing w:beforeAutospacing="0" w:afterAutospacing="0" w:line="240" w:lineRule="auto"/>
                    <w:jc w:val="center"/>
                    <w:rPr>
                      <w:color w:val="auto"/>
                      <w:sz w:val="18"/>
                      <w:szCs w:val="18"/>
                      <w:highlight w:val="none"/>
                    </w:rPr>
                  </w:pPr>
                  <w:r>
                    <w:rPr>
                      <w:color w:val="auto"/>
                      <w:sz w:val="18"/>
                      <w:szCs w:val="18"/>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jc w:val="center"/>
              </w:trPr>
              <w:tc>
                <w:tcPr>
                  <w:tcW w:w="1242" w:type="pct"/>
                  <w:vAlign w:val="center"/>
                </w:tcPr>
                <w:p>
                  <w:pPr>
                    <w:pageBreakBefore w:val="0"/>
                    <w:widowControl/>
                    <w:numPr>
                      <w:ilvl w:val="0"/>
                      <w:numId w:val="3"/>
                    </w:numPr>
                    <w:kinsoku/>
                    <w:wordWrap/>
                    <w:overflowPunct/>
                    <w:bidi w:val="0"/>
                    <w:spacing w:beforeAutospacing="0" w:afterAutospacing="0" w:line="240" w:lineRule="auto"/>
                    <w:ind w:left="0" w:leftChars="0" w:firstLine="0" w:firstLineChars="0"/>
                    <w:jc w:val="center"/>
                    <w:rPr>
                      <w:color w:val="auto"/>
                      <w:sz w:val="18"/>
                      <w:szCs w:val="18"/>
                      <w:highlight w:val="none"/>
                    </w:rPr>
                  </w:pPr>
                </w:p>
              </w:tc>
              <w:tc>
                <w:tcPr>
                  <w:tcW w:w="1239" w:type="pct"/>
                  <w:vAlign w:val="center"/>
                </w:tcPr>
                <w:p>
                  <w:pPr>
                    <w:pageBreakBefore w:val="0"/>
                    <w:widowControl/>
                    <w:kinsoku/>
                    <w:wordWrap/>
                    <w:overflowPunct/>
                    <w:bidi w:val="0"/>
                    <w:spacing w:beforeAutospacing="0" w:afterAutospacing="0" w:line="240" w:lineRule="auto"/>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硒</w:t>
                  </w:r>
                </w:p>
              </w:tc>
              <w:tc>
                <w:tcPr>
                  <w:tcW w:w="2518" w:type="pct"/>
                  <w:vAlign w:val="center"/>
                </w:tcPr>
                <w:p>
                  <w:pPr>
                    <w:pageBreakBefore w:val="0"/>
                    <w:kinsoku/>
                    <w:wordWrap/>
                    <w:overflowPunct/>
                    <w:bidi w:val="0"/>
                    <w:spacing w:beforeAutospacing="0" w:afterAutospacing="0" w:line="240" w:lineRule="auto"/>
                    <w:jc w:val="center"/>
                    <w:rPr>
                      <w:color w:val="auto"/>
                      <w:sz w:val="18"/>
                      <w:szCs w:val="18"/>
                      <w:highlight w:val="none"/>
                    </w:rPr>
                  </w:pPr>
                  <w:r>
                    <w:rPr>
                      <w:color w:val="auto"/>
                      <w:sz w:val="18"/>
                      <w:szCs w:val="18"/>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jc w:val="center"/>
              </w:trPr>
              <w:tc>
                <w:tcPr>
                  <w:tcW w:w="1242" w:type="pct"/>
                  <w:vAlign w:val="center"/>
                </w:tcPr>
                <w:p>
                  <w:pPr>
                    <w:pageBreakBefore w:val="0"/>
                    <w:widowControl/>
                    <w:numPr>
                      <w:ilvl w:val="0"/>
                      <w:numId w:val="3"/>
                    </w:numPr>
                    <w:kinsoku/>
                    <w:wordWrap/>
                    <w:overflowPunct/>
                    <w:bidi w:val="0"/>
                    <w:spacing w:beforeAutospacing="0" w:afterAutospacing="0" w:line="240" w:lineRule="auto"/>
                    <w:ind w:left="0" w:leftChars="0" w:firstLine="0" w:firstLineChars="0"/>
                    <w:jc w:val="center"/>
                    <w:rPr>
                      <w:color w:val="auto"/>
                      <w:sz w:val="18"/>
                      <w:szCs w:val="18"/>
                      <w:highlight w:val="none"/>
                    </w:rPr>
                  </w:pPr>
                </w:p>
              </w:tc>
              <w:tc>
                <w:tcPr>
                  <w:tcW w:w="1239" w:type="pct"/>
                  <w:vAlign w:val="center"/>
                </w:tcPr>
                <w:p>
                  <w:pPr>
                    <w:pageBreakBefore w:val="0"/>
                    <w:widowControl/>
                    <w:kinsoku/>
                    <w:wordWrap/>
                    <w:overflowPunct/>
                    <w:bidi w:val="0"/>
                    <w:spacing w:beforeAutospacing="0" w:afterAutospacing="0" w:line="240" w:lineRule="auto"/>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镉</w:t>
                  </w:r>
                </w:p>
              </w:tc>
              <w:tc>
                <w:tcPr>
                  <w:tcW w:w="2518" w:type="pct"/>
                  <w:vAlign w:val="center"/>
                </w:tcPr>
                <w:p>
                  <w:pPr>
                    <w:pageBreakBefore w:val="0"/>
                    <w:kinsoku/>
                    <w:wordWrap/>
                    <w:overflowPunct/>
                    <w:bidi w:val="0"/>
                    <w:spacing w:beforeAutospacing="0" w:afterAutospacing="0" w:line="240" w:lineRule="auto"/>
                    <w:jc w:val="center"/>
                    <w:rPr>
                      <w:color w:val="auto"/>
                      <w:sz w:val="18"/>
                      <w:szCs w:val="18"/>
                      <w:highlight w:val="none"/>
                    </w:rPr>
                  </w:pPr>
                  <w:r>
                    <w:rPr>
                      <w:color w:val="auto"/>
                      <w:sz w:val="18"/>
                      <w:szCs w:val="18"/>
                      <w:highlight w:val="none"/>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jc w:val="center"/>
              </w:trPr>
              <w:tc>
                <w:tcPr>
                  <w:tcW w:w="1242" w:type="pct"/>
                  <w:vAlign w:val="center"/>
                </w:tcPr>
                <w:p>
                  <w:pPr>
                    <w:pageBreakBefore w:val="0"/>
                    <w:widowControl/>
                    <w:numPr>
                      <w:ilvl w:val="0"/>
                      <w:numId w:val="3"/>
                    </w:numPr>
                    <w:kinsoku/>
                    <w:wordWrap/>
                    <w:overflowPunct/>
                    <w:bidi w:val="0"/>
                    <w:spacing w:beforeAutospacing="0" w:afterAutospacing="0" w:line="240" w:lineRule="auto"/>
                    <w:ind w:left="0" w:leftChars="0" w:firstLine="0" w:firstLineChars="0"/>
                    <w:jc w:val="center"/>
                    <w:rPr>
                      <w:color w:val="auto"/>
                      <w:sz w:val="18"/>
                      <w:szCs w:val="18"/>
                      <w:highlight w:val="none"/>
                    </w:rPr>
                  </w:pPr>
                </w:p>
              </w:tc>
              <w:tc>
                <w:tcPr>
                  <w:tcW w:w="1239" w:type="pct"/>
                  <w:vAlign w:val="center"/>
                </w:tcPr>
                <w:p>
                  <w:pPr>
                    <w:pageBreakBefore w:val="0"/>
                    <w:widowControl/>
                    <w:kinsoku/>
                    <w:wordWrap/>
                    <w:overflowPunct/>
                    <w:bidi w:val="0"/>
                    <w:spacing w:beforeAutospacing="0" w:afterAutospacing="0" w:line="240" w:lineRule="auto"/>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六价铬</w:t>
                  </w:r>
                </w:p>
              </w:tc>
              <w:tc>
                <w:tcPr>
                  <w:tcW w:w="2518" w:type="pct"/>
                  <w:vAlign w:val="center"/>
                </w:tcPr>
                <w:p>
                  <w:pPr>
                    <w:pageBreakBefore w:val="0"/>
                    <w:kinsoku/>
                    <w:wordWrap/>
                    <w:overflowPunct/>
                    <w:bidi w:val="0"/>
                    <w:spacing w:beforeAutospacing="0" w:afterAutospacing="0" w:line="240" w:lineRule="auto"/>
                    <w:jc w:val="center"/>
                    <w:rPr>
                      <w:color w:val="auto"/>
                      <w:sz w:val="18"/>
                      <w:szCs w:val="18"/>
                      <w:highlight w:val="none"/>
                    </w:rPr>
                  </w:pPr>
                  <w:r>
                    <w:rPr>
                      <w:color w:val="auto"/>
                      <w:sz w:val="18"/>
                      <w:szCs w:val="18"/>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jc w:val="center"/>
              </w:trPr>
              <w:tc>
                <w:tcPr>
                  <w:tcW w:w="1242" w:type="pct"/>
                  <w:vAlign w:val="center"/>
                </w:tcPr>
                <w:p>
                  <w:pPr>
                    <w:pageBreakBefore w:val="0"/>
                    <w:widowControl/>
                    <w:numPr>
                      <w:ilvl w:val="0"/>
                      <w:numId w:val="3"/>
                    </w:numPr>
                    <w:kinsoku/>
                    <w:wordWrap/>
                    <w:overflowPunct/>
                    <w:bidi w:val="0"/>
                    <w:spacing w:beforeAutospacing="0" w:afterAutospacing="0" w:line="240" w:lineRule="auto"/>
                    <w:ind w:left="0" w:leftChars="0" w:firstLine="0" w:firstLineChars="0"/>
                    <w:jc w:val="center"/>
                    <w:rPr>
                      <w:color w:val="auto"/>
                      <w:sz w:val="18"/>
                      <w:szCs w:val="18"/>
                      <w:highlight w:val="none"/>
                    </w:rPr>
                  </w:pPr>
                </w:p>
              </w:tc>
              <w:tc>
                <w:tcPr>
                  <w:tcW w:w="1239" w:type="pct"/>
                  <w:vAlign w:val="center"/>
                </w:tcPr>
                <w:p>
                  <w:pPr>
                    <w:pageBreakBefore w:val="0"/>
                    <w:widowControl/>
                    <w:kinsoku/>
                    <w:wordWrap/>
                    <w:overflowPunct/>
                    <w:bidi w:val="0"/>
                    <w:spacing w:beforeAutospacing="0" w:afterAutospacing="0" w:line="240" w:lineRule="auto"/>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汞</w:t>
                  </w:r>
                </w:p>
              </w:tc>
              <w:tc>
                <w:tcPr>
                  <w:tcW w:w="2518" w:type="pct"/>
                  <w:vAlign w:val="center"/>
                </w:tcPr>
                <w:p>
                  <w:pPr>
                    <w:pageBreakBefore w:val="0"/>
                    <w:kinsoku/>
                    <w:wordWrap/>
                    <w:overflowPunct/>
                    <w:bidi w:val="0"/>
                    <w:spacing w:beforeAutospacing="0" w:afterAutospacing="0" w:line="240" w:lineRule="auto"/>
                    <w:jc w:val="center"/>
                    <w:rPr>
                      <w:color w:val="auto"/>
                      <w:sz w:val="18"/>
                      <w:szCs w:val="18"/>
                      <w:highlight w:val="none"/>
                    </w:rPr>
                  </w:pPr>
                  <w:r>
                    <w:rPr>
                      <w:color w:val="auto"/>
                      <w:sz w:val="18"/>
                      <w:szCs w:val="18"/>
                      <w:highlight w:val="none"/>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jc w:val="center"/>
              </w:trPr>
              <w:tc>
                <w:tcPr>
                  <w:tcW w:w="1242" w:type="pct"/>
                  <w:vAlign w:val="center"/>
                </w:tcPr>
                <w:p>
                  <w:pPr>
                    <w:pageBreakBefore w:val="0"/>
                    <w:widowControl/>
                    <w:numPr>
                      <w:ilvl w:val="0"/>
                      <w:numId w:val="3"/>
                    </w:numPr>
                    <w:kinsoku/>
                    <w:wordWrap/>
                    <w:overflowPunct/>
                    <w:bidi w:val="0"/>
                    <w:spacing w:beforeAutospacing="0" w:afterAutospacing="0" w:line="240" w:lineRule="auto"/>
                    <w:ind w:left="0" w:leftChars="0" w:firstLine="0" w:firstLineChars="0"/>
                    <w:jc w:val="center"/>
                    <w:rPr>
                      <w:color w:val="auto"/>
                      <w:sz w:val="18"/>
                      <w:szCs w:val="18"/>
                      <w:highlight w:val="none"/>
                    </w:rPr>
                  </w:pPr>
                </w:p>
              </w:tc>
              <w:tc>
                <w:tcPr>
                  <w:tcW w:w="1239" w:type="pct"/>
                  <w:vAlign w:val="center"/>
                </w:tcPr>
                <w:p>
                  <w:pPr>
                    <w:pageBreakBefore w:val="0"/>
                    <w:widowControl/>
                    <w:kinsoku/>
                    <w:wordWrap/>
                    <w:overflowPunct/>
                    <w:bidi w:val="0"/>
                    <w:spacing w:beforeAutospacing="0" w:afterAutospacing="0" w:line="240" w:lineRule="auto"/>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砷</w:t>
                  </w:r>
                </w:p>
              </w:tc>
              <w:tc>
                <w:tcPr>
                  <w:tcW w:w="2518" w:type="pct"/>
                  <w:vAlign w:val="center"/>
                </w:tcPr>
                <w:p>
                  <w:pPr>
                    <w:pageBreakBefore w:val="0"/>
                    <w:kinsoku/>
                    <w:wordWrap/>
                    <w:overflowPunct/>
                    <w:bidi w:val="0"/>
                    <w:spacing w:beforeAutospacing="0" w:afterAutospacing="0" w:line="240" w:lineRule="auto"/>
                    <w:jc w:val="center"/>
                    <w:rPr>
                      <w:color w:val="auto"/>
                      <w:sz w:val="18"/>
                      <w:szCs w:val="18"/>
                      <w:highlight w:val="none"/>
                    </w:rPr>
                  </w:pPr>
                  <w:r>
                    <w:rPr>
                      <w:color w:val="auto"/>
                      <w:sz w:val="18"/>
                      <w:szCs w:val="18"/>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jc w:val="center"/>
              </w:trPr>
              <w:tc>
                <w:tcPr>
                  <w:tcW w:w="1242" w:type="pct"/>
                  <w:vAlign w:val="center"/>
                </w:tcPr>
                <w:p>
                  <w:pPr>
                    <w:pageBreakBefore w:val="0"/>
                    <w:widowControl/>
                    <w:numPr>
                      <w:ilvl w:val="0"/>
                      <w:numId w:val="3"/>
                    </w:numPr>
                    <w:kinsoku/>
                    <w:wordWrap/>
                    <w:overflowPunct/>
                    <w:bidi w:val="0"/>
                    <w:spacing w:beforeAutospacing="0" w:afterAutospacing="0" w:line="240" w:lineRule="auto"/>
                    <w:ind w:left="0" w:leftChars="0" w:firstLine="0" w:firstLineChars="0"/>
                    <w:jc w:val="center"/>
                    <w:rPr>
                      <w:color w:val="auto"/>
                      <w:sz w:val="18"/>
                      <w:szCs w:val="18"/>
                      <w:highlight w:val="none"/>
                    </w:rPr>
                  </w:pPr>
                </w:p>
              </w:tc>
              <w:tc>
                <w:tcPr>
                  <w:tcW w:w="1239" w:type="pct"/>
                  <w:vAlign w:val="center"/>
                </w:tcPr>
                <w:p>
                  <w:pPr>
                    <w:pageBreakBefore w:val="0"/>
                    <w:widowControl/>
                    <w:kinsoku/>
                    <w:wordWrap/>
                    <w:overflowPunct/>
                    <w:bidi w:val="0"/>
                    <w:spacing w:beforeAutospacing="0" w:afterAutospacing="0" w:line="240" w:lineRule="auto"/>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铅</w:t>
                  </w:r>
                </w:p>
              </w:tc>
              <w:tc>
                <w:tcPr>
                  <w:tcW w:w="2518" w:type="pct"/>
                  <w:vAlign w:val="center"/>
                </w:tcPr>
                <w:p>
                  <w:pPr>
                    <w:pageBreakBefore w:val="0"/>
                    <w:kinsoku/>
                    <w:wordWrap/>
                    <w:overflowPunct/>
                    <w:bidi w:val="0"/>
                    <w:spacing w:beforeAutospacing="0" w:afterAutospacing="0" w:line="240" w:lineRule="auto"/>
                    <w:jc w:val="center"/>
                    <w:rPr>
                      <w:color w:val="auto"/>
                      <w:sz w:val="18"/>
                      <w:szCs w:val="18"/>
                      <w:highlight w:val="none"/>
                    </w:rPr>
                  </w:pPr>
                  <w:r>
                    <w:rPr>
                      <w:color w:val="auto"/>
                      <w:sz w:val="18"/>
                      <w:szCs w:val="18"/>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jc w:val="center"/>
              </w:trPr>
              <w:tc>
                <w:tcPr>
                  <w:tcW w:w="1242" w:type="pct"/>
                  <w:vAlign w:val="center"/>
                </w:tcPr>
                <w:p>
                  <w:pPr>
                    <w:pageBreakBefore w:val="0"/>
                    <w:widowControl/>
                    <w:numPr>
                      <w:ilvl w:val="0"/>
                      <w:numId w:val="3"/>
                    </w:numPr>
                    <w:kinsoku/>
                    <w:wordWrap/>
                    <w:overflowPunct/>
                    <w:bidi w:val="0"/>
                    <w:spacing w:beforeAutospacing="0" w:afterAutospacing="0" w:line="240" w:lineRule="auto"/>
                    <w:ind w:left="0" w:leftChars="0" w:firstLine="0" w:firstLineChars="0"/>
                    <w:jc w:val="center"/>
                    <w:rPr>
                      <w:color w:val="auto"/>
                      <w:sz w:val="18"/>
                      <w:szCs w:val="18"/>
                      <w:highlight w:val="none"/>
                    </w:rPr>
                  </w:pPr>
                </w:p>
              </w:tc>
              <w:tc>
                <w:tcPr>
                  <w:tcW w:w="1239" w:type="pct"/>
                  <w:vAlign w:val="center"/>
                </w:tcPr>
                <w:p>
                  <w:pPr>
                    <w:pageBreakBefore w:val="0"/>
                    <w:widowControl/>
                    <w:kinsoku/>
                    <w:wordWrap/>
                    <w:overflowPunct/>
                    <w:bidi w:val="0"/>
                    <w:spacing w:beforeAutospacing="0" w:afterAutospacing="0" w:line="240" w:lineRule="auto"/>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氰化物</w:t>
                  </w:r>
                </w:p>
              </w:tc>
              <w:tc>
                <w:tcPr>
                  <w:tcW w:w="2518" w:type="pct"/>
                  <w:vAlign w:val="center"/>
                </w:tcPr>
                <w:p>
                  <w:pPr>
                    <w:pageBreakBefore w:val="0"/>
                    <w:kinsoku/>
                    <w:wordWrap/>
                    <w:overflowPunct/>
                    <w:bidi w:val="0"/>
                    <w:spacing w:beforeAutospacing="0" w:afterAutospacing="0" w:line="240" w:lineRule="auto"/>
                    <w:jc w:val="center"/>
                    <w:rPr>
                      <w:color w:val="auto"/>
                      <w:sz w:val="18"/>
                      <w:szCs w:val="18"/>
                      <w:highlight w:val="none"/>
                    </w:rPr>
                  </w:pPr>
                  <w:r>
                    <w:rPr>
                      <w:color w:val="auto"/>
                      <w:sz w:val="18"/>
                      <w:szCs w:val="18"/>
                      <w:highlight w: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jc w:val="center"/>
              </w:trPr>
              <w:tc>
                <w:tcPr>
                  <w:tcW w:w="1242" w:type="pct"/>
                  <w:vAlign w:val="center"/>
                </w:tcPr>
                <w:p>
                  <w:pPr>
                    <w:pageBreakBefore w:val="0"/>
                    <w:widowControl/>
                    <w:numPr>
                      <w:ilvl w:val="0"/>
                      <w:numId w:val="3"/>
                    </w:numPr>
                    <w:kinsoku/>
                    <w:wordWrap/>
                    <w:overflowPunct/>
                    <w:bidi w:val="0"/>
                    <w:spacing w:beforeAutospacing="0" w:afterAutospacing="0" w:line="240" w:lineRule="auto"/>
                    <w:ind w:left="0" w:leftChars="0" w:firstLine="0" w:firstLineChars="0"/>
                    <w:jc w:val="center"/>
                    <w:rPr>
                      <w:color w:val="auto"/>
                      <w:sz w:val="18"/>
                      <w:szCs w:val="18"/>
                      <w:highlight w:val="none"/>
                    </w:rPr>
                  </w:pPr>
                </w:p>
              </w:tc>
              <w:tc>
                <w:tcPr>
                  <w:tcW w:w="1239" w:type="pct"/>
                  <w:vAlign w:val="center"/>
                </w:tcPr>
                <w:p>
                  <w:pPr>
                    <w:pageBreakBefore w:val="0"/>
                    <w:widowControl/>
                    <w:kinsoku/>
                    <w:wordWrap/>
                    <w:overflowPunct/>
                    <w:bidi w:val="0"/>
                    <w:spacing w:beforeAutospacing="0" w:afterAutospacing="0" w:line="240" w:lineRule="auto"/>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挥发酚</w:t>
                  </w:r>
                </w:p>
              </w:tc>
              <w:tc>
                <w:tcPr>
                  <w:tcW w:w="2518" w:type="pct"/>
                  <w:vAlign w:val="center"/>
                </w:tcPr>
                <w:p>
                  <w:pPr>
                    <w:pageBreakBefore w:val="0"/>
                    <w:kinsoku/>
                    <w:wordWrap/>
                    <w:overflowPunct/>
                    <w:bidi w:val="0"/>
                    <w:spacing w:beforeAutospacing="0" w:afterAutospacing="0" w:line="240" w:lineRule="auto"/>
                    <w:jc w:val="center"/>
                    <w:rPr>
                      <w:color w:val="auto"/>
                      <w:sz w:val="18"/>
                      <w:szCs w:val="18"/>
                      <w:highlight w:val="none"/>
                    </w:rPr>
                  </w:pPr>
                  <w:r>
                    <w:rPr>
                      <w:color w:val="auto"/>
                      <w:sz w:val="18"/>
                      <w:szCs w:val="18"/>
                      <w:highlight w:val="none"/>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jc w:val="center"/>
              </w:trPr>
              <w:tc>
                <w:tcPr>
                  <w:tcW w:w="1242" w:type="pct"/>
                  <w:vAlign w:val="center"/>
                </w:tcPr>
                <w:p>
                  <w:pPr>
                    <w:pageBreakBefore w:val="0"/>
                    <w:widowControl/>
                    <w:numPr>
                      <w:ilvl w:val="0"/>
                      <w:numId w:val="3"/>
                    </w:numPr>
                    <w:kinsoku/>
                    <w:wordWrap/>
                    <w:overflowPunct/>
                    <w:bidi w:val="0"/>
                    <w:spacing w:beforeAutospacing="0" w:afterAutospacing="0" w:line="240" w:lineRule="auto"/>
                    <w:ind w:left="0" w:leftChars="0" w:firstLine="0" w:firstLineChars="0"/>
                    <w:jc w:val="center"/>
                    <w:rPr>
                      <w:color w:val="auto"/>
                      <w:sz w:val="18"/>
                      <w:szCs w:val="18"/>
                      <w:highlight w:val="none"/>
                    </w:rPr>
                  </w:pPr>
                </w:p>
              </w:tc>
              <w:tc>
                <w:tcPr>
                  <w:tcW w:w="1239" w:type="pct"/>
                  <w:vAlign w:val="center"/>
                </w:tcPr>
                <w:p>
                  <w:pPr>
                    <w:pageBreakBefore w:val="0"/>
                    <w:widowControl/>
                    <w:kinsoku/>
                    <w:wordWrap/>
                    <w:overflowPunct/>
                    <w:bidi w:val="0"/>
                    <w:spacing w:beforeAutospacing="0" w:afterAutospacing="0" w:line="240" w:lineRule="auto"/>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石油类</w:t>
                  </w:r>
                </w:p>
              </w:tc>
              <w:tc>
                <w:tcPr>
                  <w:tcW w:w="2518" w:type="pct"/>
                  <w:vAlign w:val="center"/>
                </w:tcPr>
                <w:p>
                  <w:pPr>
                    <w:pageBreakBefore w:val="0"/>
                    <w:kinsoku/>
                    <w:wordWrap/>
                    <w:overflowPunct/>
                    <w:bidi w:val="0"/>
                    <w:spacing w:beforeAutospacing="0" w:afterAutospacing="0" w:line="240" w:lineRule="auto"/>
                    <w:jc w:val="center"/>
                    <w:rPr>
                      <w:color w:val="auto"/>
                      <w:sz w:val="18"/>
                      <w:szCs w:val="18"/>
                      <w:highlight w:val="none"/>
                    </w:rPr>
                  </w:pPr>
                  <w:r>
                    <w:rPr>
                      <w:color w:val="auto"/>
                      <w:sz w:val="18"/>
                      <w:szCs w:val="18"/>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jc w:val="center"/>
              </w:trPr>
              <w:tc>
                <w:tcPr>
                  <w:tcW w:w="1242" w:type="pct"/>
                  <w:vAlign w:val="center"/>
                </w:tcPr>
                <w:p>
                  <w:pPr>
                    <w:pageBreakBefore w:val="0"/>
                    <w:widowControl/>
                    <w:numPr>
                      <w:ilvl w:val="0"/>
                      <w:numId w:val="3"/>
                    </w:numPr>
                    <w:kinsoku/>
                    <w:wordWrap/>
                    <w:overflowPunct/>
                    <w:bidi w:val="0"/>
                    <w:spacing w:beforeAutospacing="0" w:afterAutospacing="0" w:line="240" w:lineRule="auto"/>
                    <w:ind w:left="0" w:leftChars="0" w:firstLine="0" w:firstLineChars="0"/>
                    <w:jc w:val="center"/>
                    <w:rPr>
                      <w:color w:val="auto"/>
                      <w:sz w:val="18"/>
                      <w:szCs w:val="18"/>
                      <w:highlight w:val="none"/>
                    </w:rPr>
                  </w:pPr>
                </w:p>
              </w:tc>
              <w:tc>
                <w:tcPr>
                  <w:tcW w:w="1239" w:type="pct"/>
                  <w:vAlign w:val="center"/>
                </w:tcPr>
                <w:p>
                  <w:pPr>
                    <w:pageBreakBefore w:val="0"/>
                    <w:widowControl/>
                    <w:kinsoku/>
                    <w:wordWrap/>
                    <w:overflowPunct/>
                    <w:bidi w:val="0"/>
                    <w:spacing w:beforeAutospacing="0" w:afterAutospacing="0" w:line="240" w:lineRule="auto"/>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阴离子表面活性剂</w:t>
                  </w:r>
                </w:p>
              </w:tc>
              <w:tc>
                <w:tcPr>
                  <w:tcW w:w="2518" w:type="pct"/>
                  <w:vAlign w:val="center"/>
                </w:tcPr>
                <w:p>
                  <w:pPr>
                    <w:pageBreakBefore w:val="0"/>
                    <w:kinsoku/>
                    <w:wordWrap/>
                    <w:overflowPunct/>
                    <w:bidi w:val="0"/>
                    <w:spacing w:beforeAutospacing="0" w:afterAutospacing="0" w:line="240" w:lineRule="auto"/>
                    <w:jc w:val="center"/>
                    <w:rPr>
                      <w:color w:val="auto"/>
                      <w:sz w:val="18"/>
                      <w:szCs w:val="18"/>
                      <w:highlight w:val="none"/>
                    </w:rPr>
                  </w:pPr>
                  <w:r>
                    <w:rPr>
                      <w:color w:val="auto"/>
                      <w:sz w:val="18"/>
                      <w:szCs w:val="18"/>
                      <w:highlight w: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jc w:val="center"/>
              </w:trPr>
              <w:tc>
                <w:tcPr>
                  <w:tcW w:w="1242" w:type="pct"/>
                  <w:vAlign w:val="center"/>
                </w:tcPr>
                <w:p>
                  <w:pPr>
                    <w:pageBreakBefore w:val="0"/>
                    <w:widowControl/>
                    <w:numPr>
                      <w:ilvl w:val="0"/>
                      <w:numId w:val="3"/>
                    </w:numPr>
                    <w:kinsoku/>
                    <w:wordWrap/>
                    <w:overflowPunct/>
                    <w:bidi w:val="0"/>
                    <w:spacing w:beforeAutospacing="0" w:afterAutospacing="0" w:line="240" w:lineRule="auto"/>
                    <w:ind w:left="0" w:leftChars="0" w:firstLine="0" w:firstLineChars="0"/>
                    <w:jc w:val="center"/>
                    <w:rPr>
                      <w:color w:val="auto"/>
                      <w:sz w:val="18"/>
                      <w:szCs w:val="18"/>
                      <w:highlight w:val="none"/>
                    </w:rPr>
                  </w:pPr>
                </w:p>
              </w:tc>
              <w:tc>
                <w:tcPr>
                  <w:tcW w:w="1239" w:type="pct"/>
                  <w:vAlign w:val="center"/>
                </w:tcPr>
                <w:p>
                  <w:pPr>
                    <w:pageBreakBefore w:val="0"/>
                    <w:widowControl/>
                    <w:kinsoku/>
                    <w:wordWrap/>
                    <w:overflowPunct/>
                    <w:bidi w:val="0"/>
                    <w:spacing w:beforeAutospacing="0" w:afterAutospacing="0" w:line="240" w:lineRule="auto"/>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硫化物</w:t>
                  </w:r>
                </w:p>
              </w:tc>
              <w:tc>
                <w:tcPr>
                  <w:tcW w:w="2518" w:type="pct"/>
                  <w:vAlign w:val="center"/>
                </w:tcPr>
                <w:p>
                  <w:pPr>
                    <w:pageBreakBefore w:val="0"/>
                    <w:kinsoku/>
                    <w:wordWrap/>
                    <w:overflowPunct/>
                    <w:bidi w:val="0"/>
                    <w:spacing w:beforeAutospacing="0" w:afterAutospacing="0" w:line="240" w:lineRule="auto"/>
                    <w:jc w:val="center"/>
                    <w:rPr>
                      <w:color w:val="auto"/>
                      <w:sz w:val="18"/>
                      <w:szCs w:val="18"/>
                      <w:highlight w:val="none"/>
                    </w:rPr>
                  </w:pPr>
                  <w:r>
                    <w:rPr>
                      <w:color w:val="auto"/>
                      <w:sz w:val="18"/>
                      <w:szCs w:val="18"/>
                      <w:highlight w: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jc w:val="center"/>
              </w:trPr>
              <w:tc>
                <w:tcPr>
                  <w:tcW w:w="1242" w:type="pct"/>
                  <w:vAlign w:val="center"/>
                </w:tcPr>
                <w:p>
                  <w:pPr>
                    <w:pageBreakBefore w:val="0"/>
                    <w:widowControl/>
                    <w:numPr>
                      <w:ilvl w:val="0"/>
                      <w:numId w:val="3"/>
                    </w:numPr>
                    <w:kinsoku/>
                    <w:wordWrap/>
                    <w:overflowPunct/>
                    <w:bidi w:val="0"/>
                    <w:spacing w:beforeAutospacing="0" w:afterAutospacing="0" w:line="240" w:lineRule="auto"/>
                    <w:ind w:left="0" w:leftChars="0" w:firstLine="0" w:firstLineChars="0"/>
                    <w:jc w:val="center"/>
                    <w:rPr>
                      <w:color w:val="auto"/>
                      <w:sz w:val="18"/>
                      <w:szCs w:val="18"/>
                      <w:highlight w:val="none"/>
                    </w:rPr>
                  </w:pPr>
                </w:p>
              </w:tc>
              <w:tc>
                <w:tcPr>
                  <w:tcW w:w="1239" w:type="pct"/>
                  <w:vAlign w:val="center"/>
                </w:tcPr>
                <w:p>
                  <w:pPr>
                    <w:pageBreakBefore w:val="0"/>
                    <w:widowControl/>
                    <w:kinsoku/>
                    <w:wordWrap/>
                    <w:overflowPunct/>
                    <w:bidi w:val="0"/>
                    <w:spacing w:beforeAutospacing="0" w:afterAutospacing="0" w:line="240" w:lineRule="auto"/>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粪大肠杆菌</w:t>
                  </w:r>
                </w:p>
              </w:tc>
              <w:tc>
                <w:tcPr>
                  <w:tcW w:w="2518" w:type="pct"/>
                  <w:vAlign w:val="center"/>
                </w:tcPr>
                <w:p>
                  <w:pPr>
                    <w:pageBreakBefore w:val="0"/>
                    <w:kinsoku/>
                    <w:wordWrap/>
                    <w:overflowPunct/>
                    <w:bidi w:val="0"/>
                    <w:spacing w:beforeAutospacing="0" w:afterAutospacing="0" w:line="240" w:lineRule="auto"/>
                    <w:jc w:val="center"/>
                    <w:rPr>
                      <w:color w:val="auto"/>
                      <w:sz w:val="18"/>
                      <w:szCs w:val="18"/>
                      <w:highlight w:val="none"/>
                    </w:rPr>
                  </w:pPr>
                  <w:r>
                    <w:rPr>
                      <w:color w:val="auto"/>
                      <w:sz w:val="18"/>
                      <w:szCs w:val="18"/>
                      <w:highlight w:val="none"/>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jc w:val="center"/>
              </w:trPr>
              <w:tc>
                <w:tcPr>
                  <w:tcW w:w="1242" w:type="pct"/>
                  <w:vAlign w:val="center"/>
                </w:tcPr>
                <w:p>
                  <w:pPr>
                    <w:pageBreakBefore w:val="0"/>
                    <w:widowControl/>
                    <w:numPr>
                      <w:ilvl w:val="0"/>
                      <w:numId w:val="3"/>
                    </w:numPr>
                    <w:kinsoku/>
                    <w:wordWrap/>
                    <w:overflowPunct/>
                    <w:bidi w:val="0"/>
                    <w:spacing w:beforeAutospacing="0" w:afterAutospacing="0" w:line="240" w:lineRule="auto"/>
                    <w:ind w:left="0" w:leftChars="0" w:firstLine="0" w:firstLineChars="0"/>
                    <w:jc w:val="center"/>
                    <w:rPr>
                      <w:color w:val="auto"/>
                      <w:sz w:val="18"/>
                      <w:szCs w:val="18"/>
                      <w:highlight w:val="none"/>
                    </w:rPr>
                  </w:pPr>
                </w:p>
              </w:tc>
              <w:tc>
                <w:tcPr>
                  <w:tcW w:w="1239" w:type="pct"/>
                  <w:vAlign w:val="center"/>
                </w:tcPr>
                <w:p>
                  <w:pPr>
                    <w:pageBreakBefore w:val="0"/>
                    <w:widowControl/>
                    <w:kinsoku/>
                    <w:wordWrap/>
                    <w:overflowPunct/>
                    <w:bidi w:val="0"/>
                    <w:spacing w:beforeAutospacing="0" w:afterAutospacing="0" w:line="240" w:lineRule="auto"/>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硫酸盐</w:t>
                  </w:r>
                </w:p>
              </w:tc>
              <w:tc>
                <w:tcPr>
                  <w:tcW w:w="2518" w:type="pct"/>
                  <w:vAlign w:val="center"/>
                </w:tcPr>
                <w:p>
                  <w:pPr>
                    <w:pageBreakBefore w:val="0"/>
                    <w:kinsoku/>
                    <w:wordWrap/>
                    <w:overflowPunct/>
                    <w:bidi w:val="0"/>
                    <w:spacing w:beforeAutospacing="0" w:afterAutospacing="0" w:line="240" w:lineRule="auto"/>
                    <w:jc w:val="center"/>
                    <w:rPr>
                      <w:color w:val="auto"/>
                      <w:sz w:val="18"/>
                      <w:szCs w:val="18"/>
                      <w:highlight w:val="none"/>
                    </w:rPr>
                  </w:pPr>
                  <w:r>
                    <w:rPr>
                      <w:color w:val="auto"/>
                      <w:sz w:val="18"/>
                      <w:szCs w:val="18"/>
                      <w:highlight w:val="none"/>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jc w:val="center"/>
              </w:trPr>
              <w:tc>
                <w:tcPr>
                  <w:tcW w:w="1242" w:type="pct"/>
                  <w:vAlign w:val="center"/>
                </w:tcPr>
                <w:p>
                  <w:pPr>
                    <w:pageBreakBefore w:val="0"/>
                    <w:widowControl/>
                    <w:numPr>
                      <w:ilvl w:val="0"/>
                      <w:numId w:val="3"/>
                    </w:numPr>
                    <w:kinsoku/>
                    <w:wordWrap/>
                    <w:overflowPunct/>
                    <w:bidi w:val="0"/>
                    <w:spacing w:beforeAutospacing="0" w:afterAutospacing="0" w:line="240" w:lineRule="auto"/>
                    <w:ind w:left="0" w:leftChars="0" w:firstLine="0" w:firstLineChars="0"/>
                    <w:jc w:val="center"/>
                    <w:rPr>
                      <w:color w:val="auto"/>
                      <w:sz w:val="18"/>
                      <w:szCs w:val="18"/>
                      <w:highlight w:val="none"/>
                    </w:rPr>
                  </w:pPr>
                </w:p>
              </w:tc>
              <w:tc>
                <w:tcPr>
                  <w:tcW w:w="1239" w:type="pct"/>
                  <w:vAlign w:val="center"/>
                </w:tcPr>
                <w:p>
                  <w:pPr>
                    <w:pageBreakBefore w:val="0"/>
                    <w:widowControl/>
                    <w:kinsoku/>
                    <w:wordWrap/>
                    <w:overflowPunct/>
                    <w:bidi w:val="0"/>
                    <w:spacing w:beforeAutospacing="0" w:afterAutospacing="0" w:line="240" w:lineRule="auto"/>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硝酸盐氮</w:t>
                  </w:r>
                </w:p>
              </w:tc>
              <w:tc>
                <w:tcPr>
                  <w:tcW w:w="2518" w:type="pct"/>
                  <w:vAlign w:val="center"/>
                </w:tcPr>
                <w:p>
                  <w:pPr>
                    <w:pageBreakBefore w:val="0"/>
                    <w:kinsoku/>
                    <w:wordWrap/>
                    <w:overflowPunct/>
                    <w:bidi w:val="0"/>
                    <w:spacing w:beforeAutospacing="0" w:afterAutospacing="0" w:line="240" w:lineRule="auto"/>
                    <w:jc w:val="center"/>
                    <w:rPr>
                      <w:color w:val="auto"/>
                      <w:sz w:val="18"/>
                      <w:szCs w:val="18"/>
                      <w:highlight w:val="none"/>
                    </w:rPr>
                  </w:pPr>
                  <w:r>
                    <w:rPr>
                      <w:color w:val="auto"/>
                      <w:sz w:val="18"/>
                      <w:szCs w:val="18"/>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jc w:val="center"/>
              </w:trPr>
              <w:tc>
                <w:tcPr>
                  <w:tcW w:w="1242" w:type="pct"/>
                  <w:vAlign w:val="center"/>
                </w:tcPr>
                <w:p>
                  <w:pPr>
                    <w:pageBreakBefore w:val="0"/>
                    <w:widowControl/>
                    <w:numPr>
                      <w:ilvl w:val="0"/>
                      <w:numId w:val="3"/>
                    </w:numPr>
                    <w:kinsoku/>
                    <w:wordWrap/>
                    <w:overflowPunct/>
                    <w:bidi w:val="0"/>
                    <w:spacing w:beforeAutospacing="0" w:afterAutospacing="0" w:line="240" w:lineRule="auto"/>
                    <w:ind w:left="0" w:leftChars="0" w:firstLine="0" w:firstLineChars="0"/>
                    <w:jc w:val="center"/>
                    <w:rPr>
                      <w:color w:val="auto"/>
                      <w:sz w:val="18"/>
                      <w:szCs w:val="18"/>
                      <w:highlight w:val="none"/>
                    </w:rPr>
                  </w:pPr>
                </w:p>
              </w:tc>
              <w:tc>
                <w:tcPr>
                  <w:tcW w:w="1239" w:type="pct"/>
                  <w:vAlign w:val="center"/>
                </w:tcPr>
                <w:p>
                  <w:pPr>
                    <w:pageBreakBefore w:val="0"/>
                    <w:widowControl/>
                    <w:kinsoku/>
                    <w:wordWrap/>
                    <w:overflowPunct/>
                    <w:bidi w:val="0"/>
                    <w:spacing w:beforeAutospacing="0" w:afterAutospacing="0" w:line="240" w:lineRule="auto"/>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氯化物</w:t>
                  </w:r>
                </w:p>
              </w:tc>
              <w:tc>
                <w:tcPr>
                  <w:tcW w:w="2518" w:type="pct"/>
                  <w:vAlign w:val="center"/>
                </w:tcPr>
                <w:p>
                  <w:pPr>
                    <w:pageBreakBefore w:val="0"/>
                    <w:kinsoku/>
                    <w:wordWrap/>
                    <w:overflowPunct/>
                    <w:bidi w:val="0"/>
                    <w:spacing w:beforeAutospacing="0" w:afterAutospacing="0" w:line="240" w:lineRule="auto"/>
                    <w:jc w:val="center"/>
                    <w:rPr>
                      <w:color w:val="auto"/>
                      <w:sz w:val="18"/>
                      <w:szCs w:val="18"/>
                      <w:highlight w:val="none"/>
                    </w:rPr>
                  </w:pPr>
                  <w:r>
                    <w:rPr>
                      <w:color w:val="auto"/>
                      <w:sz w:val="18"/>
                      <w:szCs w:val="18"/>
                      <w:highlight w:val="none"/>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jc w:val="center"/>
              </w:trPr>
              <w:tc>
                <w:tcPr>
                  <w:tcW w:w="1242" w:type="pct"/>
                  <w:vAlign w:val="center"/>
                </w:tcPr>
                <w:p>
                  <w:pPr>
                    <w:pageBreakBefore w:val="0"/>
                    <w:widowControl/>
                    <w:numPr>
                      <w:ilvl w:val="0"/>
                      <w:numId w:val="3"/>
                    </w:numPr>
                    <w:kinsoku/>
                    <w:wordWrap/>
                    <w:overflowPunct/>
                    <w:bidi w:val="0"/>
                    <w:spacing w:beforeAutospacing="0" w:afterAutospacing="0" w:line="240" w:lineRule="auto"/>
                    <w:ind w:left="0" w:leftChars="0" w:firstLine="0" w:firstLineChars="0"/>
                    <w:jc w:val="center"/>
                    <w:rPr>
                      <w:color w:val="auto"/>
                      <w:sz w:val="18"/>
                      <w:szCs w:val="18"/>
                      <w:highlight w:val="none"/>
                    </w:rPr>
                  </w:pPr>
                </w:p>
              </w:tc>
              <w:tc>
                <w:tcPr>
                  <w:tcW w:w="1239" w:type="pct"/>
                  <w:vAlign w:val="center"/>
                </w:tcPr>
                <w:p>
                  <w:pPr>
                    <w:pageBreakBefore w:val="0"/>
                    <w:widowControl/>
                    <w:kinsoku/>
                    <w:wordWrap/>
                    <w:overflowPunct/>
                    <w:bidi w:val="0"/>
                    <w:spacing w:beforeAutospacing="0" w:afterAutospacing="0" w:line="240" w:lineRule="auto"/>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锰</w:t>
                  </w:r>
                </w:p>
              </w:tc>
              <w:tc>
                <w:tcPr>
                  <w:tcW w:w="2518" w:type="pct"/>
                  <w:vAlign w:val="center"/>
                </w:tcPr>
                <w:p>
                  <w:pPr>
                    <w:pageBreakBefore w:val="0"/>
                    <w:kinsoku/>
                    <w:wordWrap/>
                    <w:overflowPunct/>
                    <w:bidi w:val="0"/>
                    <w:spacing w:beforeAutospacing="0" w:afterAutospacing="0" w:line="240" w:lineRule="auto"/>
                    <w:jc w:val="center"/>
                    <w:rPr>
                      <w:color w:val="auto"/>
                      <w:sz w:val="18"/>
                      <w:szCs w:val="18"/>
                      <w:highlight w:val="none"/>
                    </w:rPr>
                  </w:pPr>
                  <w:r>
                    <w:rPr>
                      <w:color w:val="auto"/>
                      <w:sz w:val="18"/>
                      <w:szCs w:val="18"/>
                      <w:highlight w:val="none"/>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jc w:val="center"/>
              </w:trPr>
              <w:tc>
                <w:tcPr>
                  <w:tcW w:w="1242" w:type="pct"/>
                  <w:vAlign w:val="center"/>
                </w:tcPr>
                <w:p>
                  <w:pPr>
                    <w:pageBreakBefore w:val="0"/>
                    <w:widowControl/>
                    <w:numPr>
                      <w:ilvl w:val="0"/>
                      <w:numId w:val="3"/>
                    </w:numPr>
                    <w:kinsoku/>
                    <w:wordWrap/>
                    <w:overflowPunct/>
                    <w:bidi w:val="0"/>
                    <w:spacing w:beforeAutospacing="0" w:afterAutospacing="0" w:line="240" w:lineRule="auto"/>
                    <w:ind w:left="0" w:leftChars="0" w:firstLine="0" w:firstLineChars="0"/>
                    <w:jc w:val="center"/>
                    <w:rPr>
                      <w:color w:val="auto"/>
                      <w:sz w:val="18"/>
                      <w:szCs w:val="18"/>
                      <w:highlight w:val="none"/>
                    </w:rPr>
                  </w:pPr>
                </w:p>
              </w:tc>
              <w:tc>
                <w:tcPr>
                  <w:tcW w:w="1239" w:type="pct"/>
                  <w:vAlign w:val="center"/>
                </w:tcPr>
                <w:p>
                  <w:pPr>
                    <w:pageBreakBefore w:val="0"/>
                    <w:widowControl/>
                    <w:kinsoku/>
                    <w:wordWrap/>
                    <w:overflowPunct/>
                    <w:bidi w:val="0"/>
                    <w:spacing w:beforeAutospacing="0" w:afterAutospacing="0" w:line="240" w:lineRule="auto"/>
                    <w:jc w:val="center"/>
                    <w:rPr>
                      <w:rFonts w:ascii="Times New Roman" w:hAnsi="Times New Roman" w:eastAsia="宋体" w:cs="Times New Roman"/>
                      <w:color w:val="auto"/>
                      <w:kern w:val="2"/>
                      <w:sz w:val="18"/>
                      <w:szCs w:val="18"/>
                      <w:highlight w:val="none"/>
                      <w:lang w:val="en-US" w:eastAsia="zh-CN" w:bidi="ar-SA"/>
                    </w:rPr>
                  </w:pPr>
                  <w:r>
                    <w:rPr>
                      <w:color w:val="auto"/>
                      <w:sz w:val="18"/>
                      <w:szCs w:val="18"/>
                      <w:highlight w:val="none"/>
                    </w:rPr>
                    <w:t>铁</w:t>
                  </w:r>
                </w:p>
              </w:tc>
              <w:tc>
                <w:tcPr>
                  <w:tcW w:w="2518" w:type="pct"/>
                  <w:vAlign w:val="center"/>
                </w:tcPr>
                <w:p>
                  <w:pPr>
                    <w:pageBreakBefore w:val="0"/>
                    <w:kinsoku/>
                    <w:wordWrap/>
                    <w:overflowPunct/>
                    <w:bidi w:val="0"/>
                    <w:spacing w:beforeAutospacing="0" w:afterAutospacing="0" w:line="240" w:lineRule="auto"/>
                    <w:jc w:val="center"/>
                    <w:rPr>
                      <w:color w:val="auto"/>
                      <w:sz w:val="18"/>
                      <w:szCs w:val="18"/>
                      <w:highlight w:val="none"/>
                    </w:rPr>
                  </w:pPr>
                  <w:r>
                    <w:rPr>
                      <w:color w:val="auto"/>
                      <w:sz w:val="18"/>
                      <w:szCs w:val="18"/>
                      <w:highlight w:val="none"/>
                    </w:rPr>
                    <w:t>≤0.3</w:t>
                  </w:r>
                </w:p>
              </w:tc>
            </w:tr>
          </w:tbl>
          <w:p>
            <w:pPr>
              <w:adjustRightInd w:val="0"/>
              <w:snapToGrid w:val="0"/>
              <w:spacing w:line="360" w:lineRule="auto"/>
              <w:ind w:firstLine="420"/>
              <w:rPr>
                <w:color w:val="auto"/>
                <w:szCs w:val="21"/>
                <w:highlight w:val="none"/>
              </w:rPr>
            </w:pPr>
            <w:r>
              <w:rPr>
                <w:color w:val="auto"/>
                <w:kern w:val="0"/>
                <w:szCs w:val="21"/>
                <w:highlight w:val="none"/>
              </w:rPr>
              <w:t>（3）</w:t>
            </w:r>
            <w:r>
              <w:rPr>
                <w:color w:val="auto"/>
                <w:szCs w:val="21"/>
                <w:highlight w:val="none"/>
              </w:rPr>
              <w:t>声环境质量标准</w:t>
            </w:r>
          </w:p>
          <w:p>
            <w:pPr>
              <w:pStyle w:val="9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color w:val="auto"/>
                <w:sz w:val="21"/>
                <w:szCs w:val="21"/>
                <w:highlight w:val="none"/>
              </w:rPr>
            </w:pPr>
            <w:r>
              <w:rPr>
                <w:rFonts w:hint="eastAsia"/>
                <w:color w:val="auto"/>
                <w:sz w:val="21"/>
                <w:szCs w:val="21"/>
                <w:highlight w:val="none"/>
              </w:rPr>
              <w:t>项目所在地</w:t>
            </w:r>
            <w:r>
              <w:rPr>
                <w:rFonts w:hint="eastAsia"/>
                <w:color w:val="auto"/>
                <w:sz w:val="21"/>
                <w:szCs w:val="21"/>
                <w:highlight w:val="none"/>
                <w:lang w:val="en-US" w:eastAsia="zh-CN"/>
              </w:rPr>
              <w:t>位于胡家镇花池社区，未划分</w:t>
            </w:r>
            <w:r>
              <w:rPr>
                <w:rFonts w:hint="eastAsia"/>
                <w:color w:val="auto"/>
                <w:sz w:val="21"/>
                <w:szCs w:val="21"/>
                <w:highlight w:val="none"/>
              </w:rPr>
              <w:t>声环境功能区</w:t>
            </w:r>
            <w:r>
              <w:rPr>
                <w:rFonts w:hint="eastAsia"/>
                <w:color w:val="auto"/>
                <w:sz w:val="21"/>
                <w:szCs w:val="21"/>
                <w:highlight w:val="none"/>
                <w:lang w:eastAsia="zh-CN"/>
              </w:rPr>
              <w:t>。</w:t>
            </w:r>
            <w:r>
              <w:rPr>
                <w:rFonts w:hint="eastAsia"/>
                <w:color w:val="auto"/>
                <w:sz w:val="21"/>
                <w:szCs w:val="21"/>
                <w:highlight w:val="none"/>
                <w:lang w:val="en-US" w:eastAsia="zh-CN"/>
              </w:rPr>
              <w:t>项目所在地为乡村地区，属于1类区，</w:t>
            </w:r>
            <w:r>
              <w:rPr>
                <w:rFonts w:hint="eastAsia"/>
                <w:color w:val="auto"/>
                <w:sz w:val="21"/>
                <w:szCs w:val="21"/>
                <w:highlight w:val="none"/>
              </w:rPr>
              <w:t>声环境质量现状执行</w:t>
            </w:r>
            <w:r>
              <w:rPr>
                <w:color w:val="auto"/>
                <w:sz w:val="21"/>
                <w:szCs w:val="21"/>
                <w:highlight w:val="none"/>
              </w:rPr>
              <w:t>《声环境质量标准》（GB3096-2008）中的</w:t>
            </w:r>
            <w:r>
              <w:rPr>
                <w:rFonts w:hint="eastAsia"/>
                <w:color w:val="auto"/>
                <w:sz w:val="21"/>
                <w:szCs w:val="21"/>
                <w:highlight w:val="none"/>
                <w:lang w:val="en-US" w:eastAsia="zh-CN"/>
              </w:rPr>
              <w:t>1</w:t>
            </w:r>
            <w:r>
              <w:rPr>
                <w:rFonts w:hint="eastAsia"/>
                <w:color w:val="auto"/>
                <w:sz w:val="21"/>
                <w:szCs w:val="21"/>
                <w:highlight w:val="none"/>
              </w:rPr>
              <w:t>类标准。环境质量标准限值见表</w:t>
            </w:r>
            <w:r>
              <w:rPr>
                <w:rFonts w:hint="eastAsia"/>
                <w:color w:val="auto"/>
                <w:sz w:val="21"/>
                <w:szCs w:val="21"/>
                <w:highlight w:val="none"/>
                <w:lang w:val="en-US" w:eastAsia="zh-CN"/>
              </w:rPr>
              <w:t>3.4.1-3</w:t>
            </w:r>
            <w:r>
              <w:rPr>
                <w:rFonts w:hint="eastAsia"/>
                <w:color w:val="auto"/>
                <w:sz w:val="21"/>
                <w:szCs w:val="21"/>
                <w:highlight w:val="none"/>
                <w:lang w:eastAsia="zh-CN"/>
              </w:rPr>
              <w:t>。</w:t>
            </w:r>
          </w:p>
          <w:p>
            <w:pPr>
              <w:pStyle w:val="90"/>
              <w:keepNext w:val="0"/>
              <w:keepLines w:val="0"/>
              <w:pageBreakBefore w:val="0"/>
              <w:widowControl w:val="0"/>
              <w:kinsoku/>
              <w:wordWrap/>
              <w:overflowPunct/>
              <w:topLinePunct w:val="0"/>
              <w:autoSpaceDE/>
              <w:autoSpaceDN/>
              <w:bidi w:val="0"/>
              <w:adjustRightInd w:val="0"/>
              <w:snapToGrid w:val="0"/>
              <w:spacing w:line="360" w:lineRule="auto"/>
              <w:ind w:firstLine="480"/>
              <w:jc w:val="center"/>
              <w:textAlignment w:val="auto"/>
              <w:rPr>
                <w:rFonts w:hint="default" w:ascii="Times New Roman" w:hAnsi="Times New Roman" w:cs="Times New Roman"/>
                <w:b w:val="0"/>
                <w:bCs w:val="0"/>
                <w:color w:val="auto"/>
                <w:sz w:val="21"/>
                <w:szCs w:val="21"/>
                <w:highlight w:val="none"/>
              </w:rPr>
            </w:pPr>
            <w:r>
              <w:rPr>
                <w:rFonts w:ascii="Times New Roman" w:hAnsi="Times New Roman" w:eastAsia="宋体" w:cs="Times New Roman"/>
                <w:b w:val="0"/>
                <w:bCs w:val="0"/>
                <w:snapToGrid/>
                <w:color w:val="auto"/>
                <w:sz w:val="21"/>
                <w:szCs w:val="21"/>
                <w:highlight w:val="none"/>
              </w:rPr>
              <w:t>表</w:t>
            </w:r>
            <w:r>
              <w:rPr>
                <w:rFonts w:hint="default" w:ascii="Times New Roman" w:hAnsi="Times New Roman" w:eastAsia="宋体" w:cs="Times New Roman"/>
                <w:b w:val="0"/>
                <w:bCs w:val="0"/>
                <w:snapToGrid/>
                <w:color w:val="auto"/>
                <w:sz w:val="21"/>
                <w:szCs w:val="21"/>
                <w:highlight w:val="none"/>
              </w:rPr>
              <w:t>3</w:t>
            </w:r>
            <w:r>
              <w:rPr>
                <w:rFonts w:hint="eastAsia" w:cs="Times New Roman"/>
                <w:b w:val="0"/>
                <w:bCs w:val="0"/>
                <w:snapToGrid/>
                <w:color w:val="auto"/>
                <w:sz w:val="21"/>
                <w:szCs w:val="21"/>
                <w:highlight w:val="none"/>
                <w:lang w:val="en-US" w:eastAsia="zh-CN"/>
              </w:rPr>
              <w:t>.4.1</w:t>
            </w:r>
            <w:r>
              <w:rPr>
                <w:rFonts w:hint="default" w:ascii="Times New Roman" w:hAnsi="Times New Roman" w:eastAsia="宋体" w:cs="Times New Roman"/>
                <w:b w:val="0"/>
                <w:bCs w:val="0"/>
                <w:snapToGrid/>
                <w:color w:val="auto"/>
                <w:sz w:val="21"/>
                <w:szCs w:val="21"/>
                <w:highlight w:val="none"/>
              </w:rPr>
              <w:t>-</w:t>
            </w:r>
            <w:r>
              <w:rPr>
                <w:rFonts w:hint="eastAsia" w:ascii="Times New Roman" w:hAnsi="Times New Roman" w:eastAsia="宋体" w:cs="Times New Roman"/>
                <w:b w:val="0"/>
                <w:bCs w:val="0"/>
                <w:snapToGrid/>
                <w:color w:val="auto"/>
                <w:sz w:val="21"/>
                <w:szCs w:val="21"/>
                <w:highlight w:val="none"/>
                <w:lang w:val="en-US" w:eastAsia="zh-CN"/>
              </w:rPr>
              <w:t>3</w:t>
            </w:r>
            <w:r>
              <w:rPr>
                <w:rFonts w:hint="default" w:ascii="Times New Roman" w:hAnsi="Times New Roman" w:eastAsia="宋体" w:cs="Times New Roman"/>
                <w:b w:val="0"/>
                <w:bCs w:val="0"/>
                <w:snapToGrid/>
                <w:color w:val="auto"/>
                <w:sz w:val="21"/>
                <w:szCs w:val="21"/>
                <w:highlight w:val="none"/>
              </w:rPr>
              <w:t>《声环境质量标准》（GB3096-2008）</w:t>
            </w:r>
            <w:r>
              <w:rPr>
                <w:rFonts w:ascii="Times New Roman" w:hAnsi="Times New Roman" w:eastAsia="宋体" w:cs="Times New Roman"/>
                <w:b w:val="0"/>
                <w:bCs w:val="0"/>
                <w:snapToGrid/>
                <w:color w:val="auto"/>
                <w:spacing w:val="8"/>
                <w:sz w:val="21"/>
                <w:szCs w:val="21"/>
                <w:highlight w:val="none"/>
              </w:rPr>
              <w:t xml:space="preserve">    单位：dB</w:t>
            </w:r>
            <w:r>
              <w:rPr>
                <w:rFonts w:hint="default" w:ascii="Times New Roman" w:hAnsi="Times New Roman" w:eastAsia="宋体" w:cs="Times New Roman"/>
                <w:b w:val="0"/>
                <w:bCs w:val="0"/>
                <w:snapToGrid/>
                <w:color w:val="auto"/>
                <w:spacing w:val="8"/>
                <w:sz w:val="21"/>
                <w:szCs w:val="21"/>
                <w:highlight w:val="none"/>
              </w:rPr>
              <w:t>（A）</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8"/>
              <w:gridCol w:w="2658"/>
              <w:gridCol w:w="2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2658" w:type="dxa"/>
                  <w:tcBorders>
                    <w:top w:val="single" w:color="auto" w:sz="4" w:space="0"/>
                    <w:left w:val="single" w:color="auto" w:sz="4" w:space="0"/>
                    <w:bottom w:val="single" w:color="auto" w:sz="4" w:space="0"/>
                    <w:right w:val="single" w:color="auto" w:sz="4" w:space="0"/>
                  </w:tcBorders>
                  <w:vAlign w:val="center"/>
                </w:tcPr>
                <w:p>
                  <w:pPr>
                    <w:pStyle w:val="90"/>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 w:val="21"/>
                      <w:szCs w:val="21"/>
                      <w:highlight w:val="none"/>
                      <w:vertAlign w:val="baseline"/>
                      <w:lang w:eastAsia="zh-CN"/>
                    </w:rPr>
                  </w:pPr>
                  <w:r>
                    <w:rPr>
                      <w:rFonts w:hint="eastAsia"/>
                      <w:color w:val="auto"/>
                      <w:sz w:val="21"/>
                      <w:szCs w:val="21"/>
                      <w:highlight w:val="none"/>
                      <w:vertAlign w:val="baseline"/>
                      <w:lang w:eastAsia="zh-CN"/>
                    </w:rPr>
                    <w:t>类别</w:t>
                  </w:r>
                </w:p>
              </w:tc>
              <w:tc>
                <w:tcPr>
                  <w:tcW w:w="2658" w:type="dxa"/>
                  <w:tcBorders>
                    <w:top w:val="single" w:color="auto" w:sz="4" w:space="0"/>
                    <w:left w:val="single" w:color="auto" w:sz="4" w:space="0"/>
                    <w:bottom w:val="single" w:color="auto" w:sz="4" w:space="0"/>
                    <w:right w:val="single" w:color="auto" w:sz="4" w:space="0"/>
                  </w:tcBorders>
                  <w:vAlign w:val="center"/>
                </w:tcPr>
                <w:p>
                  <w:pPr>
                    <w:pStyle w:val="90"/>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 w:val="21"/>
                      <w:szCs w:val="21"/>
                      <w:highlight w:val="none"/>
                      <w:vertAlign w:val="baseline"/>
                      <w:lang w:eastAsia="zh-CN"/>
                    </w:rPr>
                  </w:pPr>
                  <w:r>
                    <w:rPr>
                      <w:rFonts w:hint="eastAsia"/>
                      <w:color w:val="auto"/>
                      <w:sz w:val="21"/>
                      <w:szCs w:val="21"/>
                      <w:highlight w:val="none"/>
                      <w:vertAlign w:val="baseline"/>
                      <w:lang w:eastAsia="zh-CN"/>
                    </w:rPr>
                    <w:t>昼间</w:t>
                  </w:r>
                </w:p>
              </w:tc>
              <w:tc>
                <w:tcPr>
                  <w:tcW w:w="2658" w:type="dxa"/>
                  <w:tcBorders>
                    <w:top w:val="single" w:color="auto" w:sz="4" w:space="0"/>
                    <w:left w:val="single" w:color="auto" w:sz="4" w:space="0"/>
                    <w:bottom w:val="single" w:color="auto" w:sz="4" w:space="0"/>
                    <w:right w:val="single" w:color="auto" w:sz="4" w:space="0"/>
                  </w:tcBorders>
                  <w:vAlign w:val="center"/>
                </w:tcPr>
                <w:p>
                  <w:pPr>
                    <w:pStyle w:val="90"/>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 w:val="21"/>
                      <w:szCs w:val="21"/>
                      <w:highlight w:val="none"/>
                      <w:vertAlign w:val="baseline"/>
                      <w:lang w:eastAsia="zh-CN"/>
                    </w:rPr>
                  </w:pPr>
                  <w:r>
                    <w:rPr>
                      <w:rFonts w:hint="eastAsia"/>
                      <w:color w:val="auto"/>
                      <w:sz w:val="21"/>
                      <w:szCs w:val="21"/>
                      <w:highlight w:val="none"/>
                      <w:vertAlign w:val="baseline"/>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658" w:type="dxa"/>
                  <w:tcBorders>
                    <w:top w:val="single" w:color="auto" w:sz="4" w:space="0"/>
                    <w:left w:val="single" w:color="auto" w:sz="4" w:space="0"/>
                    <w:bottom w:val="single" w:color="auto" w:sz="4" w:space="0"/>
                    <w:right w:val="single" w:color="auto" w:sz="4" w:space="0"/>
                  </w:tcBorders>
                  <w:vAlign w:val="center"/>
                </w:tcPr>
                <w:p>
                  <w:pPr>
                    <w:pStyle w:val="90"/>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1类</w:t>
                  </w:r>
                </w:p>
              </w:tc>
              <w:tc>
                <w:tcPr>
                  <w:tcW w:w="2658" w:type="dxa"/>
                  <w:tcBorders>
                    <w:top w:val="single" w:color="auto" w:sz="4" w:space="0"/>
                    <w:left w:val="single" w:color="auto" w:sz="4" w:space="0"/>
                    <w:bottom w:val="single" w:color="auto" w:sz="4" w:space="0"/>
                    <w:right w:val="single" w:color="auto" w:sz="4" w:space="0"/>
                  </w:tcBorders>
                  <w:vAlign w:val="center"/>
                </w:tcPr>
                <w:p>
                  <w:pPr>
                    <w:pStyle w:val="90"/>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55</w:t>
                  </w:r>
                </w:p>
              </w:tc>
              <w:tc>
                <w:tcPr>
                  <w:tcW w:w="2658" w:type="dxa"/>
                  <w:tcBorders>
                    <w:top w:val="single" w:color="auto" w:sz="4" w:space="0"/>
                    <w:left w:val="single" w:color="auto" w:sz="4" w:space="0"/>
                    <w:bottom w:val="single" w:color="auto" w:sz="4" w:space="0"/>
                    <w:right w:val="single" w:color="auto" w:sz="4" w:space="0"/>
                  </w:tcBorders>
                  <w:vAlign w:val="center"/>
                </w:tcPr>
                <w:p>
                  <w:pPr>
                    <w:pStyle w:val="90"/>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55</w:t>
                  </w:r>
                </w:p>
              </w:tc>
            </w:tr>
          </w:tbl>
          <w:p>
            <w:pPr>
              <w:spacing w:line="360" w:lineRule="auto"/>
              <w:rPr>
                <w:b/>
                <w:color w:val="auto"/>
                <w:szCs w:val="21"/>
                <w:highlight w:val="none"/>
              </w:rPr>
            </w:pPr>
            <w:r>
              <w:rPr>
                <w:rFonts w:hint="eastAsia"/>
                <w:b/>
                <w:color w:val="auto"/>
                <w:szCs w:val="21"/>
                <w:highlight w:val="none"/>
              </w:rPr>
              <w:t>3.4.2污染排放标准</w:t>
            </w:r>
          </w:p>
          <w:p>
            <w:pPr>
              <w:spacing w:line="360" w:lineRule="auto"/>
              <w:rPr>
                <w:b/>
                <w:color w:val="auto"/>
                <w:szCs w:val="21"/>
                <w:highlight w:val="none"/>
              </w:rPr>
            </w:pPr>
            <w:r>
              <w:rPr>
                <w:rFonts w:hint="eastAsia"/>
                <w:b/>
                <w:color w:val="auto"/>
                <w:szCs w:val="21"/>
                <w:highlight w:val="none"/>
              </w:rPr>
              <w:t>3.4.2.1 废气</w:t>
            </w:r>
          </w:p>
          <w:p>
            <w:pPr>
              <w:adjustRightInd w:val="0"/>
              <w:snapToGrid w:val="0"/>
              <w:spacing w:line="360" w:lineRule="auto"/>
              <w:ind w:firstLine="420" w:firstLineChars="200"/>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rPr>
              <w:t>本项目施工期无组织排放的颗粒物、SO</w:t>
            </w:r>
            <w:r>
              <w:rPr>
                <w:rFonts w:hint="eastAsia" w:ascii="Times New Roman" w:hAnsi="Times New Roman" w:eastAsia="宋体" w:cs="Times New Roman"/>
                <w:color w:val="auto"/>
                <w:kern w:val="0"/>
                <w:sz w:val="21"/>
                <w:szCs w:val="21"/>
                <w:highlight w:val="none"/>
                <w:vertAlign w:val="subscript"/>
              </w:rPr>
              <w:t>2</w:t>
            </w:r>
            <w:r>
              <w:rPr>
                <w:rFonts w:hint="eastAsia" w:ascii="Times New Roman" w:hAnsi="Times New Roman" w:eastAsia="宋体" w:cs="Times New Roman"/>
                <w:color w:val="auto"/>
                <w:kern w:val="0"/>
                <w:sz w:val="21"/>
                <w:szCs w:val="21"/>
                <w:highlight w:val="none"/>
              </w:rPr>
              <w:t>、NO</w:t>
            </w:r>
            <w:r>
              <w:rPr>
                <w:rFonts w:hint="eastAsia" w:ascii="Times New Roman" w:hAnsi="Times New Roman" w:eastAsia="宋体" w:cs="Times New Roman"/>
                <w:color w:val="auto"/>
                <w:kern w:val="0"/>
                <w:sz w:val="21"/>
                <w:szCs w:val="21"/>
                <w:highlight w:val="none"/>
                <w:vertAlign w:val="subscript"/>
              </w:rPr>
              <w:t>2</w:t>
            </w:r>
            <w:r>
              <w:rPr>
                <w:rFonts w:hint="eastAsia" w:ascii="Times New Roman" w:hAnsi="Times New Roman" w:eastAsia="宋体" w:cs="Times New Roman"/>
                <w:color w:val="auto"/>
                <w:kern w:val="0"/>
                <w:sz w:val="21"/>
                <w:szCs w:val="21"/>
                <w:highlight w:val="none"/>
              </w:rPr>
              <w:t>执行《大气污染物综合排放标准》（GB16297-1996）中的二级标准。</w:t>
            </w:r>
            <w:r>
              <w:rPr>
                <w:rFonts w:ascii="Times New Roman" w:hAnsi="Times New Roman" w:eastAsia="宋体" w:cs="Times New Roman"/>
                <w:color w:val="auto"/>
                <w:kern w:val="0"/>
                <w:sz w:val="21"/>
                <w:szCs w:val="21"/>
                <w:highlight w:val="none"/>
              </w:rPr>
              <w:t>具体限值见表</w:t>
            </w:r>
            <w:r>
              <w:rPr>
                <w:rFonts w:hint="default" w:ascii="Times New Roman" w:hAnsi="Times New Roman" w:eastAsia="宋体" w:cs="Times New Roman"/>
                <w:b w:val="0"/>
                <w:bCs/>
                <w:snapToGrid/>
                <w:color w:val="auto"/>
                <w:sz w:val="21"/>
                <w:szCs w:val="21"/>
                <w:highlight w:val="none"/>
              </w:rPr>
              <w:t>3</w:t>
            </w:r>
            <w:r>
              <w:rPr>
                <w:rFonts w:hint="eastAsia" w:cs="Times New Roman"/>
                <w:b w:val="0"/>
                <w:bCs/>
                <w:snapToGrid/>
                <w:color w:val="auto"/>
                <w:sz w:val="21"/>
                <w:szCs w:val="21"/>
                <w:highlight w:val="none"/>
                <w:lang w:val="en-US" w:eastAsia="zh-CN"/>
              </w:rPr>
              <w:t>.4.1</w:t>
            </w:r>
            <w:r>
              <w:rPr>
                <w:rFonts w:hint="default" w:ascii="Times New Roman" w:hAnsi="Times New Roman" w:eastAsia="宋体" w:cs="Times New Roman"/>
                <w:b w:val="0"/>
                <w:bCs/>
                <w:snapToGrid/>
                <w:color w:val="auto"/>
                <w:sz w:val="21"/>
                <w:szCs w:val="21"/>
                <w:highlight w:val="none"/>
              </w:rPr>
              <w:t>-</w:t>
            </w:r>
            <w:r>
              <w:rPr>
                <w:rFonts w:hint="eastAsia" w:ascii="Times New Roman" w:hAnsi="Times New Roman" w:cs="Times New Roman"/>
                <w:b w:val="0"/>
                <w:bCs/>
                <w:snapToGrid/>
                <w:color w:val="auto"/>
                <w:sz w:val="21"/>
                <w:szCs w:val="21"/>
                <w:highlight w:val="none"/>
                <w:lang w:val="en-US" w:eastAsia="zh-CN"/>
              </w:rPr>
              <w:t>4</w:t>
            </w:r>
            <w:r>
              <w:rPr>
                <w:rFonts w:ascii="Times New Roman" w:hAnsi="Times New Roman" w:eastAsia="宋体" w:cs="Times New Roman"/>
                <w:color w:val="auto"/>
                <w:kern w:val="0"/>
                <w:sz w:val="21"/>
                <w:szCs w:val="21"/>
                <w:highlight w:val="none"/>
              </w:rPr>
              <w:t>。</w:t>
            </w:r>
          </w:p>
          <w:p>
            <w:pPr>
              <w:widowControl/>
              <w:adjustRightInd w:val="0"/>
              <w:snapToGrid w:val="0"/>
              <w:spacing w:line="360" w:lineRule="auto"/>
              <w:ind w:firstLine="420" w:firstLineChars="20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表</w:t>
            </w:r>
            <w:r>
              <w:rPr>
                <w:rFonts w:hint="default" w:ascii="Times New Roman" w:hAnsi="Times New Roman" w:eastAsia="宋体" w:cs="Times New Roman"/>
                <w:b w:val="0"/>
                <w:bCs/>
                <w:snapToGrid/>
                <w:color w:val="auto"/>
                <w:sz w:val="21"/>
                <w:szCs w:val="21"/>
                <w:highlight w:val="none"/>
              </w:rPr>
              <w:t>3</w:t>
            </w:r>
            <w:r>
              <w:rPr>
                <w:rFonts w:hint="eastAsia" w:cs="Times New Roman"/>
                <w:b w:val="0"/>
                <w:bCs/>
                <w:snapToGrid/>
                <w:color w:val="auto"/>
                <w:sz w:val="21"/>
                <w:szCs w:val="21"/>
                <w:highlight w:val="none"/>
                <w:lang w:val="en-US" w:eastAsia="zh-CN"/>
              </w:rPr>
              <w:t>.4.1</w:t>
            </w:r>
            <w:r>
              <w:rPr>
                <w:rFonts w:hint="default" w:ascii="Times New Roman" w:hAnsi="Times New Roman" w:eastAsia="宋体" w:cs="Times New Roman"/>
                <w:b w:val="0"/>
                <w:bCs/>
                <w:snapToGrid/>
                <w:color w:val="auto"/>
                <w:sz w:val="21"/>
                <w:szCs w:val="21"/>
                <w:highlight w:val="none"/>
              </w:rPr>
              <w:t>-</w:t>
            </w:r>
            <w:r>
              <w:rPr>
                <w:rFonts w:hint="eastAsia" w:ascii="Times New Roman" w:hAnsi="Times New Roman" w:cs="Times New Roman"/>
                <w:b w:val="0"/>
                <w:bCs/>
                <w:snapToGrid/>
                <w:color w:val="auto"/>
                <w:sz w:val="21"/>
                <w:szCs w:val="21"/>
                <w:highlight w:val="none"/>
                <w:lang w:val="en-US" w:eastAsia="zh-CN"/>
              </w:rPr>
              <w:t>4</w:t>
            </w:r>
            <w:r>
              <w:rPr>
                <w:rFonts w:hint="default" w:ascii="Times New Roman" w:hAnsi="Times New Roman" w:eastAsia="宋体" w:cs="Times New Roman"/>
                <w:b w:val="0"/>
                <w:bCs/>
                <w:color w:val="auto"/>
                <w:kern w:val="2"/>
                <w:sz w:val="21"/>
                <w:szCs w:val="21"/>
                <w:highlight w:val="none"/>
                <w:lang w:val="en-US" w:eastAsia="zh-CN" w:bidi="ar-SA"/>
              </w:rPr>
              <w:t xml:space="preserve"> 《大气污染物综合排放标准》（GB16297-1996）  单位：mg/m</w:t>
            </w:r>
            <w:r>
              <w:rPr>
                <w:rFonts w:hint="default" w:ascii="Times New Roman" w:hAnsi="Times New Roman" w:eastAsia="宋体" w:cs="Times New Roman"/>
                <w:b w:val="0"/>
                <w:bCs/>
                <w:color w:val="auto"/>
                <w:kern w:val="2"/>
                <w:sz w:val="21"/>
                <w:szCs w:val="21"/>
                <w:highlight w:val="none"/>
                <w:vertAlign w:val="superscript"/>
                <w:lang w:val="en-US" w:eastAsia="zh-CN" w:bidi="ar-SA"/>
              </w:rPr>
              <w:t>3</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1564"/>
              <w:gridCol w:w="1371"/>
              <w:gridCol w:w="1378"/>
              <w:gridCol w:w="1369"/>
              <w:gridCol w:w="1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737" w:type="dxa"/>
                  <w:gridSpan w:val="2"/>
                  <w:vAlign w:val="center"/>
                </w:tcPr>
                <w:p>
                  <w:pPr>
                    <w:pStyle w:val="74"/>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rPr>
                  </w:pPr>
                  <w:bookmarkStart w:id="3" w:name="_Toc3031"/>
                  <w:bookmarkStart w:id="4" w:name="_Toc20539"/>
                  <w:r>
                    <w:rPr>
                      <w:rFonts w:hint="default" w:ascii="Times New Roman" w:hAnsi="Times New Roman" w:eastAsia="宋体" w:cs="Times New Roman"/>
                      <w:b w:val="0"/>
                      <w:bCs/>
                      <w:color w:val="auto"/>
                      <w:sz w:val="21"/>
                      <w:szCs w:val="21"/>
                      <w:highlight w:val="none"/>
                      <w:vertAlign w:val="baseline"/>
                      <w:lang w:val="en-US" w:eastAsia="zh-CN"/>
                    </w:rPr>
                    <w:t>污染物</w:t>
                  </w:r>
                  <w:bookmarkEnd w:id="3"/>
                  <w:bookmarkEnd w:id="4"/>
                </w:p>
              </w:tc>
              <w:tc>
                <w:tcPr>
                  <w:tcW w:w="1446" w:type="dxa"/>
                  <w:vAlign w:val="center"/>
                </w:tcPr>
                <w:p>
                  <w:pPr>
                    <w:pStyle w:val="74"/>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TSP</w:t>
                  </w:r>
                </w:p>
              </w:tc>
              <w:tc>
                <w:tcPr>
                  <w:tcW w:w="1446" w:type="dxa"/>
                  <w:vAlign w:val="center"/>
                </w:tcPr>
                <w:p>
                  <w:pPr>
                    <w:pStyle w:val="74"/>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PM</w:t>
                  </w:r>
                  <w:r>
                    <w:rPr>
                      <w:rFonts w:hint="default" w:ascii="Times New Roman" w:hAnsi="Times New Roman" w:eastAsia="宋体" w:cs="Times New Roman"/>
                      <w:b w:val="0"/>
                      <w:bCs/>
                      <w:color w:val="auto"/>
                      <w:sz w:val="21"/>
                      <w:szCs w:val="21"/>
                      <w:highlight w:val="none"/>
                      <w:vertAlign w:val="subscript"/>
                      <w:lang w:val="en-US" w:eastAsia="zh-CN"/>
                    </w:rPr>
                    <w:t>10</w:t>
                  </w:r>
                </w:p>
              </w:tc>
              <w:tc>
                <w:tcPr>
                  <w:tcW w:w="1446" w:type="dxa"/>
                  <w:vAlign w:val="center"/>
                </w:tcPr>
                <w:p>
                  <w:pPr>
                    <w:pStyle w:val="74"/>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val="en-US" w:eastAsia="zh-CN"/>
                    </w:rPr>
                    <w:t>SO</w:t>
                  </w:r>
                  <w:r>
                    <w:rPr>
                      <w:rFonts w:hint="default" w:ascii="Times New Roman" w:hAnsi="Times New Roman" w:eastAsia="宋体" w:cs="Times New Roman"/>
                      <w:b w:val="0"/>
                      <w:bCs w:val="0"/>
                      <w:color w:val="auto"/>
                      <w:sz w:val="21"/>
                      <w:szCs w:val="21"/>
                      <w:highlight w:val="none"/>
                      <w:vertAlign w:val="subscript"/>
                      <w:lang w:val="en-US" w:eastAsia="zh-CN"/>
                    </w:rPr>
                    <w:t>2</w:t>
                  </w:r>
                </w:p>
              </w:tc>
              <w:tc>
                <w:tcPr>
                  <w:tcW w:w="1446" w:type="dxa"/>
                  <w:vAlign w:val="center"/>
                </w:tcPr>
                <w:p>
                  <w:pPr>
                    <w:pStyle w:val="74"/>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eastAsia="宋体" w:cs="Times New Roman"/>
                      <w:b w:val="0"/>
                      <w:bCs w:val="0"/>
                      <w:color w:val="auto"/>
                      <w:sz w:val="21"/>
                      <w:szCs w:val="21"/>
                      <w:highlight w:val="none"/>
                      <w:vertAlign w:val="baseline"/>
                      <w:lang w:val="en-US" w:eastAsia="zh-CN"/>
                    </w:rPr>
                    <w:t>NO</w:t>
                  </w:r>
                  <w:r>
                    <w:rPr>
                      <w:rFonts w:hint="default" w:ascii="Times New Roman" w:hAnsi="Times New Roman" w:eastAsia="宋体" w:cs="Times New Roman"/>
                      <w:b w:val="0"/>
                      <w:bCs w:val="0"/>
                      <w:color w:val="auto"/>
                      <w:sz w:val="21"/>
                      <w:szCs w:val="21"/>
                      <w:highlight w:val="none"/>
                      <w:vertAlign w:val="sub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Merge w:val="restart"/>
                  <w:vAlign w:val="center"/>
                </w:tcPr>
                <w:p>
                  <w:pPr>
                    <w:pStyle w:val="74"/>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标准限值</w:t>
                  </w:r>
                </w:p>
              </w:tc>
              <w:tc>
                <w:tcPr>
                  <w:tcW w:w="1673" w:type="dxa"/>
                  <w:vAlign w:val="center"/>
                </w:tcPr>
                <w:p>
                  <w:pPr>
                    <w:pStyle w:val="74"/>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24小时平均</w:t>
                  </w:r>
                </w:p>
              </w:tc>
              <w:tc>
                <w:tcPr>
                  <w:tcW w:w="1446" w:type="dxa"/>
                  <w:vAlign w:val="center"/>
                </w:tcPr>
                <w:p>
                  <w:pPr>
                    <w:pStyle w:val="74"/>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300</w:t>
                  </w:r>
                </w:p>
              </w:tc>
              <w:tc>
                <w:tcPr>
                  <w:tcW w:w="1446" w:type="dxa"/>
                  <w:vAlign w:val="center"/>
                </w:tcPr>
                <w:p>
                  <w:pPr>
                    <w:pStyle w:val="74"/>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150</w:t>
                  </w:r>
                </w:p>
              </w:tc>
              <w:tc>
                <w:tcPr>
                  <w:tcW w:w="1446" w:type="dxa"/>
                  <w:vAlign w:val="center"/>
                </w:tcPr>
                <w:p>
                  <w:pPr>
                    <w:pStyle w:val="74"/>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150</w:t>
                  </w:r>
                </w:p>
              </w:tc>
              <w:tc>
                <w:tcPr>
                  <w:tcW w:w="1446" w:type="dxa"/>
                  <w:vAlign w:val="center"/>
                </w:tcPr>
                <w:p>
                  <w:pPr>
                    <w:pStyle w:val="74"/>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Merge w:val="continue"/>
                  <w:vAlign w:val="center"/>
                </w:tcPr>
                <w:p>
                  <w:pPr>
                    <w:pStyle w:val="74"/>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p>
              </w:tc>
              <w:tc>
                <w:tcPr>
                  <w:tcW w:w="1673" w:type="dxa"/>
                  <w:vAlign w:val="center"/>
                </w:tcPr>
                <w:p>
                  <w:pPr>
                    <w:pStyle w:val="74"/>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1小时平均</w:t>
                  </w:r>
                </w:p>
              </w:tc>
              <w:tc>
                <w:tcPr>
                  <w:tcW w:w="1446" w:type="dxa"/>
                  <w:vAlign w:val="center"/>
                </w:tcPr>
                <w:p>
                  <w:pPr>
                    <w:pStyle w:val="74"/>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w:t>
                  </w:r>
                </w:p>
              </w:tc>
              <w:tc>
                <w:tcPr>
                  <w:tcW w:w="1446" w:type="dxa"/>
                  <w:vAlign w:val="center"/>
                </w:tcPr>
                <w:p>
                  <w:pPr>
                    <w:pStyle w:val="74"/>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w:t>
                  </w:r>
                </w:p>
              </w:tc>
              <w:tc>
                <w:tcPr>
                  <w:tcW w:w="1446" w:type="dxa"/>
                  <w:vAlign w:val="center"/>
                </w:tcPr>
                <w:p>
                  <w:pPr>
                    <w:pStyle w:val="74"/>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500</w:t>
                  </w:r>
                </w:p>
              </w:tc>
              <w:tc>
                <w:tcPr>
                  <w:tcW w:w="1446" w:type="dxa"/>
                  <w:vAlign w:val="center"/>
                </w:tcPr>
                <w:p>
                  <w:pPr>
                    <w:pStyle w:val="74"/>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200</w:t>
                  </w:r>
                </w:p>
              </w:tc>
            </w:tr>
          </w:tbl>
          <w:p>
            <w:pPr>
              <w:spacing w:line="360" w:lineRule="auto"/>
              <w:rPr>
                <w:b/>
                <w:color w:val="auto"/>
                <w:szCs w:val="21"/>
                <w:highlight w:val="none"/>
              </w:rPr>
            </w:pPr>
            <w:r>
              <w:rPr>
                <w:rFonts w:hint="eastAsia"/>
                <w:b/>
                <w:color w:val="auto"/>
                <w:szCs w:val="21"/>
                <w:highlight w:val="none"/>
              </w:rPr>
              <w:t xml:space="preserve">3.4.2.2 </w:t>
            </w:r>
            <w:r>
              <w:rPr>
                <w:b/>
                <w:color w:val="auto"/>
                <w:szCs w:val="21"/>
                <w:highlight w:val="none"/>
              </w:rPr>
              <w:t>废水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szCs w:val="21"/>
                <w:highlight w:val="none"/>
              </w:rPr>
            </w:pPr>
            <w:r>
              <w:rPr>
                <w:rFonts w:hint="eastAsia"/>
                <w:color w:val="auto"/>
                <w:szCs w:val="21"/>
                <w:highlight w:val="none"/>
              </w:rPr>
              <w:t>本项目施工期员工产生的生活污水，通过旱厕收集后用作农肥处理，不外排。食堂废水、浴室废水经隔油/格栅/沉淀等处理后回用道路洒水；运行期管理人员产生的生活污水进入修建的化粪池收集后用作农肥。</w:t>
            </w:r>
          </w:p>
          <w:p>
            <w:pPr>
              <w:spacing w:line="360" w:lineRule="auto"/>
              <w:rPr>
                <w:b/>
                <w:color w:val="auto"/>
                <w:szCs w:val="21"/>
                <w:highlight w:val="none"/>
              </w:rPr>
            </w:pPr>
            <w:r>
              <w:rPr>
                <w:rFonts w:hint="eastAsia"/>
                <w:b/>
                <w:color w:val="auto"/>
                <w:szCs w:val="21"/>
                <w:highlight w:val="none"/>
              </w:rPr>
              <w:t xml:space="preserve">3.4.2.3 </w:t>
            </w:r>
            <w:r>
              <w:rPr>
                <w:b/>
                <w:color w:val="auto"/>
                <w:szCs w:val="21"/>
                <w:highlight w:val="none"/>
              </w:rPr>
              <w:t>噪声</w:t>
            </w:r>
          </w:p>
          <w:p>
            <w:pPr>
              <w:tabs>
                <w:tab w:val="left" w:pos="2177"/>
              </w:tabs>
              <w:autoSpaceDE w:val="0"/>
              <w:autoSpaceDN w:val="0"/>
              <w:adjustRightInd w:val="0"/>
              <w:snapToGrid w:val="0"/>
              <w:spacing w:line="360" w:lineRule="auto"/>
              <w:ind w:firstLine="420" w:firstLineChars="200"/>
              <w:rPr>
                <w:bCs/>
                <w:color w:val="auto"/>
                <w:szCs w:val="21"/>
                <w:highlight w:val="none"/>
              </w:rPr>
            </w:pPr>
            <w:r>
              <w:rPr>
                <w:rFonts w:hint="eastAsia"/>
                <w:color w:val="auto"/>
                <w:kern w:val="0"/>
                <w:szCs w:val="21"/>
                <w:highlight w:val="none"/>
              </w:rPr>
              <w:t>项目</w:t>
            </w:r>
            <w:r>
              <w:rPr>
                <w:color w:val="auto"/>
                <w:kern w:val="0"/>
                <w:szCs w:val="21"/>
                <w:highlight w:val="none"/>
              </w:rPr>
              <w:t>施工期执行《建筑施工场界环境噪声排放标准》（GB12523-2011）标准</w:t>
            </w:r>
            <w:r>
              <w:rPr>
                <w:rFonts w:hint="eastAsia"/>
                <w:color w:val="auto"/>
                <w:kern w:val="0"/>
                <w:szCs w:val="21"/>
                <w:highlight w:val="none"/>
              </w:rPr>
              <w:t>，具体排放值见表3.4.2-</w:t>
            </w:r>
            <w:r>
              <w:rPr>
                <w:rFonts w:hint="eastAsia"/>
                <w:color w:val="auto"/>
                <w:kern w:val="0"/>
                <w:szCs w:val="21"/>
                <w:highlight w:val="none"/>
                <w:lang w:val="en-US" w:eastAsia="zh-CN"/>
              </w:rPr>
              <w:t>5</w:t>
            </w:r>
            <w:r>
              <w:rPr>
                <w:rFonts w:hint="eastAsia"/>
                <w:color w:val="auto"/>
                <w:kern w:val="0"/>
                <w:szCs w:val="21"/>
                <w:highlight w:val="none"/>
              </w:rPr>
              <w:t>。</w:t>
            </w:r>
          </w:p>
          <w:p>
            <w:pPr>
              <w:pStyle w:val="91"/>
              <w:spacing w:before="0" w:beforeLines="0" w:line="360" w:lineRule="auto"/>
              <w:ind w:firstLine="422"/>
              <w:rPr>
                <w:b w:val="0"/>
                <w:bCs w:val="0"/>
                <w:color w:val="auto"/>
                <w:sz w:val="21"/>
                <w:szCs w:val="21"/>
                <w:highlight w:val="none"/>
              </w:rPr>
            </w:pPr>
            <w:r>
              <w:rPr>
                <w:rFonts w:hint="eastAsia"/>
                <w:b w:val="0"/>
                <w:bCs w:val="0"/>
                <w:color w:val="auto"/>
                <w:sz w:val="21"/>
                <w:szCs w:val="21"/>
                <w:highlight w:val="none"/>
              </w:rPr>
              <w:t>表3.4.2-</w:t>
            </w:r>
            <w:r>
              <w:rPr>
                <w:rFonts w:hint="eastAsia"/>
                <w:b w:val="0"/>
                <w:bCs w:val="0"/>
                <w:color w:val="auto"/>
                <w:sz w:val="21"/>
                <w:szCs w:val="21"/>
                <w:highlight w:val="none"/>
                <w:lang w:val="en-US" w:eastAsia="zh-CN"/>
              </w:rPr>
              <w:t>5</w:t>
            </w:r>
            <w:r>
              <w:rPr>
                <w:rFonts w:hint="eastAsia"/>
                <w:b w:val="0"/>
                <w:bCs w:val="0"/>
                <w:color w:val="auto"/>
                <w:sz w:val="21"/>
                <w:szCs w:val="21"/>
                <w:highlight w:val="none"/>
              </w:rPr>
              <w:t xml:space="preserve"> 《建筑施工场界环境噪声排放标准》（GB12523-2011）  单位：dB（A）</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2691"/>
              <w:gridCol w:w="2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678" w:type="dxa"/>
                  <w:vAlign w:val="center"/>
                </w:tcPr>
                <w:p>
                  <w:pPr>
                    <w:spacing w:line="360" w:lineRule="auto"/>
                    <w:jc w:val="center"/>
                    <w:rPr>
                      <w:b/>
                      <w:bCs/>
                      <w:color w:val="auto"/>
                      <w:sz w:val="18"/>
                      <w:szCs w:val="18"/>
                      <w:highlight w:val="none"/>
                    </w:rPr>
                  </w:pPr>
                  <w:r>
                    <w:rPr>
                      <w:b/>
                      <w:bCs/>
                      <w:color w:val="auto"/>
                      <w:sz w:val="18"/>
                      <w:szCs w:val="18"/>
                      <w:highlight w:val="none"/>
                    </w:rPr>
                    <w:t>时段</w:t>
                  </w:r>
                </w:p>
              </w:tc>
              <w:tc>
                <w:tcPr>
                  <w:tcW w:w="2679" w:type="dxa"/>
                  <w:vAlign w:val="center"/>
                </w:tcPr>
                <w:p>
                  <w:pPr>
                    <w:spacing w:line="360" w:lineRule="auto"/>
                    <w:jc w:val="center"/>
                    <w:rPr>
                      <w:b/>
                      <w:bCs/>
                      <w:color w:val="auto"/>
                      <w:sz w:val="18"/>
                      <w:szCs w:val="18"/>
                      <w:highlight w:val="none"/>
                    </w:rPr>
                  </w:pPr>
                  <w:r>
                    <w:rPr>
                      <w:b/>
                      <w:bCs/>
                      <w:color w:val="auto"/>
                      <w:sz w:val="18"/>
                      <w:szCs w:val="18"/>
                      <w:highlight w:val="none"/>
                    </w:rPr>
                    <w:t>昼间</w:t>
                  </w:r>
                </w:p>
              </w:tc>
              <w:tc>
                <w:tcPr>
                  <w:tcW w:w="2667" w:type="dxa"/>
                  <w:vAlign w:val="center"/>
                </w:tcPr>
                <w:p>
                  <w:pPr>
                    <w:spacing w:line="360" w:lineRule="auto"/>
                    <w:jc w:val="center"/>
                    <w:rPr>
                      <w:b/>
                      <w:bCs/>
                      <w:color w:val="auto"/>
                      <w:sz w:val="18"/>
                      <w:szCs w:val="18"/>
                      <w:highlight w:val="none"/>
                    </w:rPr>
                  </w:pPr>
                  <w:r>
                    <w:rPr>
                      <w:b/>
                      <w:bCs/>
                      <w:color w:val="auto"/>
                      <w:sz w:val="18"/>
                      <w:szCs w:val="18"/>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678" w:type="dxa"/>
                  <w:vAlign w:val="center"/>
                </w:tcPr>
                <w:p>
                  <w:pPr>
                    <w:spacing w:line="360" w:lineRule="auto"/>
                    <w:jc w:val="center"/>
                    <w:rPr>
                      <w:color w:val="auto"/>
                      <w:sz w:val="18"/>
                      <w:szCs w:val="18"/>
                      <w:highlight w:val="none"/>
                    </w:rPr>
                  </w:pPr>
                  <w:r>
                    <w:rPr>
                      <w:color w:val="auto"/>
                      <w:sz w:val="18"/>
                      <w:szCs w:val="18"/>
                      <w:highlight w:val="none"/>
                    </w:rPr>
                    <w:t>标准值</w:t>
                  </w:r>
                </w:p>
              </w:tc>
              <w:tc>
                <w:tcPr>
                  <w:tcW w:w="2679" w:type="dxa"/>
                  <w:vAlign w:val="center"/>
                </w:tcPr>
                <w:p>
                  <w:pPr>
                    <w:spacing w:line="360" w:lineRule="auto"/>
                    <w:jc w:val="center"/>
                    <w:rPr>
                      <w:color w:val="auto"/>
                      <w:sz w:val="18"/>
                      <w:szCs w:val="18"/>
                      <w:highlight w:val="none"/>
                    </w:rPr>
                  </w:pPr>
                  <w:r>
                    <w:rPr>
                      <w:color w:val="auto"/>
                      <w:sz w:val="18"/>
                      <w:szCs w:val="18"/>
                      <w:highlight w:val="none"/>
                    </w:rPr>
                    <w:t>70</w:t>
                  </w:r>
                </w:p>
              </w:tc>
              <w:tc>
                <w:tcPr>
                  <w:tcW w:w="2667" w:type="dxa"/>
                  <w:vAlign w:val="center"/>
                </w:tcPr>
                <w:p>
                  <w:pPr>
                    <w:spacing w:line="360" w:lineRule="auto"/>
                    <w:jc w:val="center"/>
                    <w:rPr>
                      <w:color w:val="auto"/>
                      <w:sz w:val="18"/>
                      <w:szCs w:val="18"/>
                      <w:highlight w:val="none"/>
                    </w:rPr>
                  </w:pPr>
                  <w:r>
                    <w:rPr>
                      <w:color w:val="auto"/>
                      <w:sz w:val="18"/>
                      <w:szCs w:val="18"/>
                      <w:highlight w:val="none"/>
                    </w:rPr>
                    <w:t>55</w:t>
                  </w:r>
                </w:p>
              </w:tc>
            </w:tr>
          </w:tbl>
          <w:p>
            <w:pPr>
              <w:tabs>
                <w:tab w:val="left" w:pos="2177"/>
              </w:tabs>
              <w:autoSpaceDE w:val="0"/>
              <w:autoSpaceDN w:val="0"/>
              <w:adjustRightInd w:val="0"/>
              <w:snapToGrid w:val="0"/>
              <w:spacing w:line="360" w:lineRule="auto"/>
              <w:ind w:firstLine="420" w:firstLineChars="200"/>
              <w:rPr>
                <w:bCs/>
                <w:color w:val="auto"/>
                <w:szCs w:val="21"/>
                <w:highlight w:val="none"/>
              </w:rPr>
            </w:pPr>
            <w:r>
              <w:rPr>
                <w:rFonts w:hint="eastAsia"/>
                <w:bCs/>
                <w:color w:val="auto"/>
                <w:szCs w:val="21"/>
                <w:highlight w:val="none"/>
              </w:rPr>
              <w:t>项目</w:t>
            </w:r>
            <w:r>
              <w:rPr>
                <w:bCs/>
                <w:color w:val="auto"/>
                <w:szCs w:val="21"/>
                <w:highlight w:val="none"/>
              </w:rPr>
              <w:t>营运期执行《工业企业厂界环境噪声排放标准》(GB 12348-2008)</w:t>
            </w:r>
            <w:r>
              <w:rPr>
                <w:rFonts w:hint="eastAsia"/>
                <w:bCs/>
                <w:color w:val="auto"/>
                <w:szCs w:val="21"/>
                <w:highlight w:val="none"/>
                <w:lang w:val="en-US" w:eastAsia="zh-CN"/>
              </w:rPr>
              <w:t>1</w:t>
            </w:r>
            <w:r>
              <w:rPr>
                <w:bCs/>
                <w:color w:val="auto"/>
                <w:szCs w:val="21"/>
                <w:highlight w:val="none"/>
              </w:rPr>
              <w:t>类标准</w:t>
            </w:r>
            <w:r>
              <w:rPr>
                <w:rFonts w:hint="eastAsia"/>
                <w:bCs/>
                <w:color w:val="auto"/>
                <w:szCs w:val="21"/>
                <w:highlight w:val="none"/>
              </w:rPr>
              <w:t>。具体排放值见表</w:t>
            </w:r>
            <w:r>
              <w:rPr>
                <w:rFonts w:hint="eastAsia"/>
                <w:color w:val="auto"/>
                <w:kern w:val="0"/>
                <w:szCs w:val="21"/>
                <w:highlight w:val="none"/>
              </w:rPr>
              <w:t>3.4.2-</w:t>
            </w:r>
            <w:r>
              <w:rPr>
                <w:rFonts w:hint="eastAsia"/>
                <w:color w:val="auto"/>
                <w:kern w:val="0"/>
                <w:szCs w:val="21"/>
                <w:highlight w:val="none"/>
                <w:lang w:val="en-US" w:eastAsia="zh-CN"/>
              </w:rPr>
              <w:t>6</w:t>
            </w:r>
            <w:r>
              <w:rPr>
                <w:rFonts w:hint="eastAsia"/>
                <w:bCs/>
                <w:color w:val="auto"/>
                <w:szCs w:val="21"/>
                <w:highlight w:val="none"/>
              </w:rPr>
              <w:t>。</w:t>
            </w:r>
          </w:p>
          <w:p>
            <w:pPr>
              <w:pStyle w:val="91"/>
              <w:spacing w:before="0" w:beforeLines="0" w:line="360" w:lineRule="auto"/>
              <w:ind w:firstLine="422"/>
              <w:rPr>
                <w:b w:val="0"/>
                <w:bCs w:val="0"/>
                <w:color w:val="auto"/>
                <w:sz w:val="21"/>
                <w:szCs w:val="21"/>
                <w:highlight w:val="none"/>
              </w:rPr>
            </w:pPr>
            <w:r>
              <w:rPr>
                <w:rFonts w:hint="eastAsia"/>
                <w:b w:val="0"/>
                <w:bCs w:val="0"/>
                <w:color w:val="auto"/>
                <w:sz w:val="21"/>
                <w:szCs w:val="21"/>
                <w:highlight w:val="none"/>
              </w:rPr>
              <w:t>表3.4.2-</w:t>
            </w:r>
            <w:r>
              <w:rPr>
                <w:rFonts w:hint="eastAsia"/>
                <w:b w:val="0"/>
                <w:bCs w:val="0"/>
                <w:color w:val="auto"/>
                <w:sz w:val="21"/>
                <w:szCs w:val="21"/>
                <w:highlight w:val="none"/>
                <w:lang w:val="en-US" w:eastAsia="zh-CN"/>
              </w:rPr>
              <w:t>6</w:t>
            </w:r>
            <w:r>
              <w:rPr>
                <w:rFonts w:hint="eastAsia"/>
                <w:b w:val="0"/>
                <w:bCs w:val="0"/>
                <w:color w:val="auto"/>
                <w:sz w:val="21"/>
                <w:szCs w:val="21"/>
                <w:highlight w:val="none"/>
              </w:rPr>
              <w:t xml:space="preserve"> 《工业企业厂界环境噪声排放标准》（GB12348－2008）  单位：dB（A）</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9"/>
              <w:gridCol w:w="2441"/>
              <w:gridCol w:w="2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2787" w:type="dxa"/>
                  <w:vAlign w:val="center"/>
                </w:tcPr>
                <w:p>
                  <w:pPr>
                    <w:adjustRightInd w:val="0"/>
                    <w:snapToGrid w:val="0"/>
                    <w:spacing w:line="360" w:lineRule="auto"/>
                    <w:jc w:val="center"/>
                    <w:rPr>
                      <w:b/>
                      <w:bCs/>
                      <w:color w:val="auto"/>
                      <w:sz w:val="18"/>
                      <w:szCs w:val="18"/>
                      <w:highlight w:val="none"/>
                    </w:rPr>
                  </w:pPr>
                  <w:r>
                    <w:rPr>
                      <w:rFonts w:hint="eastAsia"/>
                      <w:b/>
                      <w:bCs/>
                      <w:color w:val="auto"/>
                      <w:sz w:val="18"/>
                      <w:szCs w:val="18"/>
                      <w:highlight w:val="none"/>
                    </w:rPr>
                    <w:t>类别</w:t>
                  </w:r>
                </w:p>
              </w:tc>
              <w:tc>
                <w:tcPr>
                  <w:tcW w:w="2430" w:type="dxa"/>
                  <w:vAlign w:val="center"/>
                </w:tcPr>
                <w:p>
                  <w:pPr>
                    <w:adjustRightInd w:val="0"/>
                    <w:snapToGrid w:val="0"/>
                    <w:spacing w:line="360" w:lineRule="auto"/>
                    <w:jc w:val="center"/>
                    <w:rPr>
                      <w:b/>
                      <w:bCs/>
                      <w:color w:val="auto"/>
                      <w:sz w:val="18"/>
                      <w:szCs w:val="18"/>
                      <w:highlight w:val="none"/>
                    </w:rPr>
                  </w:pPr>
                  <w:r>
                    <w:rPr>
                      <w:b/>
                      <w:bCs/>
                      <w:color w:val="auto"/>
                      <w:sz w:val="18"/>
                      <w:szCs w:val="18"/>
                      <w:highlight w:val="none"/>
                    </w:rPr>
                    <w:t>昼间</w:t>
                  </w:r>
                </w:p>
              </w:tc>
              <w:tc>
                <w:tcPr>
                  <w:tcW w:w="2807" w:type="dxa"/>
                  <w:vAlign w:val="center"/>
                </w:tcPr>
                <w:p>
                  <w:pPr>
                    <w:adjustRightInd w:val="0"/>
                    <w:snapToGrid w:val="0"/>
                    <w:spacing w:line="360" w:lineRule="auto"/>
                    <w:jc w:val="center"/>
                    <w:rPr>
                      <w:b/>
                      <w:bCs/>
                      <w:color w:val="auto"/>
                      <w:sz w:val="18"/>
                      <w:szCs w:val="18"/>
                      <w:highlight w:val="none"/>
                    </w:rPr>
                  </w:pPr>
                  <w:r>
                    <w:rPr>
                      <w:b/>
                      <w:bCs/>
                      <w:color w:val="auto"/>
                      <w:sz w:val="18"/>
                      <w:szCs w:val="18"/>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787" w:type="dxa"/>
                  <w:vAlign w:val="center"/>
                </w:tcPr>
                <w:p>
                  <w:pPr>
                    <w:adjustRightInd w:val="0"/>
                    <w:snapToGrid w:val="0"/>
                    <w:spacing w:line="360" w:lineRule="auto"/>
                    <w:jc w:val="center"/>
                    <w:rPr>
                      <w:color w:val="auto"/>
                      <w:sz w:val="18"/>
                      <w:szCs w:val="18"/>
                      <w:highlight w:val="none"/>
                    </w:rPr>
                  </w:pPr>
                  <w:r>
                    <w:rPr>
                      <w:rFonts w:hint="eastAsia"/>
                      <w:color w:val="auto"/>
                      <w:sz w:val="18"/>
                      <w:szCs w:val="18"/>
                      <w:highlight w:val="none"/>
                      <w:lang w:val="en-US" w:eastAsia="zh-CN"/>
                    </w:rPr>
                    <w:t>1</w:t>
                  </w:r>
                  <w:r>
                    <w:rPr>
                      <w:rFonts w:hint="eastAsia"/>
                      <w:color w:val="auto"/>
                      <w:sz w:val="18"/>
                      <w:szCs w:val="18"/>
                      <w:highlight w:val="none"/>
                    </w:rPr>
                    <w:t>类区域</w:t>
                  </w:r>
                </w:p>
              </w:tc>
              <w:tc>
                <w:tcPr>
                  <w:tcW w:w="2430" w:type="dxa"/>
                  <w:vAlign w:val="center"/>
                </w:tcPr>
                <w:p>
                  <w:pPr>
                    <w:adjustRightInd w:val="0"/>
                    <w:snapToGrid w:val="0"/>
                    <w:spacing w:line="360" w:lineRule="auto"/>
                    <w:jc w:val="center"/>
                    <w:rPr>
                      <w:rFonts w:hint="default"/>
                      <w:color w:val="auto"/>
                      <w:sz w:val="18"/>
                      <w:szCs w:val="18"/>
                      <w:highlight w:val="none"/>
                      <w:lang w:val="en-US"/>
                    </w:rPr>
                  </w:pPr>
                  <w:r>
                    <w:rPr>
                      <w:rFonts w:hint="eastAsia"/>
                      <w:color w:val="auto"/>
                      <w:sz w:val="18"/>
                      <w:szCs w:val="18"/>
                      <w:highlight w:val="none"/>
                      <w:lang w:val="en-US" w:eastAsia="zh-CN"/>
                    </w:rPr>
                    <w:t>55</w:t>
                  </w:r>
                </w:p>
              </w:tc>
              <w:tc>
                <w:tcPr>
                  <w:tcW w:w="2807" w:type="dxa"/>
                  <w:vAlign w:val="center"/>
                </w:tcPr>
                <w:p>
                  <w:pPr>
                    <w:adjustRightInd w:val="0"/>
                    <w:snapToGrid w:val="0"/>
                    <w:spacing w:line="360" w:lineRule="auto"/>
                    <w:jc w:val="center"/>
                    <w:rPr>
                      <w:rFonts w:hint="default"/>
                      <w:color w:val="auto"/>
                      <w:sz w:val="18"/>
                      <w:szCs w:val="18"/>
                      <w:highlight w:val="none"/>
                      <w:lang w:val="en-US"/>
                    </w:rPr>
                  </w:pPr>
                  <w:r>
                    <w:rPr>
                      <w:rFonts w:hint="eastAsia"/>
                      <w:color w:val="auto"/>
                      <w:sz w:val="18"/>
                      <w:szCs w:val="18"/>
                      <w:highlight w:val="none"/>
                      <w:lang w:val="en-US" w:eastAsia="zh-CN"/>
                    </w:rPr>
                    <w:t>45</w:t>
                  </w:r>
                </w:p>
              </w:tc>
            </w:tr>
          </w:tbl>
          <w:p>
            <w:pPr>
              <w:spacing w:line="360" w:lineRule="auto"/>
              <w:rPr>
                <w:b/>
                <w:color w:val="auto"/>
                <w:szCs w:val="21"/>
                <w:highlight w:val="none"/>
              </w:rPr>
            </w:pPr>
            <w:r>
              <w:rPr>
                <w:rFonts w:hint="eastAsia"/>
                <w:b/>
                <w:color w:val="auto"/>
                <w:szCs w:val="21"/>
                <w:highlight w:val="none"/>
              </w:rPr>
              <w:t>3.4.2.4 固废</w:t>
            </w:r>
          </w:p>
          <w:p>
            <w:pPr>
              <w:spacing w:line="360" w:lineRule="auto"/>
              <w:ind w:firstLine="420" w:firstLineChars="200"/>
              <w:rPr>
                <w:rFonts w:hint="default" w:ascii="Times New Roman" w:hAnsi="Times New Roman" w:eastAsia="宋体" w:cs="Times New Roman"/>
                <w:color w:val="auto"/>
                <w:kern w:val="0"/>
                <w:szCs w:val="21"/>
                <w:highlight w:val="none"/>
                <w:lang w:eastAsia="zh-CN"/>
              </w:rPr>
            </w:pPr>
            <w:r>
              <w:rPr>
                <w:rFonts w:hint="eastAsia"/>
                <w:bCs/>
                <w:color w:val="auto"/>
                <w:szCs w:val="21"/>
                <w:highlight w:val="none"/>
              </w:rPr>
              <w:t>一般工业固体废物：根据《一般工业固体废物贮存和填埋污染控制标准》（GB18599-2020），采用库房、包装工具贮存一般工业固体废物，贮存过程应满足相应防渗漏、防雨淋、防扬尘等环境保护要求。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1" w:hRule="atLeast"/>
          <w:jc w:val="center"/>
        </w:trPr>
        <w:tc>
          <w:tcPr>
            <w:tcW w:w="869" w:type="dxa"/>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其他</w:t>
            </w:r>
          </w:p>
        </w:tc>
        <w:tc>
          <w:tcPr>
            <w:tcW w:w="8288" w:type="dxa"/>
            <w:vAlign w:val="center"/>
          </w:tcPr>
          <w:p>
            <w:pPr>
              <w:adjustRightInd w:val="0"/>
              <w:snapToGrid w:val="0"/>
              <w:spacing w:line="360" w:lineRule="auto"/>
              <w:jc w:val="both"/>
              <w:rPr>
                <w:rFonts w:hint="default" w:ascii="Times New Roman" w:hAnsi="Times New Roman" w:eastAsia="宋体" w:cs="Times New Roman"/>
                <w:color w:val="auto"/>
                <w:kern w:val="0"/>
                <w:szCs w:val="21"/>
                <w:highlight w:val="none"/>
              </w:rPr>
            </w:pPr>
            <w:r>
              <w:rPr>
                <w:rFonts w:hint="eastAsia" w:ascii="宋体" w:hAnsi="宋体" w:cs="宋体"/>
                <w:color w:val="auto"/>
                <w:kern w:val="0"/>
                <w:szCs w:val="21"/>
                <w:highlight w:val="none"/>
              </w:rPr>
              <w:t>运营期无“三废”排放，不涉及总量控制指标。</w:t>
            </w:r>
          </w:p>
        </w:tc>
      </w:tr>
    </w:tbl>
    <w:p>
      <w:pPr>
        <w:rPr>
          <w:rFonts w:hint="default" w:ascii="Times New Roman" w:hAnsi="Times New Roman" w:cs="Times New Roman"/>
          <w:color w:val="auto"/>
          <w:highlight w:val="none"/>
        </w:rPr>
        <w:sectPr>
          <w:pgSz w:w="11906" w:h="16838"/>
          <w:pgMar w:top="1440" w:right="1800" w:bottom="1440" w:left="1800" w:header="851" w:footer="1077" w:gutter="0"/>
          <w:cols w:space="425" w:num="1"/>
          <w:docGrid w:linePitch="312" w:charSpace="0"/>
        </w:sectPr>
      </w:pPr>
    </w:p>
    <w:p>
      <w:pPr>
        <w:pStyle w:val="26"/>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四、生态环境影响分析</w:t>
      </w:r>
    </w:p>
    <w:tbl>
      <w:tblPr>
        <w:tblStyle w:val="29"/>
        <w:tblW w:w="92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36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6" w:hRule="atLeast"/>
          <w:jc w:val="center"/>
        </w:trPr>
        <w:tc>
          <w:tcPr>
            <w:tcW w:w="879" w:type="dxa"/>
            <w:tcMar>
              <w:left w:w="28" w:type="dxa"/>
              <w:right w:w="28" w:type="dxa"/>
            </w:tcMar>
            <w:vAlign w:val="center"/>
          </w:tcPr>
          <w:p>
            <w:pPr>
              <w:pStyle w:val="26"/>
              <w:adjustRightInd w:val="0"/>
              <w:snapToGrid w:val="0"/>
              <w:spacing w:before="0" w:beforeAutospacing="0" w:after="0" w:afterAutospacing="0" w:line="360" w:lineRule="auto"/>
              <w:jc w:val="center"/>
              <w:rPr>
                <w:rFonts w:hint="default" w:ascii="Times New Roman" w:hAnsi="Times New Roman" w:eastAsia="宋体" w:cs="Times New Roman"/>
                <w:bCs/>
                <w:color w:val="auto"/>
                <w:kern w:val="2"/>
                <w:sz w:val="21"/>
                <w:szCs w:val="21"/>
                <w:highlight w:val="none"/>
              </w:rPr>
            </w:pPr>
            <w:bookmarkStart w:id="5" w:name="_Hlk49796138"/>
            <w:r>
              <w:rPr>
                <w:rFonts w:hint="default" w:ascii="Times New Roman" w:hAnsi="Times New Roman" w:eastAsia="宋体" w:cs="Times New Roman"/>
                <w:bCs/>
                <w:color w:val="auto"/>
                <w:spacing w:val="10"/>
                <w:kern w:val="2"/>
                <w:sz w:val="21"/>
                <w:szCs w:val="21"/>
                <w:highlight w:val="none"/>
              </w:rPr>
              <w:t>施工期生态环境影响分析</w:t>
            </w:r>
            <w:bookmarkEnd w:id="5"/>
          </w:p>
        </w:tc>
        <w:tc>
          <w:tcPr>
            <w:tcW w:w="8363" w:type="dxa"/>
            <w:vAlign w:val="top"/>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cs="Times New Roman"/>
                <w:b/>
                <w:bCs w:val="0"/>
                <w:color w:val="auto"/>
                <w:sz w:val="21"/>
                <w:szCs w:val="21"/>
                <w:highlight w:val="none"/>
                <w:lang w:val="en-US" w:eastAsia="zh-CN"/>
              </w:rPr>
              <w:t>4.1</w:t>
            </w:r>
            <w:r>
              <w:rPr>
                <w:rFonts w:hint="default" w:ascii="Times New Roman" w:hAnsi="Times New Roman" w:eastAsia="宋体" w:cs="Times New Roman"/>
                <w:b/>
                <w:bCs w:val="0"/>
                <w:color w:val="auto"/>
                <w:sz w:val="21"/>
                <w:szCs w:val="21"/>
                <w:highlight w:val="none"/>
              </w:rPr>
              <w:t>施工期生态</w:t>
            </w:r>
            <w:r>
              <w:rPr>
                <w:rFonts w:hint="default" w:ascii="Times New Roman" w:hAnsi="Times New Roman" w:cs="Times New Roman"/>
                <w:b/>
                <w:bCs w:val="0"/>
                <w:color w:val="auto"/>
                <w:sz w:val="21"/>
                <w:szCs w:val="21"/>
                <w:highlight w:val="none"/>
                <w:lang w:eastAsia="zh-CN"/>
              </w:rPr>
              <w:t>环境</w:t>
            </w:r>
            <w:r>
              <w:rPr>
                <w:rFonts w:hint="default" w:ascii="Times New Roman" w:hAnsi="Times New Roman" w:eastAsia="宋体" w:cs="Times New Roman"/>
                <w:b/>
                <w:bCs w:val="0"/>
                <w:color w:val="auto"/>
                <w:sz w:val="21"/>
                <w:szCs w:val="21"/>
                <w:highlight w:val="none"/>
              </w:rPr>
              <w:t>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cs="Times New Roman"/>
                <w:b/>
                <w:bCs w:val="0"/>
                <w:color w:val="auto"/>
                <w:sz w:val="21"/>
                <w:szCs w:val="21"/>
                <w:highlight w:val="none"/>
                <w:lang w:val="en-US" w:eastAsia="zh-CN"/>
              </w:rPr>
              <w:t>4.1.1</w:t>
            </w:r>
            <w:r>
              <w:rPr>
                <w:rFonts w:hint="default" w:ascii="Times New Roman" w:hAnsi="Times New Roman" w:eastAsia="宋体" w:cs="Times New Roman"/>
                <w:b/>
                <w:bCs w:val="0"/>
                <w:color w:val="auto"/>
                <w:sz w:val="21"/>
                <w:szCs w:val="21"/>
                <w:highlight w:val="none"/>
              </w:rPr>
              <w:t>工程占地对土地利用的影响</w:t>
            </w:r>
          </w:p>
          <w:p>
            <w:pPr>
              <w:adjustRightInd w:val="0"/>
              <w:snapToGrid w:val="0"/>
              <w:spacing w:line="360" w:lineRule="auto"/>
              <w:ind w:firstLine="420" w:firstLineChars="20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本项目占地包括永久和临时占地。</w:t>
            </w:r>
          </w:p>
          <w:p>
            <w:pPr>
              <w:adjustRightInd w:val="0"/>
              <w:snapToGrid w:val="0"/>
              <w:spacing w:line="360" w:lineRule="auto"/>
              <w:ind w:firstLine="420" w:firstLineChars="20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snapToGrid w:val="0"/>
                <w:color w:val="auto"/>
                <w:sz w:val="21"/>
                <w:szCs w:val="21"/>
                <w:highlight w:val="none"/>
                <w:lang w:val="en-US" w:eastAsia="zh-CN"/>
              </w:rPr>
              <w:t>本工程建设永久征收（使用）土地</w:t>
            </w:r>
            <w:r>
              <w:rPr>
                <w:rFonts w:hint="eastAsia" w:cs="Times New Roman"/>
                <w:snapToGrid w:val="0"/>
                <w:color w:val="auto"/>
                <w:sz w:val="21"/>
                <w:szCs w:val="21"/>
                <w:highlight w:val="none"/>
                <w:lang w:val="en-US" w:eastAsia="zh-CN"/>
              </w:rPr>
              <w:t>347.33</w:t>
            </w:r>
            <w:r>
              <w:rPr>
                <w:rFonts w:hint="default" w:ascii="Times New Roman" w:hAnsi="Times New Roman" w:eastAsia="宋体" w:cs="Times New Roman"/>
                <w:snapToGrid w:val="0"/>
                <w:color w:val="auto"/>
                <w:sz w:val="21"/>
                <w:szCs w:val="21"/>
                <w:highlight w:val="none"/>
                <w:lang w:val="en-US" w:eastAsia="zh-CN"/>
              </w:rPr>
              <w:t>亩，</w:t>
            </w:r>
            <w:r>
              <w:rPr>
                <w:rFonts w:hint="default" w:ascii="Times New Roman" w:hAnsi="Times New Roman" w:eastAsia="宋体" w:cs="Times New Roman"/>
                <w:b w:val="0"/>
                <w:bCs/>
                <w:color w:val="auto"/>
                <w:sz w:val="21"/>
                <w:szCs w:val="21"/>
                <w:highlight w:val="none"/>
              </w:rPr>
              <w:t>土地利用类型以</w:t>
            </w:r>
            <w:r>
              <w:rPr>
                <w:rFonts w:hint="default" w:ascii="Times New Roman" w:hAnsi="Times New Roman" w:eastAsia="宋体" w:cs="Times New Roman"/>
                <w:snapToGrid w:val="0"/>
                <w:color w:val="auto"/>
                <w:sz w:val="21"/>
                <w:szCs w:val="21"/>
                <w:highlight w:val="none"/>
                <w:lang w:val="en-US" w:eastAsia="zh-CN"/>
              </w:rPr>
              <w:t>耕地</w:t>
            </w:r>
            <w:r>
              <w:rPr>
                <w:rFonts w:hint="default" w:ascii="Times New Roman" w:hAnsi="Times New Roman" w:eastAsia="宋体" w:cs="Times New Roman"/>
                <w:b w:val="0"/>
                <w:bCs/>
                <w:color w:val="auto"/>
                <w:sz w:val="21"/>
                <w:szCs w:val="21"/>
                <w:highlight w:val="none"/>
              </w:rPr>
              <w:t>、林地为主，本项目为</w:t>
            </w:r>
            <w:r>
              <w:rPr>
                <w:rFonts w:hint="default" w:ascii="Times New Roman" w:hAnsi="Times New Roman" w:cs="Times New Roman"/>
                <w:b w:val="0"/>
                <w:bCs/>
                <w:color w:val="auto"/>
                <w:sz w:val="21"/>
                <w:szCs w:val="21"/>
                <w:highlight w:val="none"/>
                <w:lang w:val="en-US" w:eastAsia="zh-CN"/>
              </w:rPr>
              <w:t>水库</w:t>
            </w:r>
            <w:r>
              <w:rPr>
                <w:rFonts w:hint="default" w:ascii="Times New Roman" w:hAnsi="Times New Roman" w:eastAsia="宋体" w:cs="Times New Roman"/>
                <w:b w:val="0"/>
                <w:bCs/>
                <w:color w:val="auto"/>
                <w:sz w:val="21"/>
                <w:szCs w:val="21"/>
                <w:highlight w:val="none"/>
              </w:rPr>
              <w:t>项目，工程建成后，土地将完全改变原有的性质，转换为</w:t>
            </w:r>
            <w:r>
              <w:rPr>
                <w:rFonts w:hint="default" w:ascii="Times New Roman" w:hAnsi="Times New Roman" w:eastAsia="宋体" w:cs="Times New Roman"/>
                <w:snapToGrid w:val="0"/>
                <w:color w:val="auto"/>
                <w:sz w:val="21"/>
                <w:szCs w:val="21"/>
                <w:highlight w:val="none"/>
                <w:lang w:val="en-US" w:eastAsia="zh-CN"/>
              </w:rPr>
              <w:t>水利及水利设施</w:t>
            </w:r>
            <w:r>
              <w:rPr>
                <w:rFonts w:hint="default" w:ascii="Times New Roman" w:hAnsi="Times New Roman" w:eastAsia="宋体" w:cs="Times New Roman"/>
                <w:b w:val="0"/>
                <w:bCs/>
                <w:color w:val="auto"/>
                <w:sz w:val="21"/>
                <w:szCs w:val="21"/>
                <w:highlight w:val="none"/>
              </w:rPr>
              <w:t>用地，根据调查，</w:t>
            </w:r>
            <w:r>
              <w:rPr>
                <w:rFonts w:hint="default" w:ascii="Times New Roman" w:hAnsi="Times New Roman" w:cs="Times New Roman"/>
                <w:b w:val="0"/>
                <w:bCs/>
                <w:color w:val="auto"/>
                <w:sz w:val="21"/>
                <w:szCs w:val="21"/>
                <w:highlight w:val="none"/>
                <w:lang w:val="en-US" w:eastAsia="zh-CN"/>
              </w:rPr>
              <w:t>项目区域内</w:t>
            </w:r>
            <w:r>
              <w:rPr>
                <w:rFonts w:hint="default" w:ascii="Times New Roman" w:hAnsi="Times New Roman" w:eastAsia="宋体" w:cs="Times New Roman"/>
                <w:b w:val="0"/>
                <w:bCs/>
                <w:color w:val="auto"/>
                <w:sz w:val="21"/>
                <w:szCs w:val="21"/>
                <w:highlight w:val="none"/>
              </w:rPr>
              <w:t>无珍稀</w:t>
            </w:r>
            <w:r>
              <w:rPr>
                <w:rFonts w:hint="default" w:ascii="Times New Roman" w:hAnsi="Times New Roman" w:cs="Times New Roman"/>
                <w:b w:val="0"/>
                <w:bCs/>
                <w:color w:val="auto"/>
                <w:sz w:val="21"/>
                <w:szCs w:val="21"/>
                <w:highlight w:val="none"/>
                <w:lang w:val="en-US" w:eastAsia="zh-CN"/>
              </w:rPr>
              <w:t>动</w:t>
            </w:r>
            <w:r>
              <w:rPr>
                <w:rFonts w:hint="default" w:ascii="Times New Roman" w:hAnsi="Times New Roman" w:eastAsia="宋体" w:cs="Times New Roman"/>
                <w:b w:val="0"/>
                <w:bCs/>
                <w:color w:val="auto"/>
                <w:sz w:val="21"/>
                <w:szCs w:val="21"/>
                <w:highlight w:val="none"/>
              </w:rPr>
              <w:t>植物，影响不大。</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本工程临时占用土地</w:t>
            </w:r>
            <w:r>
              <w:rPr>
                <w:rFonts w:hint="eastAsia" w:cs="Times New Roman"/>
                <w:snapToGrid w:val="0"/>
                <w:color w:val="auto"/>
                <w:sz w:val="21"/>
                <w:szCs w:val="21"/>
                <w:highlight w:val="none"/>
                <w:lang w:val="en-US" w:eastAsia="zh-CN"/>
              </w:rPr>
              <w:t>193.41</w:t>
            </w:r>
            <w:r>
              <w:rPr>
                <w:rFonts w:hint="default" w:ascii="Times New Roman" w:hAnsi="Times New Roman" w:cs="Times New Roman"/>
                <w:snapToGrid w:val="0"/>
                <w:color w:val="auto"/>
                <w:sz w:val="21"/>
                <w:szCs w:val="21"/>
                <w:highlight w:val="none"/>
                <w:lang w:val="en-US" w:eastAsia="zh-CN"/>
              </w:rPr>
              <w:t>亩，</w:t>
            </w:r>
            <w:r>
              <w:rPr>
                <w:rFonts w:hint="default" w:ascii="Times New Roman" w:hAnsi="Times New Roman" w:eastAsia="宋体" w:cs="Times New Roman"/>
                <w:b w:val="0"/>
                <w:bCs/>
                <w:color w:val="auto"/>
                <w:sz w:val="21"/>
                <w:szCs w:val="21"/>
                <w:highlight w:val="none"/>
              </w:rPr>
              <w:t>土地利用类型以</w:t>
            </w:r>
            <w:r>
              <w:rPr>
                <w:rFonts w:hint="default" w:ascii="Times New Roman" w:hAnsi="Times New Roman" w:cs="Times New Roman"/>
                <w:snapToGrid w:val="0"/>
                <w:color w:val="auto"/>
                <w:sz w:val="21"/>
                <w:szCs w:val="21"/>
                <w:highlight w:val="none"/>
                <w:lang w:val="en-US" w:eastAsia="zh-CN"/>
              </w:rPr>
              <w:t>耕地、林地</w:t>
            </w:r>
            <w:r>
              <w:rPr>
                <w:rFonts w:hint="default" w:ascii="Times New Roman" w:hAnsi="Times New Roman" w:eastAsia="宋体" w:cs="Times New Roman"/>
                <w:b w:val="0"/>
                <w:bCs/>
                <w:color w:val="auto"/>
                <w:sz w:val="21"/>
                <w:szCs w:val="21"/>
                <w:highlight w:val="none"/>
              </w:rPr>
              <w:t>为主</w:t>
            </w:r>
            <w:r>
              <w:rPr>
                <w:rFonts w:hint="default" w:ascii="Times New Roman" w:hAnsi="Times New Roman" w:cs="Times New Roman"/>
                <w:snapToGrid w:val="0"/>
                <w:color w:val="auto"/>
                <w:sz w:val="21"/>
                <w:szCs w:val="21"/>
                <w:highlight w:val="none"/>
                <w:lang w:val="en-US" w:eastAsia="zh-CN"/>
              </w:rPr>
              <w:t>。临时占地属于暂时行为，占用时间短，待施工结束后按原有土地利用类型进行生态复垦。在采取水土保持和生态恢复措施后，临时占地土地利用类型将得到恢复。</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cs="Times New Roman"/>
                <w:b/>
                <w:bCs w:val="0"/>
                <w:color w:val="auto"/>
                <w:sz w:val="21"/>
                <w:szCs w:val="21"/>
                <w:highlight w:val="none"/>
                <w:lang w:val="en-US" w:eastAsia="zh-CN"/>
              </w:rPr>
              <w:t>4.1.2</w:t>
            </w:r>
            <w:r>
              <w:rPr>
                <w:rFonts w:hint="default" w:ascii="Times New Roman" w:hAnsi="Times New Roman" w:eastAsia="宋体" w:cs="Times New Roman"/>
                <w:b/>
                <w:bCs w:val="0"/>
                <w:color w:val="auto"/>
                <w:sz w:val="21"/>
                <w:szCs w:val="21"/>
                <w:highlight w:val="none"/>
              </w:rPr>
              <w:t>对陆生生态环境影响分析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color w:val="auto"/>
                <w:sz w:val="21"/>
                <w:szCs w:val="21"/>
                <w:highlight w:val="none"/>
              </w:rPr>
            </w:pPr>
            <w:r>
              <w:rPr>
                <w:rFonts w:hint="eastAsia" w:cs="Times New Roman"/>
                <w:b w:val="0"/>
                <w:bCs/>
                <w:color w:val="auto"/>
                <w:sz w:val="21"/>
                <w:szCs w:val="21"/>
                <w:highlight w:val="none"/>
                <w:lang w:val="en-US" w:eastAsia="zh-CN"/>
              </w:rPr>
              <w:t>1</w:t>
            </w:r>
            <w:r>
              <w:rPr>
                <w:rFonts w:hint="default" w:ascii="Times New Roman" w:hAnsi="Times New Roman" w:eastAsia="宋体"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rPr>
              <w:t>对地表植被的影响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val="0"/>
                <w:color w:val="auto"/>
                <w:sz w:val="21"/>
                <w:szCs w:val="21"/>
                <w:highlight w:val="none"/>
                <w:shd w:val="clear" w:color="auto" w:fill="auto"/>
                <w:lang w:eastAsia="zh-CN"/>
              </w:rPr>
              <w:t>项目区域</w:t>
            </w:r>
            <w:r>
              <w:rPr>
                <w:rFonts w:hint="eastAsia" w:cs="Times New Roman"/>
                <w:b w:val="0"/>
                <w:bCs w:val="0"/>
                <w:color w:val="auto"/>
                <w:sz w:val="21"/>
                <w:szCs w:val="21"/>
                <w:highlight w:val="none"/>
                <w:shd w:val="clear" w:color="auto" w:fill="auto"/>
                <w:lang w:val="en-US" w:eastAsia="zh-CN"/>
              </w:rPr>
              <w:t>内无</w:t>
            </w:r>
            <w:r>
              <w:rPr>
                <w:rFonts w:hint="default" w:ascii="Times New Roman" w:hAnsi="Times New Roman" w:eastAsia="宋体" w:cs="Times New Roman"/>
                <w:b w:val="0"/>
                <w:bCs/>
                <w:color w:val="auto"/>
                <w:sz w:val="21"/>
                <w:szCs w:val="21"/>
                <w:highlight w:val="none"/>
              </w:rPr>
              <w:t>国家和市级重点保护的珍稀濒危植物种类</w:t>
            </w:r>
            <w:r>
              <w:rPr>
                <w:rFonts w:hint="eastAsia" w:cs="Times New Roman"/>
                <w:b w:val="0"/>
                <w:bCs/>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shd w:val="clear" w:color="auto" w:fill="auto"/>
                <w:lang w:val="en-US" w:eastAsia="zh-CN"/>
              </w:rPr>
              <w:t>施工活动使得施工范围内的</w:t>
            </w:r>
            <w:r>
              <w:rPr>
                <w:rFonts w:hint="eastAsia" w:cs="Times New Roman"/>
                <w:b w:val="0"/>
                <w:bCs w:val="0"/>
                <w:color w:val="auto"/>
                <w:sz w:val="21"/>
                <w:szCs w:val="21"/>
                <w:highlight w:val="none"/>
                <w:shd w:val="clear" w:color="auto" w:fill="auto"/>
                <w:lang w:val="en-US" w:eastAsia="zh-CN"/>
              </w:rPr>
              <w:t>地表植被</w:t>
            </w:r>
            <w:r>
              <w:rPr>
                <w:rFonts w:hint="default" w:ascii="Times New Roman" w:hAnsi="Times New Roman" w:eastAsia="宋体" w:cs="Times New Roman"/>
                <w:b w:val="0"/>
                <w:bCs w:val="0"/>
                <w:color w:val="auto"/>
                <w:sz w:val="21"/>
                <w:szCs w:val="21"/>
                <w:highlight w:val="none"/>
                <w:shd w:val="clear" w:color="auto" w:fill="auto"/>
                <w:lang w:val="en-US" w:eastAsia="zh-CN"/>
              </w:rPr>
              <w:t>全部被破坏，但工程施工损毁的植被类型都属于评价范围内普遍分布的类型，在评价范围内广布，损失的植被类型在评价范围其他区域还有分布，评价范围植被类型不会发生改变，其植物区系组成成分不会发生变化，</w:t>
            </w:r>
            <w:r>
              <w:rPr>
                <w:rFonts w:hint="default" w:ascii="Times New Roman" w:hAnsi="Times New Roman" w:cs="Times New Roman"/>
                <w:b w:val="0"/>
                <w:bCs/>
                <w:color w:val="auto"/>
                <w:sz w:val="21"/>
                <w:szCs w:val="21"/>
                <w:highlight w:val="none"/>
                <w:lang w:eastAsia="zh-CN"/>
              </w:rPr>
              <w:t>项目</w:t>
            </w:r>
            <w:r>
              <w:rPr>
                <w:rFonts w:hint="default" w:ascii="Times New Roman" w:hAnsi="Times New Roman" w:eastAsia="宋体" w:cs="Times New Roman"/>
                <w:b w:val="0"/>
                <w:bCs/>
                <w:color w:val="auto"/>
                <w:sz w:val="21"/>
                <w:szCs w:val="21"/>
                <w:highlight w:val="none"/>
              </w:rPr>
              <w:t>建设不会对区域植物生物多样性造成明显不利影响。</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rPr>
              <w:t>施工结束后，立即</w:t>
            </w:r>
            <w:r>
              <w:rPr>
                <w:rFonts w:hint="default" w:ascii="Times New Roman" w:hAnsi="Times New Roman" w:cs="Times New Roman"/>
                <w:b w:val="0"/>
                <w:bCs/>
                <w:color w:val="auto"/>
                <w:sz w:val="21"/>
                <w:szCs w:val="21"/>
                <w:highlight w:val="none"/>
                <w:lang w:eastAsia="zh-CN"/>
              </w:rPr>
              <w:t>根据项目设计方案</w:t>
            </w:r>
            <w:r>
              <w:rPr>
                <w:rFonts w:hint="default" w:ascii="Times New Roman" w:hAnsi="Times New Roman" w:cs="Times New Roman"/>
                <w:b w:val="0"/>
                <w:bCs/>
                <w:color w:val="auto"/>
                <w:sz w:val="21"/>
                <w:szCs w:val="21"/>
                <w:highlight w:val="none"/>
                <w:lang w:val="en-US" w:eastAsia="zh-CN"/>
              </w:rPr>
              <w:t>对</w:t>
            </w:r>
            <w:r>
              <w:rPr>
                <w:rFonts w:hint="default" w:ascii="Times New Roman" w:hAnsi="Times New Roman" w:eastAsia="宋体" w:cs="Times New Roman"/>
                <w:b w:val="0"/>
                <w:bCs/>
                <w:color w:val="auto"/>
                <w:sz w:val="21"/>
                <w:szCs w:val="21"/>
                <w:highlight w:val="none"/>
              </w:rPr>
              <w:t>施工临时设施区</w:t>
            </w:r>
            <w:r>
              <w:rPr>
                <w:rFonts w:hint="default" w:ascii="Times New Roman" w:hAnsi="Times New Roman" w:cs="Times New Roman"/>
                <w:b w:val="0"/>
                <w:bCs/>
                <w:color w:val="auto"/>
                <w:sz w:val="21"/>
                <w:szCs w:val="21"/>
                <w:highlight w:val="none"/>
                <w:lang w:eastAsia="zh-CN"/>
              </w:rPr>
              <w:t>、</w:t>
            </w:r>
            <w:r>
              <w:rPr>
                <w:rFonts w:hint="eastAsia"/>
                <w:color w:val="auto"/>
                <w:kern w:val="0"/>
                <w:sz w:val="21"/>
                <w:szCs w:val="21"/>
                <w:highlight w:val="none"/>
                <w:lang w:bidi="ar"/>
              </w:rPr>
              <w:t>渣场</w:t>
            </w:r>
            <w:r>
              <w:rPr>
                <w:rFonts w:hint="default" w:ascii="Times New Roman" w:hAnsi="Times New Roman" w:eastAsia="宋体" w:cs="Times New Roman"/>
                <w:b w:val="0"/>
                <w:bCs/>
                <w:color w:val="auto"/>
                <w:sz w:val="21"/>
                <w:szCs w:val="21"/>
                <w:highlight w:val="none"/>
              </w:rPr>
              <w:t>等临时占地</w:t>
            </w:r>
            <w:r>
              <w:rPr>
                <w:rFonts w:hint="default" w:ascii="Times New Roman" w:hAnsi="Times New Roman" w:cs="Times New Roman"/>
                <w:b w:val="0"/>
                <w:bCs/>
                <w:color w:val="auto"/>
                <w:sz w:val="21"/>
                <w:szCs w:val="21"/>
                <w:highlight w:val="none"/>
                <w:lang w:eastAsia="zh-CN"/>
              </w:rPr>
              <w:t>进行恢复或建设，</w:t>
            </w:r>
            <w:r>
              <w:rPr>
                <w:rFonts w:hint="default" w:ascii="Times New Roman" w:hAnsi="Times New Roman" w:eastAsia="宋体" w:cs="Times New Roman"/>
                <w:b w:val="0"/>
                <w:bCs/>
                <w:color w:val="auto"/>
                <w:sz w:val="21"/>
                <w:szCs w:val="21"/>
                <w:highlight w:val="none"/>
              </w:rPr>
              <w:t>不会对区域植物生物多样性造成明显不利影响</w:t>
            </w:r>
            <w:r>
              <w:rPr>
                <w:rFonts w:hint="default" w:ascii="Times New Roman" w:hAnsi="Times New Roman" w:cs="Times New Roman"/>
                <w:b w:val="0"/>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color w:val="auto"/>
                <w:sz w:val="21"/>
                <w:szCs w:val="21"/>
                <w:highlight w:val="none"/>
              </w:rPr>
            </w:pPr>
            <w:r>
              <w:rPr>
                <w:rFonts w:hint="eastAsia" w:cs="Times New Roman"/>
                <w:b w:val="0"/>
                <w:bCs/>
                <w:color w:val="auto"/>
                <w:sz w:val="21"/>
                <w:szCs w:val="21"/>
                <w:highlight w:val="none"/>
                <w:lang w:val="en-US" w:eastAsia="zh-CN"/>
              </w:rPr>
              <w:t>2</w:t>
            </w:r>
            <w:r>
              <w:rPr>
                <w:rFonts w:hint="default" w:ascii="Times New Roman" w:hAnsi="Times New Roman" w:eastAsia="宋体"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rPr>
              <w:t>对陆生动物的影响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val="0"/>
                <w:color w:val="auto"/>
                <w:sz w:val="21"/>
                <w:szCs w:val="21"/>
                <w:highlight w:val="none"/>
                <w:shd w:val="clear" w:color="auto" w:fill="auto"/>
                <w:lang w:val="en-US" w:eastAsia="zh-CN"/>
              </w:rPr>
            </w:pPr>
            <w:r>
              <w:rPr>
                <w:rFonts w:hint="default" w:ascii="Times New Roman" w:hAnsi="Times New Roman" w:eastAsia="宋体" w:cs="Times New Roman"/>
                <w:b w:val="0"/>
                <w:bCs w:val="0"/>
                <w:color w:val="auto"/>
                <w:sz w:val="21"/>
                <w:szCs w:val="21"/>
                <w:highlight w:val="none"/>
                <w:shd w:val="clear" w:color="auto" w:fill="auto"/>
                <w:lang w:val="en-US" w:eastAsia="zh-CN"/>
              </w:rPr>
              <w:t>对鸟类的影响：施工期间，人为活动的增加以及土石方的开挖、施工震动、巨响，施工机械噪声均会惊吓、干扰某些鸟类，尤其对一些山林鸟类会产生干扰。由于建设区域多为农田植被，居留于此的多为燕子、麻雀等一些小型雀翅目鸟类，这些鸟类能凭借自身的飞翔能力离开施工影响区域，寻找适宜的栖息地。鸟类对人为干扰活动较为敏感，同时适应与迁徙能力较强，施工活动开展，它们就向远离施工影响区的地方迁徙，随着施工结束，这种影响将不存在，因此工程建设对鸟类的影响较小。</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val="0"/>
                <w:color w:val="auto"/>
                <w:sz w:val="21"/>
                <w:szCs w:val="21"/>
                <w:highlight w:val="none"/>
                <w:shd w:val="clear" w:color="auto" w:fill="auto"/>
                <w:lang w:val="en-US" w:eastAsia="zh-CN"/>
              </w:rPr>
            </w:pPr>
            <w:r>
              <w:rPr>
                <w:rFonts w:hint="default" w:ascii="Times New Roman" w:hAnsi="Times New Roman" w:eastAsia="宋体" w:cs="Times New Roman"/>
                <w:b w:val="0"/>
                <w:bCs w:val="0"/>
                <w:color w:val="auto"/>
                <w:sz w:val="21"/>
                <w:szCs w:val="21"/>
                <w:highlight w:val="none"/>
                <w:shd w:val="clear" w:color="auto" w:fill="auto"/>
                <w:lang w:val="en-US" w:eastAsia="zh-CN"/>
              </w:rPr>
              <w:t>对两栖爬行类的影响：施工噪声振动</w:t>
            </w:r>
            <w:r>
              <w:rPr>
                <w:rFonts w:hint="eastAsia" w:cs="Times New Roman"/>
                <w:b w:val="0"/>
                <w:bCs w:val="0"/>
                <w:color w:val="auto"/>
                <w:sz w:val="21"/>
                <w:szCs w:val="21"/>
                <w:highlight w:val="none"/>
                <w:shd w:val="clear" w:color="auto" w:fill="auto"/>
                <w:lang w:val="en-US" w:eastAsia="zh-CN"/>
              </w:rPr>
              <w:t>将</w:t>
            </w:r>
            <w:r>
              <w:rPr>
                <w:rFonts w:hint="default" w:ascii="Times New Roman" w:hAnsi="Times New Roman" w:eastAsia="宋体" w:cs="Times New Roman"/>
                <w:b w:val="0"/>
                <w:bCs w:val="0"/>
                <w:color w:val="auto"/>
                <w:sz w:val="21"/>
                <w:szCs w:val="21"/>
                <w:highlight w:val="none"/>
                <w:shd w:val="clear" w:color="auto" w:fill="auto"/>
                <w:lang w:val="en-US" w:eastAsia="zh-CN"/>
              </w:rPr>
              <w:t>迫使两栖爬行</w:t>
            </w:r>
            <w:r>
              <w:rPr>
                <w:rFonts w:hint="eastAsia" w:cs="Times New Roman"/>
                <w:b w:val="0"/>
                <w:bCs w:val="0"/>
                <w:color w:val="auto"/>
                <w:sz w:val="21"/>
                <w:szCs w:val="21"/>
                <w:highlight w:val="none"/>
                <w:shd w:val="clear" w:color="auto" w:fill="auto"/>
                <w:lang w:val="en-US" w:eastAsia="zh-CN"/>
              </w:rPr>
              <w:t>生物</w:t>
            </w:r>
            <w:r>
              <w:rPr>
                <w:rFonts w:hint="default" w:ascii="Times New Roman" w:hAnsi="Times New Roman" w:eastAsia="宋体" w:cs="Times New Roman"/>
                <w:b w:val="0"/>
                <w:bCs w:val="0"/>
                <w:color w:val="auto"/>
                <w:sz w:val="21"/>
                <w:szCs w:val="21"/>
                <w:highlight w:val="none"/>
                <w:shd w:val="clear" w:color="auto" w:fill="auto"/>
                <w:lang w:val="en-US" w:eastAsia="zh-CN"/>
              </w:rPr>
              <w:t>逃离施工区，出渣、堆渣可能直接伤害部分爬行动物。堆渣形成的碎石裸地，在新植被形成之前，太阳光直射，没有动物的隐蔽场所，蛇类可能迁居它处，但喜阳、喜干燥的种类种群数量可能会增加。受影响的主要是生活在林地和灌草丛的北草蜥、翠青蛇等。但由于爬行类属陆生动物，对外界环境的适应能力较强，并具有较强的运动迁移能力，另外工程建设时采用缓慢开工等方式可以促使它们能较早的迁徙到工程区以外的地方，这样工程建设活动对它们影响可以减少到最小。</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val="0"/>
                <w:color w:val="auto"/>
                <w:sz w:val="21"/>
                <w:szCs w:val="21"/>
                <w:highlight w:val="none"/>
                <w:shd w:val="clear" w:color="auto" w:fill="auto"/>
                <w:lang w:val="en-US" w:eastAsia="zh-CN"/>
              </w:rPr>
            </w:pPr>
            <w:r>
              <w:rPr>
                <w:rFonts w:hint="default" w:ascii="Times New Roman" w:hAnsi="Times New Roman" w:eastAsia="宋体" w:cs="Times New Roman"/>
                <w:b w:val="0"/>
                <w:bCs w:val="0"/>
                <w:color w:val="auto"/>
                <w:sz w:val="21"/>
                <w:szCs w:val="21"/>
                <w:highlight w:val="none"/>
                <w:shd w:val="clear" w:color="auto" w:fill="auto"/>
                <w:lang w:val="en-US" w:eastAsia="zh-CN"/>
              </w:rPr>
              <w:t>对兽类的影响：施工期对兽类的影响主要体现在对动物觅食地所在生态环境的破坏，包括对施工区林地植被的破坏和林木的砍伐所产</w:t>
            </w:r>
            <w:r>
              <w:rPr>
                <w:rFonts w:hint="eastAsia" w:cs="Times New Roman"/>
                <w:b w:val="0"/>
                <w:bCs w:val="0"/>
                <w:color w:val="auto"/>
                <w:sz w:val="21"/>
                <w:szCs w:val="21"/>
                <w:highlight w:val="none"/>
                <w:shd w:val="clear" w:color="auto" w:fill="auto"/>
                <w:lang w:val="en-US" w:eastAsia="zh-CN"/>
              </w:rPr>
              <w:t>生的</w:t>
            </w:r>
            <w:r>
              <w:rPr>
                <w:rFonts w:hint="default" w:ascii="Times New Roman" w:hAnsi="Times New Roman" w:eastAsia="宋体" w:cs="Times New Roman"/>
                <w:b w:val="0"/>
                <w:bCs w:val="0"/>
                <w:color w:val="auto"/>
                <w:sz w:val="21"/>
                <w:szCs w:val="21"/>
                <w:highlight w:val="none"/>
                <w:shd w:val="clear" w:color="auto" w:fill="auto"/>
                <w:lang w:val="en-US" w:eastAsia="zh-CN"/>
              </w:rPr>
              <w:t>噪声和振动，弃渣场作业，各种施工人员以及施工机械的干扰等，使评价区及其周边环境发生改变，受影响的主要是适生于林地和灌草丛的小型兽类，如黄鼬等，将迁移至附近受干扰小的区域，在施工区附近区域上述兽类栖息适宜度降低，种类和数量将相应减少，而伴随人类生活的一些啮齿目、食虫目如黄胸鼠等，其种群数量会有所增加，与之相应，主要以鼠类为食的黄鼬等种群数量将也会有所增加。工程建成后，随着植被的逐渐恢复，生态环境的好转，人为干扰减少，许多外迁的兽类会陆续回到原来的栖息地。</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shd w:val="clear" w:color="auto" w:fill="auto"/>
                <w:lang w:val="en-US" w:eastAsia="zh-CN"/>
              </w:rPr>
              <w:t>项目区野生动物种类较少，缺少大型野生哺乳动物，</w:t>
            </w:r>
            <w:r>
              <w:rPr>
                <w:rFonts w:hint="default" w:ascii="Times New Roman" w:hAnsi="Times New Roman" w:eastAsia="宋体" w:cs="Times New Roman"/>
                <w:b w:val="0"/>
                <w:bCs/>
                <w:color w:val="auto"/>
                <w:sz w:val="21"/>
                <w:szCs w:val="21"/>
                <w:highlight w:val="none"/>
              </w:rPr>
              <w:t>未发现国家和省级重点保护野生动物及栖息地分布</w:t>
            </w:r>
            <w:r>
              <w:rPr>
                <w:rFonts w:hint="eastAsia" w:cs="Times New Roman"/>
                <w:b w:val="0"/>
                <w:bCs/>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shd w:val="clear" w:color="auto" w:fill="auto"/>
                <w:lang w:val="en-US" w:eastAsia="zh-CN"/>
              </w:rPr>
              <w:t>施工活动</w:t>
            </w:r>
            <w:r>
              <w:rPr>
                <w:rFonts w:hint="eastAsia" w:cs="Times New Roman"/>
                <w:b w:val="0"/>
                <w:bCs w:val="0"/>
                <w:color w:val="auto"/>
                <w:sz w:val="21"/>
                <w:szCs w:val="21"/>
                <w:highlight w:val="none"/>
                <w:shd w:val="clear" w:color="auto" w:fill="auto"/>
                <w:lang w:val="en-US" w:eastAsia="zh-CN"/>
              </w:rPr>
              <w:t>主要对区域常见的鸟类、爬行类、兽类生物</w:t>
            </w:r>
            <w:r>
              <w:rPr>
                <w:rFonts w:hint="default" w:ascii="Times New Roman" w:hAnsi="Times New Roman" w:eastAsia="宋体" w:cs="Times New Roman"/>
                <w:b w:val="0"/>
                <w:bCs w:val="0"/>
                <w:color w:val="auto"/>
                <w:sz w:val="21"/>
                <w:szCs w:val="21"/>
                <w:highlight w:val="none"/>
                <w:shd w:val="clear" w:color="auto" w:fill="auto"/>
                <w:lang w:val="en-US" w:eastAsia="zh-CN"/>
              </w:rPr>
              <w:t>的生活、取食环境有一定影响，但是这种不利影响是局限的，这些动物在非施工区也可以找到相同或相似生境，可迁移到合适生境中生活，对其生存不会造成威胁，且</w:t>
            </w:r>
            <w:r>
              <w:rPr>
                <w:rFonts w:hint="eastAsia" w:cs="Times New Roman"/>
                <w:b w:val="0"/>
                <w:bCs w:val="0"/>
                <w:color w:val="auto"/>
                <w:sz w:val="21"/>
                <w:szCs w:val="21"/>
                <w:highlight w:val="none"/>
                <w:shd w:val="clear" w:color="auto" w:fill="auto"/>
                <w:lang w:val="en-US" w:eastAsia="zh-CN"/>
              </w:rPr>
              <w:t>区域</w:t>
            </w:r>
            <w:r>
              <w:rPr>
                <w:rFonts w:hint="default" w:ascii="Times New Roman" w:hAnsi="Times New Roman" w:eastAsia="宋体" w:cs="Times New Roman"/>
                <w:b w:val="0"/>
                <w:bCs w:val="0"/>
                <w:color w:val="auto"/>
                <w:sz w:val="21"/>
                <w:szCs w:val="21"/>
                <w:highlight w:val="none"/>
                <w:shd w:val="clear" w:color="auto" w:fill="auto"/>
                <w:lang w:val="en-US" w:eastAsia="zh-CN"/>
              </w:rPr>
              <w:t>周边人类干扰较强烈，</w:t>
            </w:r>
            <w:r>
              <w:rPr>
                <w:rFonts w:hint="default" w:ascii="Times New Roman" w:hAnsi="Times New Roman" w:eastAsia="宋体" w:cs="Times New Roman"/>
                <w:b w:val="0"/>
                <w:bCs w:val="0"/>
                <w:color w:val="0000FF"/>
                <w:sz w:val="21"/>
                <w:szCs w:val="21"/>
                <w:highlight w:val="none"/>
                <w:shd w:val="clear" w:color="auto" w:fill="auto"/>
                <w:lang w:val="en-US" w:eastAsia="zh-CN"/>
              </w:rPr>
              <w:t>无珍稀濒危野生动物，</w:t>
            </w:r>
            <w:r>
              <w:rPr>
                <w:rFonts w:hint="default" w:ascii="Times New Roman" w:hAnsi="Times New Roman" w:eastAsia="宋体" w:cs="Times New Roman"/>
                <w:b w:val="0"/>
                <w:bCs w:val="0"/>
                <w:color w:val="auto"/>
                <w:sz w:val="21"/>
                <w:szCs w:val="21"/>
                <w:highlight w:val="none"/>
                <w:shd w:val="clear" w:color="auto" w:fill="auto"/>
                <w:lang w:val="en-US" w:eastAsia="zh-CN"/>
              </w:rPr>
              <w:t>不会造成本区域的野生动物种类和数量锐减</w:t>
            </w:r>
            <w:r>
              <w:rPr>
                <w:rFonts w:hint="default" w:ascii="Times New Roman" w:hAnsi="Times New Roman" w:eastAsia="宋体" w:cs="Times New Roman"/>
                <w:b w:val="0"/>
                <w:bCs/>
                <w:color w:val="auto"/>
                <w:sz w:val="21"/>
                <w:szCs w:val="21"/>
                <w:highlight w:val="none"/>
              </w:rPr>
              <w:t>，施工期对陆生动物影响较小</w:t>
            </w:r>
            <w:r>
              <w:rPr>
                <w:rFonts w:hint="default" w:ascii="Times New Roman" w:hAnsi="Times New Roman" w:eastAsia="宋体" w:cs="Times New Roman"/>
                <w:b w:val="0"/>
                <w:bCs/>
                <w:color w:val="auto"/>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textAlignment w:val="auto"/>
              <w:rPr>
                <w:rFonts w:hint="default" w:ascii="Times New Roman" w:hAnsi="Times New Roman" w:eastAsia="宋体" w:cs="Times New Roman"/>
                <w:b/>
                <w:bCs w:val="0"/>
                <w:color w:val="auto"/>
                <w:kern w:val="0"/>
                <w:sz w:val="21"/>
                <w:szCs w:val="21"/>
                <w:highlight w:val="none"/>
              </w:rPr>
            </w:pPr>
            <w:r>
              <w:rPr>
                <w:rFonts w:hint="default" w:ascii="Times New Roman" w:hAnsi="Times New Roman" w:cs="Times New Roman"/>
                <w:b/>
                <w:bCs w:val="0"/>
                <w:color w:val="auto"/>
                <w:kern w:val="0"/>
                <w:sz w:val="21"/>
                <w:szCs w:val="21"/>
                <w:highlight w:val="none"/>
                <w:lang w:val="en-US" w:eastAsia="zh-CN"/>
              </w:rPr>
              <w:t>4.1.</w:t>
            </w:r>
            <w:r>
              <w:rPr>
                <w:rFonts w:hint="eastAsia" w:cs="Times New Roman"/>
                <w:b/>
                <w:bCs w:val="0"/>
                <w:color w:val="auto"/>
                <w:kern w:val="0"/>
                <w:sz w:val="21"/>
                <w:szCs w:val="21"/>
                <w:highlight w:val="none"/>
                <w:lang w:val="en-US" w:eastAsia="zh-CN"/>
              </w:rPr>
              <w:t>3</w:t>
            </w:r>
            <w:r>
              <w:rPr>
                <w:rFonts w:hint="default" w:ascii="Times New Roman" w:hAnsi="Times New Roman" w:cs="Times New Roman"/>
                <w:b/>
                <w:bCs w:val="0"/>
                <w:color w:val="auto"/>
                <w:kern w:val="0"/>
                <w:sz w:val="21"/>
                <w:szCs w:val="21"/>
                <w:highlight w:val="none"/>
                <w:lang w:val="en-US" w:eastAsia="zh-CN"/>
              </w:rPr>
              <w:t>对水生</w:t>
            </w:r>
            <w:r>
              <w:rPr>
                <w:rFonts w:hint="eastAsia" w:cs="Times New Roman"/>
                <w:b/>
                <w:bCs w:val="0"/>
                <w:color w:val="auto"/>
                <w:kern w:val="0"/>
                <w:sz w:val="21"/>
                <w:szCs w:val="21"/>
                <w:highlight w:val="none"/>
                <w:lang w:val="en-US" w:eastAsia="zh-CN"/>
              </w:rPr>
              <w:t>生态</w:t>
            </w:r>
            <w:r>
              <w:rPr>
                <w:rFonts w:hint="default" w:ascii="Times New Roman" w:hAnsi="Times New Roman" w:cs="Times New Roman"/>
                <w:b/>
                <w:bCs w:val="0"/>
                <w:color w:val="auto"/>
                <w:kern w:val="0"/>
                <w:sz w:val="21"/>
                <w:szCs w:val="21"/>
                <w:highlight w:val="none"/>
                <w:lang w:val="en-US" w:eastAsia="zh-CN"/>
              </w:rPr>
              <w:t>的影响</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1、</w:t>
            </w:r>
            <w:r>
              <w:rPr>
                <w:rFonts w:hint="default" w:ascii="Times New Roman" w:hAnsi="Times New Roman" w:cs="Times New Roman"/>
                <w:b w:val="0"/>
                <w:bCs/>
                <w:color w:val="auto"/>
                <w:kern w:val="0"/>
                <w:sz w:val="21"/>
                <w:szCs w:val="21"/>
                <w:highlight w:val="none"/>
                <w:lang w:val="en-US" w:eastAsia="zh-CN"/>
              </w:rPr>
              <w:t>对浮游动植物的影响</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施工期废水若不经处理直接排放，将对水体造成一定程度的污染，导致水体中硅藻等喜洁净水体的种群密度和生物量下降，蓝藻门和绿藻门中一些耐污染的种群密度和生物量将增加，同时工程施工引起水体中SS和油污的大量增加，导致水体透明度下降，引起浮游动植物的生物量大幅下降。</w:t>
            </w:r>
            <w:r>
              <w:rPr>
                <w:rFonts w:hint="eastAsia" w:cs="Times New Roman"/>
                <w:b w:val="0"/>
                <w:bCs/>
                <w:color w:val="auto"/>
                <w:kern w:val="0"/>
                <w:sz w:val="21"/>
                <w:szCs w:val="21"/>
                <w:highlight w:val="none"/>
                <w:lang w:val="en-US" w:eastAsia="zh-CN"/>
              </w:rPr>
              <w:t>项目</w:t>
            </w:r>
            <w:r>
              <w:rPr>
                <w:rFonts w:hint="default" w:ascii="Times New Roman" w:hAnsi="Times New Roman" w:cs="Times New Roman"/>
                <w:b w:val="0"/>
                <w:bCs/>
                <w:color w:val="auto"/>
                <w:kern w:val="0"/>
                <w:sz w:val="21"/>
                <w:szCs w:val="21"/>
                <w:highlight w:val="none"/>
                <w:lang w:val="en-US" w:eastAsia="zh-CN"/>
              </w:rPr>
              <w:t>对施工废水和生活污水进行有效处理，施工期对水域水质影响</w:t>
            </w:r>
            <w:r>
              <w:rPr>
                <w:rFonts w:hint="eastAsia" w:cs="Times New Roman"/>
                <w:b w:val="0"/>
                <w:bCs/>
                <w:color w:val="auto"/>
                <w:kern w:val="0"/>
                <w:sz w:val="21"/>
                <w:szCs w:val="21"/>
                <w:highlight w:val="none"/>
                <w:lang w:val="en-US" w:eastAsia="zh-CN"/>
              </w:rPr>
              <w:t>较小</w:t>
            </w:r>
            <w:r>
              <w:rPr>
                <w:rFonts w:hint="default" w:ascii="Times New Roman" w:hAnsi="Times New Roman" w:cs="Times New Roman"/>
                <w:b w:val="0"/>
                <w:bCs/>
                <w:color w:val="auto"/>
                <w:kern w:val="0"/>
                <w:sz w:val="21"/>
                <w:szCs w:val="21"/>
                <w:highlight w:val="none"/>
                <w:lang w:val="en-US" w:eastAsia="zh-CN"/>
              </w:rPr>
              <w:t>，藻类植物的生物量和种类变化不大。</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2、</w:t>
            </w:r>
            <w:r>
              <w:rPr>
                <w:rFonts w:hint="default" w:ascii="Times New Roman" w:hAnsi="Times New Roman" w:cs="Times New Roman"/>
                <w:b w:val="0"/>
                <w:bCs/>
                <w:color w:val="auto"/>
                <w:kern w:val="0"/>
                <w:sz w:val="21"/>
                <w:szCs w:val="21"/>
                <w:highlight w:val="none"/>
                <w:lang w:val="en-US" w:eastAsia="zh-CN"/>
              </w:rPr>
              <w:t>对底栖动物的影响</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施工期施工活动使水土流失量增大，降低水质，若不采取有效措施，将导致枯水季节工程影响河段水体浑浊度进一步增大，若生活污水不经处理，水体有机质含量可能稍有短暂性增加，直接影响浮游动物的生存和繁衍。</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3、</w:t>
            </w:r>
            <w:r>
              <w:rPr>
                <w:rFonts w:hint="default" w:ascii="Times New Roman" w:hAnsi="Times New Roman" w:cs="Times New Roman"/>
                <w:b w:val="0"/>
                <w:bCs/>
                <w:color w:val="auto"/>
                <w:kern w:val="0"/>
                <w:sz w:val="21"/>
                <w:szCs w:val="21"/>
                <w:highlight w:val="none"/>
                <w:lang w:val="en-US" w:eastAsia="zh-CN"/>
              </w:rPr>
              <w:t>对水生维管束植物的影响</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工程施工占地范围内的地覆植物将全部清除，水生维管束植物个体数量将会有所减少，但由于工程施工范围内的适宜其生长的河流水域等湿地环境区域面积较小，工程范围内的水生维管束植物相对较少，且工程施工影响范围内的水生植物多为常见种，较为普遍，工程施工不会使其种群数量发生显著变化，因此，工程施工期对水生维管束植物的影响较小。</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4、</w:t>
            </w:r>
            <w:r>
              <w:rPr>
                <w:rFonts w:hint="default" w:ascii="Times New Roman" w:hAnsi="Times New Roman" w:cs="Times New Roman"/>
                <w:b w:val="0"/>
                <w:bCs/>
                <w:color w:val="auto"/>
                <w:kern w:val="0"/>
                <w:sz w:val="21"/>
                <w:szCs w:val="21"/>
                <w:highlight w:val="none"/>
                <w:lang w:val="en-US" w:eastAsia="zh-CN"/>
              </w:rPr>
              <w:t>对鱼类的影响</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施工期间人员、机械、车辆产生的大量噪音，爆破的地震波将迫使鱼类往上下</w:t>
            </w:r>
            <w:r>
              <w:rPr>
                <w:rFonts w:hint="eastAsia" w:cs="Times New Roman"/>
                <w:b w:val="0"/>
                <w:bCs/>
                <w:color w:val="auto"/>
                <w:kern w:val="0"/>
                <w:sz w:val="21"/>
                <w:szCs w:val="21"/>
                <w:highlight w:val="none"/>
                <w:lang w:val="en-US" w:eastAsia="zh-CN"/>
              </w:rPr>
              <w:t>河</w:t>
            </w:r>
            <w:r>
              <w:rPr>
                <w:rFonts w:hint="default" w:ascii="Times New Roman" w:hAnsi="Times New Roman" w:cs="Times New Roman"/>
                <w:b w:val="0"/>
                <w:bCs/>
                <w:color w:val="auto"/>
                <w:kern w:val="0"/>
                <w:sz w:val="21"/>
                <w:szCs w:val="21"/>
                <w:highlight w:val="none"/>
                <w:lang w:val="en-US" w:eastAsia="zh-CN"/>
              </w:rPr>
              <w:t>段迁移，生存空间减小。施工期间，大坝和建筑基础开挖钻机噪声为阵发性、高频声源，传播距离较远。施工期间机械振动、噪</w:t>
            </w:r>
            <w:r>
              <w:rPr>
                <w:rFonts w:hint="eastAsia" w:cs="Times New Roman"/>
                <w:b w:val="0"/>
                <w:bCs/>
                <w:color w:val="auto"/>
                <w:kern w:val="0"/>
                <w:sz w:val="21"/>
                <w:szCs w:val="21"/>
                <w:highlight w:val="none"/>
                <w:lang w:val="en-US" w:eastAsia="zh-CN"/>
              </w:rPr>
              <w:t>声</w:t>
            </w:r>
            <w:r>
              <w:rPr>
                <w:rFonts w:hint="default" w:ascii="Times New Roman" w:hAnsi="Times New Roman" w:cs="Times New Roman"/>
                <w:b w:val="0"/>
                <w:bCs/>
                <w:color w:val="auto"/>
                <w:kern w:val="0"/>
                <w:sz w:val="21"/>
                <w:szCs w:val="21"/>
                <w:highlight w:val="none"/>
                <w:lang w:val="en-US" w:eastAsia="zh-CN"/>
              </w:rPr>
              <w:t>，特别是</w:t>
            </w:r>
            <w:r>
              <w:rPr>
                <w:rFonts w:hint="eastAsia" w:cs="Times New Roman"/>
                <w:b w:val="0"/>
                <w:bCs/>
                <w:color w:val="auto"/>
                <w:kern w:val="0"/>
                <w:sz w:val="21"/>
                <w:szCs w:val="21"/>
                <w:highlight w:val="none"/>
                <w:lang w:val="en-US" w:eastAsia="zh-CN"/>
              </w:rPr>
              <w:t>爆破</w:t>
            </w:r>
            <w:r>
              <w:rPr>
                <w:rFonts w:hint="default" w:ascii="Times New Roman" w:hAnsi="Times New Roman" w:cs="Times New Roman"/>
                <w:b w:val="0"/>
                <w:bCs/>
                <w:color w:val="auto"/>
                <w:kern w:val="0"/>
                <w:sz w:val="21"/>
                <w:szCs w:val="21"/>
                <w:highlight w:val="none"/>
                <w:lang w:val="en-US" w:eastAsia="zh-CN"/>
              </w:rPr>
              <w:t>开挖的振动</w:t>
            </w:r>
            <w:r>
              <w:rPr>
                <w:rFonts w:hint="eastAsia" w:cs="Times New Roman"/>
                <w:b w:val="0"/>
                <w:bCs/>
                <w:color w:val="auto"/>
                <w:kern w:val="0"/>
                <w:sz w:val="21"/>
                <w:szCs w:val="21"/>
                <w:highlight w:val="none"/>
                <w:lang w:val="en-US" w:eastAsia="zh-CN"/>
              </w:rPr>
              <w:t>较</w:t>
            </w:r>
            <w:r>
              <w:rPr>
                <w:rFonts w:hint="default" w:ascii="Times New Roman" w:hAnsi="Times New Roman" w:cs="Times New Roman"/>
                <w:b w:val="0"/>
                <w:bCs/>
                <w:color w:val="auto"/>
                <w:kern w:val="0"/>
                <w:sz w:val="21"/>
                <w:szCs w:val="21"/>
                <w:highlight w:val="none"/>
                <w:lang w:val="en-US" w:eastAsia="zh-CN"/>
              </w:rPr>
              <w:t>大，可能使爆破开挖河段的鱼类暂时逃离这个地区，一些小型鱼类可能会逐渐适应环境而在该段水域逗留。对于施工期间产生生产和生活污水严格处理并进行达标排放，对鱼类的生存影响较小。</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施工前会进行施工导流活动，在一定程度上压缩了鱼类的生存空间；施工导流过程中，施工区附近水体的悬浮物颗粒浓度增加破坏了鱼类的生存环境。</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eastAsia="宋体" w:cs="Times New Roman"/>
                <w:b w:val="0"/>
                <w:bCs w:val="0"/>
                <w:color w:val="auto"/>
                <w:sz w:val="21"/>
                <w:szCs w:val="21"/>
                <w:highlight w:val="none"/>
                <w:shd w:val="clear" w:color="auto" w:fill="auto"/>
                <w:lang w:val="en-US" w:eastAsia="zh-CN"/>
              </w:rPr>
              <w:t>根据调查，工程河段未发现分布有重点保护鱼类，工程所在河段无珍稀水生生物及珍稀鱼类“三场”分布，</w:t>
            </w:r>
            <w:r>
              <w:rPr>
                <w:rFonts w:hint="eastAsia" w:cs="Times New Roman"/>
                <w:b w:val="0"/>
                <w:bCs w:val="0"/>
                <w:color w:val="auto"/>
                <w:sz w:val="21"/>
                <w:szCs w:val="21"/>
                <w:highlight w:val="none"/>
                <w:shd w:val="clear" w:color="auto" w:fill="auto"/>
                <w:lang w:val="en-US" w:eastAsia="zh-CN"/>
              </w:rPr>
              <w:t>评价区内不存在鱼类洄游通道，</w:t>
            </w:r>
            <w:r>
              <w:rPr>
                <w:rFonts w:hint="default" w:ascii="Times New Roman" w:hAnsi="Times New Roman" w:eastAsia="宋体" w:cs="Times New Roman"/>
                <w:b w:val="0"/>
                <w:bCs w:val="0"/>
                <w:color w:val="auto"/>
                <w:sz w:val="21"/>
                <w:szCs w:val="21"/>
                <w:highlight w:val="none"/>
                <w:shd w:val="clear" w:color="auto" w:fill="auto"/>
                <w:lang w:val="en-US" w:eastAsia="zh-CN"/>
              </w:rPr>
              <w:t>工程施工对</w:t>
            </w:r>
            <w:r>
              <w:rPr>
                <w:rFonts w:hint="default" w:ascii="Times New Roman" w:hAnsi="Times New Roman" w:cs="Times New Roman"/>
                <w:b w:val="0"/>
                <w:bCs/>
                <w:color w:val="auto"/>
                <w:kern w:val="0"/>
                <w:sz w:val="21"/>
                <w:szCs w:val="21"/>
                <w:highlight w:val="none"/>
                <w:lang w:val="en-US" w:eastAsia="zh-CN"/>
              </w:rPr>
              <w:t>水生生物</w:t>
            </w:r>
            <w:r>
              <w:rPr>
                <w:rFonts w:hint="default" w:ascii="Times New Roman" w:hAnsi="Times New Roman" w:eastAsia="宋体" w:cs="Times New Roman"/>
                <w:b w:val="0"/>
                <w:bCs w:val="0"/>
                <w:color w:val="auto"/>
                <w:sz w:val="21"/>
                <w:szCs w:val="21"/>
                <w:highlight w:val="none"/>
                <w:shd w:val="clear" w:color="auto" w:fill="auto"/>
                <w:lang w:val="en-US" w:eastAsia="zh-CN"/>
              </w:rPr>
              <w:t>影响较小。</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textAlignment w:val="auto"/>
              <w:rPr>
                <w:rFonts w:hint="default" w:ascii="Times New Roman" w:hAnsi="Times New Roman" w:cs="Times New Roman"/>
                <w:b/>
                <w:bCs w:val="0"/>
                <w:color w:val="auto"/>
                <w:kern w:val="0"/>
                <w:sz w:val="21"/>
                <w:szCs w:val="21"/>
                <w:highlight w:val="none"/>
                <w:lang w:eastAsia="zh-CN"/>
              </w:rPr>
            </w:pPr>
            <w:r>
              <w:rPr>
                <w:rFonts w:hint="default" w:ascii="Times New Roman" w:hAnsi="Times New Roman" w:cs="Times New Roman"/>
                <w:b/>
                <w:bCs w:val="0"/>
                <w:color w:val="auto"/>
                <w:kern w:val="0"/>
                <w:sz w:val="21"/>
                <w:szCs w:val="21"/>
                <w:highlight w:val="none"/>
                <w:lang w:val="en-US" w:eastAsia="zh-CN"/>
              </w:rPr>
              <w:t>4.1.</w:t>
            </w:r>
            <w:r>
              <w:rPr>
                <w:rFonts w:hint="eastAsia" w:cs="Times New Roman"/>
                <w:b/>
                <w:bCs w:val="0"/>
                <w:color w:val="auto"/>
                <w:kern w:val="0"/>
                <w:sz w:val="21"/>
                <w:szCs w:val="21"/>
                <w:highlight w:val="none"/>
                <w:lang w:val="en-US" w:eastAsia="zh-CN"/>
              </w:rPr>
              <w:t>4</w:t>
            </w:r>
            <w:r>
              <w:rPr>
                <w:rFonts w:hint="default" w:ascii="Times New Roman" w:hAnsi="Times New Roman" w:cs="Times New Roman"/>
                <w:b/>
                <w:bCs w:val="0"/>
                <w:color w:val="auto"/>
                <w:kern w:val="0"/>
                <w:sz w:val="21"/>
                <w:szCs w:val="21"/>
                <w:highlight w:val="none"/>
                <w:lang w:eastAsia="zh-CN"/>
              </w:rPr>
              <w:t>对水土流失的影响</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本项目工程施工过程中，易造成水土流失，通过采取</w:t>
            </w:r>
            <w:r>
              <w:rPr>
                <w:rFonts w:hint="default" w:ascii="Times New Roman" w:hAnsi="Times New Roman" w:cs="Times New Roman"/>
                <w:snapToGrid w:val="0"/>
                <w:color w:val="auto"/>
                <w:sz w:val="21"/>
                <w:szCs w:val="21"/>
                <w:highlight w:val="none"/>
                <w:lang w:val="en-US" w:eastAsia="zh-CN"/>
              </w:rPr>
              <w:t>水土保持和生态恢复措施后</w:t>
            </w:r>
            <w:r>
              <w:rPr>
                <w:rFonts w:hint="default" w:ascii="Times New Roman" w:hAnsi="Times New Roman" w:cs="Times New Roman"/>
                <w:bCs/>
                <w:color w:val="auto"/>
                <w:kern w:val="0"/>
                <w:sz w:val="21"/>
                <w:szCs w:val="21"/>
                <w:highlight w:val="none"/>
                <w:lang w:val="en-US" w:eastAsia="zh-CN"/>
              </w:rPr>
              <w:t>，有效治理水土流失。根据</w:t>
            </w:r>
            <w:r>
              <w:rPr>
                <w:rFonts w:hint="default" w:ascii="Times New Roman" w:hAnsi="Times New Roman" w:cs="Times New Roman"/>
                <w:bCs/>
                <w:color w:val="auto"/>
                <w:kern w:val="0"/>
                <w:sz w:val="21"/>
                <w:szCs w:val="21"/>
                <w:highlight w:val="none"/>
                <w:lang w:eastAsia="zh-CN"/>
              </w:rPr>
              <w:t>本工程水土保持方案，</w:t>
            </w:r>
            <w:r>
              <w:rPr>
                <w:rFonts w:hint="default" w:ascii="Times New Roman" w:hAnsi="Times New Roman" w:cs="Times New Roman"/>
                <w:bCs/>
                <w:color w:val="auto"/>
                <w:kern w:val="0"/>
                <w:sz w:val="21"/>
                <w:szCs w:val="21"/>
                <w:highlight w:val="none"/>
                <w:lang w:val="en-US" w:eastAsia="zh-CN"/>
              </w:rPr>
              <w:t>项目</w:t>
            </w:r>
            <w:r>
              <w:rPr>
                <w:rFonts w:hint="default" w:ascii="Times New Roman" w:hAnsi="Times New Roman" w:cs="Times New Roman"/>
                <w:bCs/>
                <w:color w:val="auto"/>
                <w:kern w:val="0"/>
                <w:sz w:val="21"/>
                <w:szCs w:val="21"/>
                <w:highlight w:val="none"/>
                <w:lang w:eastAsia="zh-CN"/>
              </w:rPr>
              <w:t>水土流失防治责任范围为</w:t>
            </w:r>
            <w:r>
              <w:rPr>
                <w:rFonts w:hint="eastAsia"/>
                <w:color w:val="auto"/>
                <w:highlight w:val="none"/>
              </w:rPr>
              <w:t>项目建设区，面积为36.05hm</w:t>
            </w:r>
            <w:r>
              <w:rPr>
                <w:rFonts w:hint="eastAsia"/>
                <w:color w:val="auto"/>
                <w:highlight w:val="none"/>
                <w:vertAlign w:val="superscript"/>
              </w:rPr>
              <w:t>2</w:t>
            </w:r>
            <w:r>
              <w:rPr>
                <w:rFonts w:hint="eastAsia"/>
                <w:color w:val="auto"/>
                <w:highlight w:val="none"/>
              </w:rPr>
              <w:t>（含水库淹没区19.68hm</w:t>
            </w:r>
            <w:r>
              <w:rPr>
                <w:rFonts w:hint="eastAsia"/>
                <w:color w:val="auto"/>
                <w:highlight w:val="none"/>
                <w:vertAlign w:val="superscript"/>
              </w:rPr>
              <w:t>2</w:t>
            </w:r>
            <w:r>
              <w:rPr>
                <w:rFonts w:hint="eastAsia"/>
                <w:color w:val="auto"/>
                <w:highlight w:val="none"/>
              </w:rPr>
              <w:t>）</w:t>
            </w:r>
            <w:r>
              <w:rPr>
                <w:rFonts w:hint="default" w:ascii="Times New Roman" w:hAnsi="Times New Roman" w:cs="Times New Roman"/>
                <w:bCs/>
                <w:color w:val="auto"/>
                <w:kern w:val="0"/>
                <w:sz w:val="21"/>
                <w:szCs w:val="21"/>
                <w:highlight w:val="none"/>
                <w:lang w:eastAsia="zh-CN"/>
              </w:rPr>
              <w:t>，其中，永久占地</w:t>
            </w:r>
            <w:r>
              <w:rPr>
                <w:rFonts w:hint="eastAsia" w:cs="Times New Roman"/>
                <w:bCs/>
                <w:color w:val="auto"/>
                <w:kern w:val="0"/>
                <w:sz w:val="21"/>
                <w:szCs w:val="21"/>
                <w:highlight w:val="none"/>
                <w:lang w:val="en-US" w:eastAsia="zh-CN"/>
              </w:rPr>
              <w:t>23.16</w:t>
            </w:r>
            <w:r>
              <w:rPr>
                <w:rFonts w:hint="default" w:ascii="Times New Roman" w:hAnsi="Times New Roman" w:cs="Times New Roman"/>
                <w:bCs/>
                <w:color w:val="auto"/>
                <w:kern w:val="0"/>
                <w:sz w:val="21"/>
                <w:szCs w:val="21"/>
                <w:highlight w:val="none"/>
                <w:lang w:eastAsia="zh-CN"/>
              </w:rPr>
              <w:t>hm</w:t>
            </w:r>
            <w:r>
              <w:rPr>
                <w:rFonts w:hint="default" w:ascii="Times New Roman" w:hAnsi="Times New Roman" w:cs="Times New Roman"/>
                <w:bCs/>
                <w:color w:val="auto"/>
                <w:kern w:val="0"/>
                <w:sz w:val="21"/>
                <w:szCs w:val="21"/>
                <w:highlight w:val="none"/>
                <w:vertAlign w:val="superscript"/>
                <w:lang w:eastAsia="zh-CN"/>
              </w:rPr>
              <w:t>2</w:t>
            </w:r>
            <w:r>
              <w:rPr>
                <w:rFonts w:hint="default" w:ascii="Times New Roman" w:hAnsi="Times New Roman" w:cs="Times New Roman"/>
                <w:bCs/>
                <w:color w:val="auto"/>
                <w:kern w:val="0"/>
                <w:sz w:val="21"/>
                <w:szCs w:val="21"/>
                <w:highlight w:val="none"/>
                <w:lang w:eastAsia="zh-CN"/>
              </w:rPr>
              <w:t>，包括枢纽工程、</w:t>
            </w:r>
            <w:r>
              <w:rPr>
                <w:rFonts w:hint="eastAsia" w:cs="Times New Roman"/>
                <w:bCs/>
                <w:color w:val="auto"/>
                <w:kern w:val="0"/>
                <w:sz w:val="21"/>
                <w:szCs w:val="21"/>
                <w:highlight w:val="none"/>
                <w:lang w:eastAsia="zh-CN"/>
              </w:rPr>
              <w:t>灌区</w:t>
            </w:r>
            <w:r>
              <w:rPr>
                <w:rFonts w:hint="default" w:ascii="Times New Roman" w:hAnsi="Times New Roman" w:cs="Times New Roman"/>
                <w:bCs/>
                <w:color w:val="auto"/>
                <w:kern w:val="0"/>
                <w:sz w:val="21"/>
                <w:szCs w:val="21"/>
                <w:highlight w:val="none"/>
                <w:lang w:eastAsia="zh-CN"/>
              </w:rPr>
              <w:t>工程</w:t>
            </w:r>
            <w:r>
              <w:rPr>
                <w:rFonts w:hint="eastAsia" w:cs="Times New Roman"/>
                <w:bCs/>
                <w:color w:val="auto"/>
                <w:kern w:val="0"/>
                <w:sz w:val="21"/>
                <w:szCs w:val="21"/>
                <w:highlight w:val="none"/>
                <w:lang w:eastAsia="zh-CN"/>
              </w:rPr>
              <w:t>、</w:t>
            </w:r>
            <w:r>
              <w:rPr>
                <w:rFonts w:hint="eastAsia"/>
                <w:color w:val="auto"/>
                <w:highlight w:val="none"/>
              </w:rPr>
              <w:t>水库淹没区</w:t>
            </w:r>
            <w:r>
              <w:rPr>
                <w:rFonts w:hint="default" w:ascii="Times New Roman" w:hAnsi="Times New Roman" w:cs="Times New Roman"/>
                <w:bCs/>
                <w:color w:val="auto"/>
                <w:kern w:val="0"/>
                <w:sz w:val="21"/>
                <w:szCs w:val="21"/>
                <w:highlight w:val="none"/>
                <w:lang w:eastAsia="zh-CN"/>
              </w:rPr>
              <w:t>；临时占地</w:t>
            </w:r>
            <w:r>
              <w:rPr>
                <w:rFonts w:hint="eastAsia" w:cs="Times New Roman"/>
                <w:bCs/>
                <w:color w:val="auto"/>
                <w:kern w:val="0"/>
                <w:sz w:val="21"/>
                <w:szCs w:val="21"/>
                <w:highlight w:val="none"/>
                <w:lang w:val="en-US" w:eastAsia="zh-CN"/>
              </w:rPr>
              <w:t>12.88</w:t>
            </w:r>
            <w:r>
              <w:rPr>
                <w:rFonts w:hint="default" w:ascii="Times New Roman" w:hAnsi="Times New Roman" w:cs="Times New Roman"/>
                <w:bCs/>
                <w:color w:val="auto"/>
                <w:kern w:val="0"/>
                <w:sz w:val="21"/>
                <w:szCs w:val="21"/>
                <w:highlight w:val="none"/>
                <w:lang w:eastAsia="zh-CN"/>
              </w:rPr>
              <w:t>hm</w:t>
            </w:r>
            <w:r>
              <w:rPr>
                <w:rFonts w:hint="default" w:ascii="Times New Roman" w:hAnsi="Times New Roman" w:cs="Times New Roman"/>
                <w:bCs/>
                <w:color w:val="auto"/>
                <w:kern w:val="0"/>
                <w:sz w:val="21"/>
                <w:szCs w:val="21"/>
                <w:highlight w:val="none"/>
                <w:vertAlign w:val="superscript"/>
                <w:lang w:eastAsia="zh-CN"/>
              </w:rPr>
              <w:t>2</w:t>
            </w:r>
            <w:r>
              <w:rPr>
                <w:rFonts w:hint="default" w:ascii="Times New Roman" w:hAnsi="Times New Roman" w:cs="Times New Roman"/>
                <w:bCs/>
                <w:color w:val="auto"/>
                <w:kern w:val="0"/>
                <w:sz w:val="21"/>
                <w:szCs w:val="21"/>
                <w:highlight w:val="none"/>
                <w:lang w:eastAsia="zh-CN"/>
              </w:rPr>
              <w:t>，包括</w:t>
            </w:r>
            <w:r>
              <w:rPr>
                <w:rFonts w:hint="eastAsia"/>
                <w:color w:val="auto"/>
                <w:kern w:val="0"/>
                <w:sz w:val="21"/>
                <w:szCs w:val="21"/>
                <w:highlight w:val="none"/>
                <w:lang w:bidi="ar"/>
              </w:rPr>
              <w:t>施工生产生活设施</w:t>
            </w:r>
            <w:r>
              <w:rPr>
                <w:rFonts w:hint="eastAsia" w:cs="Times New Roman"/>
                <w:bCs/>
                <w:color w:val="auto"/>
                <w:kern w:val="0"/>
                <w:sz w:val="21"/>
                <w:szCs w:val="21"/>
                <w:highlight w:val="none"/>
                <w:lang w:eastAsia="zh-CN"/>
              </w:rPr>
              <w:t>、</w:t>
            </w:r>
            <w:r>
              <w:rPr>
                <w:rFonts w:hint="default" w:ascii="Times New Roman" w:hAnsi="Times New Roman" w:cs="Times New Roman"/>
                <w:bCs/>
                <w:color w:val="auto"/>
                <w:kern w:val="0"/>
                <w:sz w:val="21"/>
                <w:szCs w:val="21"/>
                <w:highlight w:val="none"/>
                <w:lang w:eastAsia="zh-CN"/>
              </w:rPr>
              <w:t>渣场、</w:t>
            </w:r>
            <w:r>
              <w:rPr>
                <w:rFonts w:hint="eastAsia"/>
                <w:color w:val="auto"/>
                <w:kern w:val="0"/>
                <w:sz w:val="21"/>
                <w:szCs w:val="21"/>
                <w:highlight w:val="none"/>
                <w:lang w:bidi="ar"/>
              </w:rPr>
              <w:t>施工公路</w:t>
            </w:r>
            <w:r>
              <w:rPr>
                <w:rFonts w:hint="default" w:ascii="Times New Roman" w:hAnsi="Times New Roman" w:cs="Times New Roman"/>
                <w:bCs/>
                <w:color w:val="auto"/>
                <w:kern w:val="0"/>
                <w:sz w:val="21"/>
                <w:szCs w:val="21"/>
                <w:highlight w:val="none"/>
                <w:lang w:eastAsia="zh-CN"/>
              </w:rPr>
              <w:t>、输水埋管</w:t>
            </w:r>
            <w:r>
              <w:rPr>
                <w:rFonts w:hint="eastAsia" w:cs="Times New Roman"/>
                <w:bCs/>
                <w:color w:val="auto"/>
                <w:kern w:val="0"/>
                <w:sz w:val="21"/>
                <w:szCs w:val="21"/>
                <w:highlight w:val="none"/>
                <w:lang w:val="en-US" w:eastAsia="zh-CN"/>
              </w:rPr>
              <w:t>等</w:t>
            </w:r>
            <w:r>
              <w:rPr>
                <w:rFonts w:hint="default" w:ascii="Times New Roman" w:hAnsi="Times New Roman" w:cs="Times New Roman"/>
                <w:bCs/>
                <w:color w:val="auto"/>
                <w:kern w:val="0"/>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bCs w:val="0"/>
                <w:color w:val="auto"/>
                <w:kern w:val="0"/>
                <w:sz w:val="21"/>
                <w:szCs w:val="21"/>
                <w:highlight w:val="none"/>
              </w:rPr>
            </w:pPr>
            <w:r>
              <w:rPr>
                <w:rFonts w:hint="default" w:ascii="Times New Roman" w:hAnsi="Times New Roman" w:cs="Times New Roman"/>
                <w:b/>
                <w:bCs w:val="0"/>
                <w:color w:val="auto"/>
                <w:kern w:val="0"/>
                <w:sz w:val="21"/>
                <w:szCs w:val="21"/>
                <w:highlight w:val="none"/>
                <w:lang w:val="en-US" w:eastAsia="zh-CN"/>
              </w:rPr>
              <w:t>4.2施工期</w:t>
            </w:r>
            <w:r>
              <w:rPr>
                <w:rFonts w:hint="default" w:ascii="Times New Roman" w:hAnsi="Times New Roman" w:eastAsia="宋体" w:cs="Times New Roman"/>
                <w:b/>
                <w:bCs w:val="0"/>
                <w:color w:val="auto"/>
                <w:kern w:val="0"/>
                <w:sz w:val="21"/>
                <w:szCs w:val="21"/>
                <w:highlight w:val="none"/>
              </w:rPr>
              <w:t>环境空气影响分析</w:t>
            </w:r>
          </w:p>
          <w:p>
            <w:pPr>
              <w:autoSpaceDE w:val="0"/>
              <w:autoSpaceDN w:val="0"/>
              <w:adjustRightInd w:val="0"/>
              <w:snapToGrid w:val="0"/>
              <w:spacing w:line="360" w:lineRule="auto"/>
              <w:ind w:firstLine="420" w:firstLineChars="200"/>
              <w:rPr>
                <w:rFonts w:hint="default" w:ascii="Times New Roman" w:hAnsi="Times New Roman" w:eastAsia="宋体" w:cs="Times New Roman"/>
                <w:bCs/>
                <w:color w:val="auto"/>
                <w:kern w:val="0"/>
                <w:sz w:val="21"/>
                <w:szCs w:val="21"/>
                <w:highlight w:val="none"/>
              </w:rPr>
            </w:pPr>
            <w:r>
              <w:rPr>
                <w:rFonts w:hint="default" w:ascii="Times New Roman" w:hAnsi="Times New Roman" w:cs="Times New Roman"/>
                <w:bCs/>
                <w:color w:val="auto"/>
                <w:kern w:val="0"/>
                <w:sz w:val="21"/>
                <w:szCs w:val="21"/>
                <w:highlight w:val="none"/>
                <w:lang w:eastAsia="zh-CN"/>
              </w:rPr>
              <w:t>本项目</w:t>
            </w:r>
            <w:r>
              <w:rPr>
                <w:rFonts w:hint="default" w:ascii="Times New Roman" w:hAnsi="Times New Roman" w:eastAsia="宋体" w:cs="Times New Roman"/>
                <w:bCs/>
                <w:color w:val="auto"/>
                <w:kern w:val="0"/>
                <w:sz w:val="21"/>
                <w:szCs w:val="21"/>
                <w:highlight w:val="none"/>
              </w:rPr>
              <w:t>施工期环境空气的影响主要</w:t>
            </w:r>
            <w:r>
              <w:rPr>
                <w:rFonts w:hint="eastAsia" w:cs="Times New Roman"/>
                <w:bCs/>
                <w:color w:val="auto"/>
                <w:kern w:val="0"/>
                <w:sz w:val="21"/>
                <w:szCs w:val="21"/>
                <w:highlight w:val="none"/>
                <w:lang w:eastAsia="zh-CN"/>
              </w:rPr>
              <w:t>来自</w:t>
            </w:r>
            <w:r>
              <w:rPr>
                <w:rFonts w:hint="default" w:ascii="Times New Roman" w:hAnsi="Times New Roman" w:eastAsia="宋体" w:cs="Times New Roman"/>
                <w:bCs/>
                <w:color w:val="auto"/>
                <w:kern w:val="0"/>
                <w:sz w:val="21"/>
                <w:szCs w:val="21"/>
                <w:highlight w:val="none"/>
              </w:rPr>
              <w:t>施工开挖、爆破、混凝土</w:t>
            </w:r>
            <w:r>
              <w:rPr>
                <w:rFonts w:hint="eastAsia" w:cs="Times New Roman"/>
                <w:bCs/>
                <w:color w:val="auto"/>
                <w:kern w:val="0"/>
                <w:sz w:val="21"/>
                <w:szCs w:val="21"/>
                <w:highlight w:val="none"/>
                <w:lang w:eastAsia="zh-CN"/>
              </w:rPr>
              <w:t>搅拌</w:t>
            </w:r>
            <w:r>
              <w:rPr>
                <w:rFonts w:hint="default" w:ascii="Times New Roman" w:hAnsi="Times New Roman" w:eastAsia="宋体" w:cs="Times New Roman"/>
                <w:bCs/>
                <w:color w:val="auto"/>
                <w:kern w:val="0"/>
                <w:sz w:val="21"/>
                <w:szCs w:val="21"/>
                <w:highlight w:val="none"/>
              </w:rPr>
              <w:t>、物料运输</w:t>
            </w:r>
            <w:r>
              <w:rPr>
                <w:rFonts w:hint="default" w:ascii="Times New Roman" w:hAnsi="Times New Roman" w:cs="Times New Roman"/>
                <w:bCs/>
                <w:color w:val="auto"/>
                <w:kern w:val="0"/>
                <w:sz w:val="21"/>
                <w:szCs w:val="21"/>
                <w:highlight w:val="none"/>
                <w:lang w:val="en-US" w:eastAsia="zh-CN"/>
              </w:rPr>
              <w:t>等过程</w:t>
            </w:r>
            <w:r>
              <w:rPr>
                <w:rFonts w:hint="default" w:ascii="Times New Roman" w:hAnsi="Times New Roman" w:eastAsia="宋体" w:cs="Times New Roman"/>
                <w:bCs/>
                <w:color w:val="auto"/>
                <w:kern w:val="0"/>
                <w:sz w:val="21"/>
                <w:szCs w:val="21"/>
                <w:highlight w:val="none"/>
              </w:rPr>
              <w:t>产生的扬尘</w:t>
            </w:r>
            <w:r>
              <w:rPr>
                <w:rFonts w:hint="default" w:ascii="Times New Roman" w:hAnsi="Times New Roman" w:cs="Times New Roman"/>
                <w:bCs/>
                <w:color w:val="auto"/>
                <w:kern w:val="0"/>
                <w:sz w:val="21"/>
                <w:szCs w:val="21"/>
                <w:highlight w:val="none"/>
                <w:lang w:eastAsia="zh-CN"/>
              </w:rPr>
              <w:t>、</w:t>
            </w:r>
            <w:r>
              <w:rPr>
                <w:rFonts w:hint="default" w:ascii="Times New Roman" w:hAnsi="Times New Roman" w:eastAsia="宋体" w:cs="Times New Roman"/>
                <w:bCs/>
                <w:color w:val="auto"/>
                <w:kern w:val="0"/>
                <w:sz w:val="21"/>
                <w:szCs w:val="21"/>
                <w:highlight w:val="none"/>
              </w:rPr>
              <w:t>施工机械燃油废气。</w:t>
            </w:r>
          </w:p>
          <w:p>
            <w:pPr>
              <w:autoSpaceDE w:val="0"/>
              <w:autoSpaceDN w:val="0"/>
              <w:adjustRightInd w:val="0"/>
              <w:snapToGrid w:val="0"/>
              <w:spacing w:line="360" w:lineRule="auto"/>
              <w:ind w:firstLine="420" w:firstLineChars="200"/>
              <w:rPr>
                <w:rFonts w:hint="default" w:ascii="Times New Roman" w:hAnsi="Times New Roman" w:eastAsia="宋体" w:cs="Times New Roman"/>
                <w:bCs/>
                <w:color w:val="auto"/>
                <w:kern w:val="0"/>
                <w:sz w:val="21"/>
                <w:szCs w:val="21"/>
                <w:highlight w:val="none"/>
              </w:rPr>
            </w:pPr>
            <w:r>
              <w:rPr>
                <w:rFonts w:hint="default" w:ascii="Times New Roman" w:hAnsi="Times New Roman" w:cs="Times New Roman"/>
                <w:bCs/>
                <w:color w:val="auto"/>
                <w:kern w:val="0"/>
                <w:sz w:val="21"/>
                <w:szCs w:val="21"/>
                <w:highlight w:val="none"/>
                <w:lang w:eastAsia="zh-CN"/>
              </w:rPr>
              <w:t>（</w:t>
            </w:r>
            <w:r>
              <w:rPr>
                <w:rFonts w:hint="default" w:ascii="Times New Roman" w:hAnsi="Times New Roman" w:cs="Times New Roman"/>
                <w:bCs/>
                <w:color w:val="auto"/>
                <w:kern w:val="0"/>
                <w:sz w:val="21"/>
                <w:szCs w:val="21"/>
                <w:highlight w:val="none"/>
                <w:lang w:val="en-US" w:eastAsia="zh-CN"/>
              </w:rPr>
              <w:t>1</w:t>
            </w:r>
            <w:r>
              <w:rPr>
                <w:rFonts w:hint="default" w:ascii="Times New Roman" w:hAnsi="Times New Roman" w:cs="Times New Roman"/>
                <w:bCs/>
                <w:color w:val="auto"/>
                <w:kern w:val="0"/>
                <w:sz w:val="21"/>
                <w:szCs w:val="21"/>
                <w:highlight w:val="none"/>
                <w:lang w:eastAsia="zh-CN"/>
              </w:rPr>
              <w:t>）施工作业面</w:t>
            </w:r>
            <w:r>
              <w:rPr>
                <w:rFonts w:hint="default" w:ascii="Times New Roman" w:hAnsi="Times New Roman" w:eastAsia="宋体" w:cs="Times New Roman"/>
                <w:bCs/>
                <w:color w:val="auto"/>
                <w:kern w:val="0"/>
                <w:sz w:val="21"/>
                <w:szCs w:val="21"/>
                <w:highlight w:val="none"/>
              </w:rPr>
              <w:t>扬尘</w:t>
            </w:r>
          </w:p>
          <w:p>
            <w:pPr>
              <w:autoSpaceDE w:val="0"/>
              <w:autoSpaceDN w:val="0"/>
              <w:adjustRightInd w:val="0"/>
              <w:snapToGrid w:val="0"/>
              <w:spacing w:line="360" w:lineRule="auto"/>
              <w:ind w:firstLine="420" w:firstLineChars="200"/>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水库枢纽工程、</w:t>
            </w:r>
            <w:r>
              <w:rPr>
                <w:rFonts w:hint="default" w:ascii="Times New Roman" w:hAnsi="Times New Roman" w:cs="Times New Roman"/>
                <w:bCs/>
                <w:color w:val="auto"/>
                <w:kern w:val="0"/>
                <w:sz w:val="21"/>
                <w:szCs w:val="21"/>
                <w:highlight w:val="none"/>
                <w:lang w:val="en-US" w:eastAsia="zh-CN"/>
              </w:rPr>
              <w:t>上坝</w:t>
            </w:r>
            <w:r>
              <w:rPr>
                <w:rFonts w:hint="default" w:ascii="Times New Roman" w:hAnsi="Times New Roman" w:eastAsia="宋体" w:cs="Times New Roman"/>
                <w:bCs/>
                <w:color w:val="auto"/>
                <w:kern w:val="0"/>
                <w:sz w:val="21"/>
                <w:szCs w:val="21"/>
                <w:highlight w:val="none"/>
              </w:rPr>
              <w:t>道路、管沟等施工开挖面或作业区均会产生施工扬尘，属于无组织排放。施工扬尘产生量与泥土含水率、天气干燥程度及风力、作业面大小、施工机械和施工方法，以及采取的抑尘措施等都有关系。类比同类工程，在不采取措施抑尘时，土石方施工区TSP浓度可达100mg/m</w:t>
            </w:r>
            <w:r>
              <w:rPr>
                <w:rFonts w:hint="default" w:ascii="Times New Roman" w:hAnsi="Times New Roman" w:eastAsia="宋体" w:cs="Times New Roman"/>
                <w:bCs/>
                <w:color w:val="auto"/>
                <w:kern w:val="0"/>
                <w:sz w:val="21"/>
                <w:szCs w:val="21"/>
                <w:highlight w:val="none"/>
                <w:vertAlign w:val="superscript"/>
              </w:rPr>
              <w:t>3</w:t>
            </w:r>
            <w:r>
              <w:rPr>
                <w:rFonts w:hint="default" w:ascii="Times New Roman" w:hAnsi="Times New Roman" w:eastAsia="宋体" w:cs="Times New Roman"/>
                <w:bCs/>
                <w:color w:val="auto"/>
                <w:kern w:val="0"/>
                <w:sz w:val="21"/>
                <w:szCs w:val="21"/>
                <w:highlight w:val="none"/>
              </w:rPr>
              <w:t>以上，将对施工区附近200m范围内的居民点产生较大影响。</w:t>
            </w:r>
            <w:r>
              <w:rPr>
                <w:rFonts w:hint="default" w:ascii="Times New Roman" w:hAnsi="Times New Roman" w:eastAsia="宋体" w:cs="Times New Roman"/>
                <w:color w:val="auto"/>
                <w:sz w:val="21"/>
                <w:szCs w:val="21"/>
                <w:highlight w:val="none"/>
                <w:shd w:val="clear" w:color="auto" w:fill="auto"/>
              </w:rPr>
              <w:t>施工过程中，</w:t>
            </w:r>
            <w:r>
              <w:rPr>
                <w:rFonts w:hint="default" w:ascii="Times New Roman" w:hAnsi="Times New Roman" w:eastAsia="宋体" w:cs="Times New Roman"/>
                <w:color w:val="auto"/>
                <w:sz w:val="21"/>
                <w:szCs w:val="21"/>
                <w:highlight w:val="none"/>
                <w:shd w:val="clear" w:color="auto" w:fill="auto"/>
                <w:lang w:val="en-US" w:eastAsia="zh-CN"/>
              </w:rPr>
              <w:t>通过采取</w:t>
            </w:r>
            <w:r>
              <w:rPr>
                <w:rFonts w:hint="default" w:ascii="Times New Roman" w:hAnsi="Times New Roman" w:eastAsia="宋体" w:cs="Times New Roman"/>
                <w:bCs/>
                <w:color w:val="auto"/>
                <w:kern w:val="0"/>
                <w:sz w:val="21"/>
                <w:szCs w:val="21"/>
                <w:highlight w:val="none"/>
              </w:rPr>
              <w:t>洒水、喷雾、清扫道路、遮盖粉料堆场、及时夯实松软裸露坡面等措施，可有效地控制施工粉尘的产生。</w:t>
            </w:r>
          </w:p>
          <w:p>
            <w:pPr>
              <w:autoSpaceDE w:val="0"/>
              <w:autoSpaceDN w:val="0"/>
              <w:adjustRightInd w:val="0"/>
              <w:snapToGrid w:val="0"/>
              <w:spacing w:line="360" w:lineRule="auto"/>
              <w:ind w:firstLine="420" w:firstLineChars="200"/>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eastAsia="zh-CN"/>
              </w:rPr>
              <w:t>（</w:t>
            </w:r>
            <w:r>
              <w:rPr>
                <w:rFonts w:hint="default" w:ascii="Times New Roman" w:hAnsi="Times New Roman" w:cs="Times New Roman"/>
                <w:bCs/>
                <w:color w:val="auto"/>
                <w:kern w:val="0"/>
                <w:sz w:val="21"/>
                <w:szCs w:val="21"/>
                <w:highlight w:val="none"/>
                <w:lang w:val="en-US" w:eastAsia="zh-CN"/>
              </w:rPr>
              <w:t>2）爆破粉尘</w:t>
            </w:r>
          </w:p>
          <w:p>
            <w:pPr>
              <w:autoSpaceDE w:val="0"/>
              <w:autoSpaceDN w:val="0"/>
              <w:adjustRightInd w:val="0"/>
              <w:snapToGrid w:val="0"/>
              <w:spacing w:line="360" w:lineRule="auto"/>
              <w:ind w:firstLine="420" w:firstLineChars="200"/>
              <w:rPr>
                <w:rFonts w:hint="default" w:ascii="Times New Roman" w:hAnsi="Times New Roman" w:cs="Times New Roman"/>
                <w:bCs/>
                <w:color w:val="auto"/>
                <w:kern w:val="0"/>
                <w:sz w:val="21"/>
                <w:szCs w:val="21"/>
                <w:highlight w:val="none"/>
                <w:lang w:eastAsia="zh-CN"/>
              </w:rPr>
            </w:pPr>
            <w:r>
              <w:rPr>
                <w:rFonts w:hint="default" w:ascii="Times New Roman" w:hAnsi="Times New Roman" w:cs="Times New Roman"/>
                <w:bCs/>
                <w:color w:val="auto"/>
                <w:kern w:val="0"/>
                <w:sz w:val="21"/>
                <w:szCs w:val="21"/>
                <w:highlight w:val="none"/>
                <w:lang w:val="en-US" w:eastAsia="zh-CN"/>
              </w:rPr>
              <w:t>工程土石方开挖爆破等</w:t>
            </w:r>
            <w:r>
              <w:rPr>
                <w:rFonts w:hint="default" w:ascii="Times New Roman" w:hAnsi="Times New Roman" w:cs="Times New Roman"/>
                <w:bCs/>
                <w:color w:val="auto"/>
                <w:kern w:val="0"/>
                <w:sz w:val="21"/>
                <w:szCs w:val="21"/>
                <w:highlight w:val="none"/>
                <w:lang w:eastAsia="zh-CN"/>
              </w:rPr>
              <w:t>过程中会产生爆破粉尘，由于爆破粉尘是在施工期内分时段排放，炸药引爆后瞬时集中排放，不会对施工区域环境空气质量产生长期的影响。</w:t>
            </w:r>
          </w:p>
          <w:p>
            <w:pPr>
              <w:autoSpaceDE w:val="0"/>
              <w:autoSpaceDN w:val="0"/>
              <w:adjustRightInd w:val="0"/>
              <w:snapToGrid w:val="0"/>
              <w:spacing w:line="360" w:lineRule="auto"/>
              <w:ind w:firstLine="420" w:firstLineChars="200"/>
              <w:rPr>
                <w:rFonts w:hint="default" w:ascii="Times New Roman" w:hAnsi="Times New Roman" w:cs="Times New Roman"/>
                <w:bCs/>
                <w:color w:val="auto"/>
                <w:kern w:val="0"/>
                <w:sz w:val="21"/>
                <w:szCs w:val="21"/>
                <w:highlight w:val="none"/>
                <w:lang w:eastAsia="zh-CN"/>
              </w:rPr>
            </w:pPr>
            <w:r>
              <w:rPr>
                <w:rFonts w:hint="default" w:ascii="Times New Roman" w:hAnsi="Times New Roman" w:cs="Times New Roman"/>
                <w:bCs/>
                <w:color w:val="auto"/>
                <w:kern w:val="0"/>
                <w:sz w:val="21"/>
                <w:szCs w:val="21"/>
                <w:highlight w:val="none"/>
                <w:lang w:eastAsia="zh-CN"/>
              </w:rPr>
              <w:t>工程土石方开挖爆破应优先选择预裂爆破、光面爆破、缓冲爆破、深孔微差挤压爆破等爆破技术，同时采取湿法作业，以减少粉尘产生量。</w:t>
            </w:r>
          </w:p>
          <w:p>
            <w:pPr>
              <w:autoSpaceDE w:val="0"/>
              <w:autoSpaceDN w:val="0"/>
              <w:adjustRightInd w:val="0"/>
              <w:snapToGrid w:val="0"/>
              <w:spacing w:line="360" w:lineRule="auto"/>
              <w:ind w:firstLine="420" w:firstLineChars="200"/>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eastAsia="zh-CN"/>
              </w:rPr>
              <w:t>（</w:t>
            </w:r>
            <w:r>
              <w:rPr>
                <w:rFonts w:hint="default" w:ascii="Times New Roman" w:hAnsi="Times New Roman" w:cs="Times New Roman"/>
                <w:bCs/>
                <w:color w:val="auto"/>
                <w:kern w:val="0"/>
                <w:sz w:val="21"/>
                <w:szCs w:val="21"/>
                <w:highlight w:val="none"/>
                <w:lang w:val="en-US" w:eastAsia="zh-CN"/>
              </w:rPr>
              <w:t>3）</w:t>
            </w:r>
            <w:r>
              <w:rPr>
                <w:rFonts w:hint="default" w:ascii="Times New Roman" w:hAnsi="Times New Roman" w:eastAsia="宋体" w:cs="Times New Roman"/>
                <w:bCs/>
                <w:color w:val="auto"/>
                <w:kern w:val="0"/>
                <w:sz w:val="21"/>
                <w:szCs w:val="21"/>
                <w:highlight w:val="none"/>
              </w:rPr>
              <w:t>混凝土搅拌</w:t>
            </w:r>
            <w:r>
              <w:rPr>
                <w:rFonts w:hint="default" w:ascii="Times New Roman" w:hAnsi="Times New Roman" w:cs="Times New Roman"/>
                <w:bCs/>
                <w:color w:val="auto"/>
                <w:kern w:val="0"/>
                <w:sz w:val="21"/>
                <w:szCs w:val="21"/>
                <w:highlight w:val="none"/>
                <w:lang w:val="en-US" w:eastAsia="zh-CN"/>
              </w:rPr>
              <w:t>站粉尘</w:t>
            </w:r>
          </w:p>
          <w:p>
            <w:pPr>
              <w:autoSpaceDE w:val="0"/>
              <w:autoSpaceDN w:val="0"/>
              <w:adjustRightInd w:val="0"/>
              <w:snapToGrid w:val="0"/>
              <w:spacing w:line="360" w:lineRule="auto"/>
              <w:ind w:firstLine="420" w:firstLineChars="200"/>
              <w:rPr>
                <w:rFonts w:hint="default" w:ascii="Times New Roman" w:hAnsi="Times New Roman" w:cs="Times New Roman"/>
                <w:bCs/>
                <w:color w:val="auto"/>
                <w:kern w:val="0"/>
                <w:sz w:val="21"/>
                <w:szCs w:val="21"/>
                <w:highlight w:val="none"/>
                <w:lang w:eastAsia="zh-CN"/>
              </w:rPr>
            </w:pPr>
            <w:r>
              <w:rPr>
                <w:rFonts w:hint="default" w:ascii="Times New Roman" w:hAnsi="Times New Roman" w:eastAsia="宋体" w:cs="Times New Roman"/>
                <w:bCs/>
                <w:color w:val="auto"/>
                <w:kern w:val="0"/>
                <w:sz w:val="21"/>
                <w:szCs w:val="21"/>
                <w:highlight w:val="none"/>
                <w:lang w:val="en-US" w:eastAsia="zh-CN"/>
              </w:rPr>
              <w:t>项目</w:t>
            </w:r>
            <w:r>
              <w:rPr>
                <w:rFonts w:hint="default" w:ascii="Times New Roman" w:hAnsi="Times New Roman" w:eastAsia="宋体" w:cs="Times New Roman"/>
                <w:bCs/>
                <w:color w:val="auto"/>
                <w:kern w:val="0"/>
                <w:sz w:val="21"/>
                <w:szCs w:val="21"/>
                <w:highlight w:val="none"/>
              </w:rPr>
              <w:t>砂石骨料外购，在源头上最大程度减少了粉尘产生，</w:t>
            </w:r>
            <w:r>
              <w:rPr>
                <w:rFonts w:hint="default" w:ascii="Times New Roman" w:hAnsi="Times New Roman" w:cs="Times New Roman"/>
                <w:bCs/>
                <w:color w:val="auto"/>
                <w:kern w:val="0"/>
                <w:sz w:val="21"/>
                <w:szCs w:val="21"/>
                <w:highlight w:val="none"/>
                <w:lang w:eastAsia="zh-CN"/>
              </w:rPr>
              <w:t>搅拌机采取喷淋降尘，并针对作业面及卸料、</w:t>
            </w:r>
            <w:r>
              <w:rPr>
                <w:rFonts w:hint="default" w:ascii="Times New Roman" w:hAnsi="Times New Roman" w:cs="Times New Roman"/>
                <w:bCs/>
                <w:color w:val="auto"/>
                <w:kern w:val="0"/>
                <w:sz w:val="21"/>
                <w:szCs w:val="21"/>
                <w:highlight w:val="none"/>
                <w:lang w:val="en-US" w:eastAsia="zh-CN"/>
              </w:rPr>
              <w:t>堆料</w:t>
            </w:r>
            <w:r>
              <w:rPr>
                <w:rFonts w:hint="default" w:ascii="Times New Roman" w:hAnsi="Times New Roman" w:cs="Times New Roman"/>
                <w:bCs/>
                <w:color w:val="auto"/>
                <w:kern w:val="0"/>
                <w:sz w:val="21"/>
                <w:szCs w:val="21"/>
                <w:highlight w:val="none"/>
                <w:lang w:eastAsia="zh-CN"/>
              </w:rPr>
              <w:t>过程采取喷淋抑尘措施，抑尘率可达 80%，粉尘对环境影响较小。</w:t>
            </w:r>
          </w:p>
          <w:p>
            <w:pPr>
              <w:autoSpaceDE w:val="0"/>
              <w:autoSpaceDN w:val="0"/>
              <w:adjustRightInd w:val="0"/>
              <w:snapToGrid w:val="0"/>
              <w:spacing w:line="360" w:lineRule="auto"/>
              <w:ind w:firstLine="420" w:firstLineChars="200"/>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eastAsia="zh-CN"/>
              </w:rPr>
              <w:t>（</w:t>
            </w:r>
            <w:r>
              <w:rPr>
                <w:rFonts w:hint="default" w:ascii="Times New Roman" w:hAnsi="Times New Roman" w:cs="Times New Roman"/>
                <w:bCs/>
                <w:color w:val="auto"/>
                <w:kern w:val="0"/>
                <w:sz w:val="21"/>
                <w:szCs w:val="21"/>
                <w:highlight w:val="none"/>
                <w:lang w:val="en-US" w:eastAsia="zh-CN"/>
              </w:rPr>
              <w:t>4）</w:t>
            </w:r>
            <w:r>
              <w:rPr>
                <w:rFonts w:hint="default" w:ascii="Times New Roman" w:hAnsi="Times New Roman" w:eastAsia="宋体" w:cs="Times New Roman"/>
                <w:bCs/>
                <w:color w:val="auto"/>
                <w:kern w:val="0"/>
                <w:sz w:val="21"/>
                <w:szCs w:val="21"/>
                <w:highlight w:val="none"/>
              </w:rPr>
              <w:t>运输扬尘</w:t>
            </w:r>
          </w:p>
          <w:p>
            <w:pPr>
              <w:autoSpaceDE w:val="0"/>
              <w:autoSpaceDN w:val="0"/>
              <w:adjustRightInd w:val="0"/>
              <w:snapToGrid w:val="0"/>
              <w:spacing w:line="360" w:lineRule="auto"/>
              <w:ind w:firstLine="420" w:firstLineChars="200"/>
              <w:rPr>
                <w:rFonts w:hint="default" w:ascii="Times New Roman" w:hAnsi="Times New Roman" w:cs="Times New Roman"/>
                <w:bCs/>
                <w:color w:val="auto"/>
                <w:kern w:val="0"/>
                <w:sz w:val="21"/>
                <w:szCs w:val="21"/>
                <w:highlight w:val="none"/>
                <w:lang w:eastAsia="zh-CN"/>
              </w:rPr>
            </w:pPr>
            <w:r>
              <w:rPr>
                <w:rFonts w:hint="default" w:ascii="Times New Roman" w:hAnsi="Times New Roman" w:cs="Times New Roman"/>
                <w:bCs/>
                <w:color w:val="auto"/>
                <w:kern w:val="0"/>
                <w:sz w:val="21"/>
                <w:szCs w:val="21"/>
                <w:highlight w:val="none"/>
                <w:lang w:eastAsia="zh-CN"/>
              </w:rPr>
              <w:t>施工便道等在晴天时容易产生扬尘，扬尘影响范围涉及道路两侧 30m 范围内。根据调查，有部分居民点在道路旁，而届时将有大量的砂石运输车辆从居民点前通过，如扬尘控制不好，运输车辆产生的扬尘也将对居民点造成影响。</w:t>
            </w:r>
          </w:p>
          <w:p>
            <w:pPr>
              <w:autoSpaceDE w:val="0"/>
              <w:autoSpaceDN w:val="0"/>
              <w:adjustRightInd w:val="0"/>
              <w:snapToGrid w:val="0"/>
              <w:spacing w:line="360" w:lineRule="auto"/>
              <w:ind w:firstLine="420" w:firstLineChars="200"/>
              <w:rPr>
                <w:rFonts w:hint="default" w:ascii="Times New Roman" w:hAnsi="Times New Roman" w:cs="Times New Roman"/>
                <w:bCs/>
                <w:color w:val="auto"/>
                <w:kern w:val="0"/>
                <w:sz w:val="21"/>
                <w:szCs w:val="21"/>
                <w:highlight w:val="none"/>
                <w:lang w:eastAsia="zh-CN"/>
              </w:rPr>
            </w:pPr>
            <w:r>
              <w:rPr>
                <w:rFonts w:hint="default" w:ascii="Times New Roman" w:hAnsi="Times New Roman" w:cs="Times New Roman"/>
                <w:bCs/>
                <w:color w:val="auto"/>
                <w:kern w:val="0"/>
                <w:sz w:val="21"/>
                <w:szCs w:val="21"/>
                <w:highlight w:val="none"/>
                <w:lang w:eastAsia="zh-CN"/>
              </w:rPr>
              <w:t>为减缓运输扬尘对周边大气环境的影响，建议在施工期采用密闭运输车辆，并定期对路面进行洒水。同时，加强土石方开挖、回填及运输的管理，并采用湿式作业，以减少施工粉尘对环境的污染，施工粉尘对环境的影响将随着施工的结束而消失。</w:t>
            </w:r>
          </w:p>
          <w:p>
            <w:pPr>
              <w:autoSpaceDE w:val="0"/>
              <w:autoSpaceDN w:val="0"/>
              <w:adjustRightInd w:val="0"/>
              <w:snapToGrid w:val="0"/>
              <w:spacing w:line="360" w:lineRule="auto"/>
              <w:ind w:firstLine="420" w:firstLineChars="200"/>
              <w:rPr>
                <w:rFonts w:hint="default" w:ascii="Times New Roman" w:hAnsi="Times New Roman" w:eastAsia="宋体" w:cs="Times New Roman"/>
                <w:bCs/>
                <w:color w:val="auto"/>
                <w:kern w:val="0"/>
                <w:sz w:val="21"/>
                <w:szCs w:val="21"/>
                <w:highlight w:val="none"/>
              </w:rPr>
            </w:pPr>
            <w:r>
              <w:rPr>
                <w:rFonts w:hint="default" w:ascii="Times New Roman" w:hAnsi="Times New Roman" w:cs="Times New Roman"/>
                <w:bCs/>
                <w:color w:val="auto"/>
                <w:kern w:val="0"/>
                <w:sz w:val="21"/>
                <w:szCs w:val="21"/>
                <w:highlight w:val="none"/>
                <w:lang w:val="en-US" w:eastAsia="zh-CN"/>
              </w:rPr>
              <w:t>（5）</w:t>
            </w:r>
            <w:r>
              <w:rPr>
                <w:rFonts w:hint="default" w:ascii="Times New Roman" w:hAnsi="Times New Roman" w:eastAsia="宋体" w:cs="Times New Roman"/>
                <w:bCs/>
                <w:color w:val="auto"/>
                <w:kern w:val="0"/>
                <w:sz w:val="21"/>
                <w:szCs w:val="21"/>
                <w:highlight w:val="none"/>
              </w:rPr>
              <w:t>燃油施工机具和车辆尾气</w:t>
            </w:r>
          </w:p>
          <w:p>
            <w:pPr>
              <w:autoSpaceDE w:val="0"/>
              <w:autoSpaceDN w:val="0"/>
              <w:adjustRightInd w:val="0"/>
              <w:snapToGrid w:val="0"/>
              <w:spacing w:line="360" w:lineRule="auto"/>
              <w:ind w:firstLine="420" w:firstLineChars="200"/>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施工机械燃油废气</w:t>
            </w:r>
            <w:r>
              <w:rPr>
                <w:rFonts w:hint="default" w:ascii="Times New Roman" w:hAnsi="Times New Roman" w:eastAsia="宋体" w:cs="Times New Roman"/>
                <w:bCs/>
                <w:color w:val="auto"/>
                <w:kern w:val="0"/>
                <w:sz w:val="21"/>
                <w:szCs w:val="21"/>
                <w:highlight w:val="none"/>
                <w:lang w:val="en-US" w:eastAsia="zh-CN"/>
              </w:rPr>
              <w:t>主要来源于</w:t>
            </w:r>
            <w:r>
              <w:rPr>
                <w:rFonts w:hint="default" w:ascii="Times New Roman" w:hAnsi="Times New Roman" w:eastAsia="宋体" w:cs="Times New Roman"/>
                <w:bCs/>
                <w:color w:val="auto"/>
                <w:kern w:val="0"/>
                <w:sz w:val="21"/>
                <w:szCs w:val="21"/>
                <w:highlight w:val="none"/>
              </w:rPr>
              <w:t>挖掘机、</w:t>
            </w:r>
            <w:r>
              <w:rPr>
                <w:rFonts w:hint="eastAsia" w:cs="Times New Roman"/>
                <w:bCs/>
                <w:color w:val="auto"/>
                <w:kern w:val="0"/>
                <w:sz w:val="21"/>
                <w:szCs w:val="21"/>
                <w:highlight w:val="none"/>
                <w:lang w:eastAsia="zh-CN"/>
              </w:rPr>
              <w:t>推土机</w:t>
            </w:r>
            <w:r>
              <w:rPr>
                <w:rFonts w:hint="default" w:ascii="Times New Roman" w:hAnsi="Times New Roman" w:eastAsia="宋体" w:cs="Times New Roman"/>
                <w:bCs/>
                <w:color w:val="auto"/>
                <w:kern w:val="0"/>
                <w:sz w:val="21"/>
                <w:szCs w:val="21"/>
                <w:highlight w:val="none"/>
              </w:rPr>
              <w:t>以及运输车辆等施工机械</w:t>
            </w:r>
            <w:r>
              <w:rPr>
                <w:rFonts w:hint="default" w:ascii="Times New Roman" w:hAnsi="Times New Roman" w:cs="Times New Roman"/>
                <w:bCs/>
                <w:color w:val="auto"/>
                <w:kern w:val="0"/>
                <w:sz w:val="21"/>
                <w:szCs w:val="21"/>
                <w:highlight w:val="none"/>
                <w:lang w:eastAsia="zh-CN"/>
              </w:rPr>
              <w:t>，</w:t>
            </w:r>
            <w:r>
              <w:rPr>
                <w:rFonts w:hint="default" w:ascii="Times New Roman" w:hAnsi="Times New Roman" w:eastAsia="宋体" w:cs="Times New Roman"/>
                <w:bCs/>
                <w:color w:val="auto"/>
                <w:kern w:val="0"/>
                <w:sz w:val="21"/>
                <w:szCs w:val="21"/>
                <w:highlight w:val="none"/>
              </w:rPr>
              <w:t>主要污染物</w:t>
            </w:r>
            <w:r>
              <w:rPr>
                <w:rFonts w:hint="default" w:ascii="Times New Roman" w:hAnsi="Times New Roman" w:cs="Times New Roman"/>
                <w:bCs/>
                <w:color w:val="auto"/>
                <w:kern w:val="0"/>
                <w:sz w:val="21"/>
                <w:szCs w:val="21"/>
                <w:highlight w:val="none"/>
                <w:lang w:val="en-US" w:eastAsia="zh-CN"/>
              </w:rPr>
              <w:t>为</w:t>
            </w:r>
            <w:r>
              <w:rPr>
                <w:rFonts w:hint="default" w:ascii="Times New Roman" w:hAnsi="Times New Roman" w:eastAsia="宋体" w:cs="Times New Roman"/>
                <w:bCs/>
                <w:color w:val="auto"/>
                <w:kern w:val="0"/>
                <w:sz w:val="21"/>
                <w:szCs w:val="21"/>
                <w:highlight w:val="none"/>
              </w:rPr>
              <w:t>NOx、CO、HC 等，其排放量较小，且为不连续排放，对环境的影响较小。但施工单位必须使用污染物排放符合国家标准的运输车辆和施工设备，加强设备、车辆的维护保养，使机械、车辆处于良好工作状态，严禁使用报废车辆和淘汰设备。</w:t>
            </w:r>
          </w:p>
          <w:p>
            <w:pPr>
              <w:autoSpaceDE w:val="0"/>
              <w:autoSpaceDN w:val="0"/>
              <w:adjustRightInd w:val="0"/>
              <w:snapToGrid w:val="0"/>
              <w:spacing w:line="360" w:lineRule="auto"/>
              <w:ind w:firstLine="420" w:firstLineChars="200"/>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施工机械废气属于低架点源无组织排放性质，具有间断性产生、产生量较小、产生点相对分散、易被稀释扩散等特点。加之项目区施工范围相对较大，施工场地周围较空旷、地面风速也较大，大气扩散条件相对较好，故一般情况下，施工机械和运输车辆所产生的废气污染在空气中经自然扩散和稀释后，对评价区域的空气环境质量影响不大。</w:t>
            </w:r>
          </w:p>
          <w:p>
            <w:pPr>
              <w:autoSpaceDE w:val="0"/>
              <w:autoSpaceDN w:val="0"/>
              <w:adjustRightInd w:val="0"/>
              <w:snapToGrid w:val="0"/>
              <w:spacing w:line="360" w:lineRule="auto"/>
              <w:rPr>
                <w:rFonts w:hint="default" w:ascii="Times New Roman" w:hAnsi="Times New Roman" w:eastAsia="宋体" w:cs="Times New Roman"/>
                <w:b/>
                <w:bCs w:val="0"/>
                <w:color w:val="auto"/>
                <w:kern w:val="0"/>
                <w:sz w:val="21"/>
                <w:szCs w:val="21"/>
                <w:highlight w:val="none"/>
                <w:lang w:eastAsia="zh-CN"/>
              </w:rPr>
            </w:pPr>
            <w:r>
              <w:rPr>
                <w:rFonts w:hint="default" w:ascii="Times New Roman" w:hAnsi="Times New Roman" w:cs="Times New Roman"/>
                <w:b/>
                <w:bCs w:val="0"/>
                <w:color w:val="auto"/>
                <w:kern w:val="0"/>
                <w:sz w:val="21"/>
                <w:szCs w:val="21"/>
                <w:highlight w:val="none"/>
                <w:lang w:val="en-US" w:eastAsia="zh-CN"/>
              </w:rPr>
              <w:t>4.3施工期</w:t>
            </w:r>
            <w:r>
              <w:rPr>
                <w:rFonts w:hint="default" w:ascii="Times New Roman" w:hAnsi="Times New Roman" w:eastAsia="宋体" w:cs="Times New Roman"/>
                <w:b/>
                <w:bCs w:val="0"/>
                <w:color w:val="auto"/>
                <w:kern w:val="0"/>
                <w:sz w:val="21"/>
                <w:szCs w:val="21"/>
                <w:highlight w:val="none"/>
                <w:lang w:eastAsia="zh-CN"/>
              </w:rPr>
              <w:t>地表水环境影响分析</w:t>
            </w:r>
          </w:p>
          <w:p>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0"/>
                <w:sz w:val="21"/>
                <w:szCs w:val="21"/>
                <w:highlight w:val="none"/>
                <w:lang w:eastAsia="zh-CN"/>
              </w:rPr>
              <w:t>详见地表水环境影响专项评价。</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lang w:val="en-US" w:eastAsia="zh-CN"/>
              </w:rPr>
              <w:t>4.4</w:t>
            </w:r>
            <w:r>
              <w:rPr>
                <w:rFonts w:hint="default" w:ascii="Times New Roman" w:hAnsi="Times New Roman" w:eastAsia="宋体" w:cs="Times New Roman"/>
                <w:b/>
                <w:bCs/>
                <w:color w:val="auto"/>
                <w:kern w:val="0"/>
                <w:sz w:val="21"/>
                <w:szCs w:val="21"/>
                <w:highlight w:val="none"/>
              </w:rPr>
              <w:t>施工期声环境影响分析</w:t>
            </w:r>
          </w:p>
          <w:p>
            <w:pPr>
              <w:spacing w:line="360" w:lineRule="auto"/>
              <w:ind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eastAsia="zh-CN"/>
              </w:rPr>
              <w:t>）施工噪声源强</w:t>
            </w:r>
          </w:p>
          <w:p>
            <w:pPr>
              <w:spacing w:line="360" w:lineRule="auto"/>
              <w:ind w:firstLine="420" w:firstLineChars="200"/>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color w:val="auto"/>
                <w:sz w:val="21"/>
                <w:szCs w:val="21"/>
                <w:highlight w:val="none"/>
              </w:rPr>
              <w:t>施工期噪声源主要为施工机具设备噪声和爆破施工，以及运输车辆交通噪声等。施工过程中使用的机械设备运行时声源强度高达</w:t>
            </w:r>
            <w:r>
              <w:rPr>
                <w:rFonts w:hint="default" w:ascii="Times New Roman" w:hAnsi="Times New Roman" w:cs="Times New Roman"/>
                <w:color w:val="auto"/>
                <w:sz w:val="21"/>
                <w:szCs w:val="21"/>
                <w:highlight w:val="none"/>
                <w:lang w:val="en-US" w:eastAsia="zh-CN"/>
              </w:rPr>
              <w:t>80</w:t>
            </w:r>
            <w:r>
              <w:rPr>
                <w:rFonts w:hint="default" w:ascii="Times New Roman" w:hAnsi="Times New Roman" w:eastAsia="宋体" w:cs="Times New Roman"/>
                <w:color w:val="auto"/>
                <w:sz w:val="21"/>
                <w:szCs w:val="21"/>
                <w:highlight w:val="none"/>
              </w:rPr>
              <w:t>～101dB。</w:t>
            </w:r>
            <w:r>
              <w:rPr>
                <w:rFonts w:hint="default" w:ascii="Times New Roman" w:hAnsi="Times New Roman" w:cs="Times New Roman"/>
                <w:color w:val="auto"/>
                <w:sz w:val="21"/>
                <w:szCs w:val="21"/>
                <w:highlight w:val="none"/>
                <w:lang w:val="en-US" w:eastAsia="zh-CN"/>
              </w:rPr>
              <w:t>土石方工程</w:t>
            </w:r>
            <w:r>
              <w:rPr>
                <w:rFonts w:hint="default" w:ascii="Times New Roman" w:hAnsi="Times New Roman" w:eastAsia="宋体" w:cs="Times New Roman"/>
                <w:color w:val="auto"/>
                <w:sz w:val="21"/>
                <w:szCs w:val="21"/>
                <w:highlight w:val="none"/>
              </w:rPr>
              <w:t>还将进行爆破，瞬时噪声值可达1</w:t>
            </w:r>
            <w:r>
              <w:rPr>
                <w:rFonts w:hint="default" w:ascii="Times New Roman" w:hAnsi="Times New Roman"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0dB(A)，并伴随振动。</w:t>
            </w:r>
            <w:r>
              <w:rPr>
                <w:rFonts w:hint="default" w:ascii="Times New Roman" w:hAnsi="Times New Roman" w:eastAsia="宋体" w:cs="Times New Roman"/>
                <w:snapToGrid w:val="0"/>
                <w:color w:val="auto"/>
                <w:kern w:val="0"/>
                <w:sz w:val="21"/>
                <w:szCs w:val="21"/>
                <w:highlight w:val="none"/>
              </w:rPr>
              <w:t>根据常用机械的实测资料，施工期主要机械噪声</w:t>
            </w:r>
            <w:r>
              <w:rPr>
                <w:rFonts w:hint="default" w:ascii="Times New Roman" w:hAnsi="Times New Roman" w:cs="Times New Roman"/>
                <w:snapToGrid w:val="0"/>
                <w:color w:val="auto"/>
                <w:kern w:val="0"/>
                <w:sz w:val="21"/>
                <w:szCs w:val="21"/>
                <w:highlight w:val="none"/>
                <w:lang w:eastAsia="zh-CN"/>
              </w:rPr>
              <w:t>源</w:t>
            </w:r>
            <w:r>
              <w:rPr>
                <w:rFonts w:hint="default" w:ascii="Times New Roman" w:hAnsi="Times New Roman" w:eastAsia="宋体" w:cs="Times New Roman"/>
                <w:snapToGrid w:val="0"/>
                <w:color w:val="auto"/>
                <w:kern w:val="0"/>
                <w:sz w:val="21"/>
                <w:szCs w:val="21"/>
                <w:highlight w:val="none"/>
              </w:rPr>
              <w:t>见表4</w:t>
            </w:r>
            <w:r>
              <w:rPr>
                <w:rFonts w:hint="default" w:ascii="Times New Roman" w:hAnsi="Times New Roman" w:cs="Times New Roman"/>
                <w:snapToGrid w:val="0"/>
                <w:color w:val="auto"/>
                <w:kern w:val="0"/>
                <w:sz w:val="21"/>
                <w:szCs w:val="21"/>
                <w:highlight w:val="none"/>
                <w:lang w:val="en-US" w:eastAsia="zh-CN"/>
              </w:rPr>
              <w:t>.4</w:t>
            </w:r>
            <w:r>
              <w:rPr>
                <w:rFonts w:hint="default" w:ascii="Times New Roman" w:hAnsi="Times New Roman" w:eastAsia="宋体" w:cs="Times New Roman"/>
                <w:snapToGrid w:val="0"/>
                <w:color w:val="auto"/>
                <w:kern w:val="0"/>
                <w:sz w:val="21"/>
                <w:szCs w:val="21"/>
                <w:highlight w:val="none"/>
              </w:rPr>
              <w:t>-</w:t>
            </w:r>
            <w:r>
              <w:rPr>
                <w:rFonts w:hint="default" w:ascii="Times New Roman" w:hAnsi="Times New Roman" w:cs="Times New Roman"/>
                <w:snapToGrid w:val="0"/>
                <w:color w:val="auto"/>
                <w:kern w:val="0"/>
                <w:sz w:val="21"/>
                <w:szCs w:val="21"/>
                <w:highlight w:val="none"/>
                <w:lang w:val="en-US" w:eastAsia="zh-CN"/>
              </w:rPr>
              <w:t>1</w:t>
            </w:r>
            <w:r>
              <w:rPr>
                <w:rFonts w:hint="default" w:ascii="Times New Roman" w:hAnsi="Times New Roman" w:eastAsia="宋体" w:cs="Times New Roman"/>
                <w:snapToGrid w:val="0"/>
                <w:color w:val="auto"/>
                <w:kern w:val="0"/>
                <w:sz w:val="21"/>
                <w:szCs w:val="21"/>
                <w:highlight w:val="none"/>
              </w:rPr>
              <w:t>。</w:t>
            </w:r>
          </w:p>
          <w:p>
            <w:pPr>
              <w:spacing w:line="360" w:lineRule="auto"/>
              <w:ind w:firstLine="480"/>
              <w:jc w:val="center"/>
              <w:rPr>
                <w:rFonts w:hint="default" w:ascii="Times New Roman" w:hAnsi="Times New Roman" w:eastAsia="宋体" w:cs="Times New Roman"/>
                <w:b/>
                <w:snapToGrid w:val="0"/>
                <w:color w:val="auto"/>
                <w:kern w:val="0"/>
                <w:sz w:val="21"/>
                <w:szCs w:val="21"/>
                <w:highlight w:val="none"/>
              </w:rPr>
            </w:pPr>
            <w:r>
              <w:rPr>
                <w:rFonts w:hint="default" w:ascii="Times New Roman" w:hAnsi="Times New Roman" w:eastAsia="宋体" w:cs="Times New Roman"/>
                <w:b/>
                <w:snapToGrid w:val="0"/>
                <w:color w:val="auto"/>
                <w:kern w:val="0"/>
                <w:sz w:val="21"/>
                <w:szCs w:val="21"/>
                <w:highlight w:val="none"/>
              </w:rPr>
              <w:t>表</w:t>
            </w:r>
            <w:r>
              <w:rPr>
                <w:rFonts w:hint="default" w:ascii="Times New Roman" w:hAnsi="Times New Roman" w:cs="Times New Roman"/>
                <w:b/>
                <w:snapToGrid w:val="0"/>
                <w:color w:val="auto"/>
                <w:kern w:val="0"/>
                <w:sz w:val="21"/>
                <w:szCs w:val="21"/>
                <w:highlight w:val="none"/>
                <w:lang w:val="en-US" w:eastAsia="zh-CN"/>
              </w:rPr>
              <w:t>4.4</w:t>
            </w:r>
            <w:r>
              <w:rPr>
                <w:rFonts w:hint="default" w:ascii="Times New Roman" w:hAnsi="Times New Roman" w:eastAsia="宋体" w:cs="Times New Roman"/>
                <w:b/>
                <w:snapToGrid w:val="0"/>
                <w:color w:val="auto"/>
                <w:kern w:val="0"/>
                <w:sz w:val="21"/>
                <w:szCs w:val="21"/>
                <w:highlight w:val="none"/>
              </w:rPr>
              <w:t>-</w:t>
            </w:r>
            <w:r>
              <w:rPr>
                <w:rFonts w:hint="default" w:ascii="Times New Roman" w:hAnsi="Times New Roman" w:cs="Times New Roman"/>
                <w:b/>
                <w:snapToGrid w:val="0"/>
                <w:color w:val="auto"/>
                <w:kern w:val="0"/>
                <w:sz w:val="21"/>
                <w:szCs w:val="21"/>
                <w:highlight w:val="none"/>
                <w:lang w:val="en-US" w:eastAsia="zh-CN"/>
              </w:rPr>
              <w:t>1</w:t>
            </w:r>
            <w:r>
              <w:rPr>
                <w:rFonts w:hint="default" w:ascii="Times New Roman" w:hAnsi="Times New Roman" w:eastAsia="宋体" w:cs="Times New Roman"/>
                <w:b/>
                <w:snapToGrid w:val="0"/>
                <w:color w:val="auto"/>
                <w:kern w:val="0"/>
                <w:sz w:val="21"/>
                <w:szCs w:val="21"/>
                <w:highlight w:val="none"/>
              </w:rPr>
              <w:t xml:space="preserve">  施工期施工机械噪声源</w:t>
            </w:r>
          </w:p>
          <w:tbl>
            <w:tblPr>
              <w:tblStyle w:val="29"/>
              <w:tblW w:w="41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5"/>
              <w:gridCol w:w="2834"/>
              <w:gridCol w:w="1649"/>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37" w:type="pct"/>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序号</w:t>
                  </w:r>
                </w:p>
              </w:tc>
              <w:tc>
                <w:tcPr>
                  <w:tcW w:w="1870" w:type="pct"/>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机械类型</w:t>
                  </w:r>
                </w:p>
              </w:tc>
              <w:tc>
                <w:tcPr>
                  <w:tcW w:w="1088" w:type="pct"/>
                  <w:vAlign w:val="center"/>
                </w:tcPr>
                <w:p>
                  <w:pPr>
                    <w:spacing w:line="240" w:lineRule="auto"/>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val="en-US" w:eastAsia="zh-CN"/>
                    </w:rPr>
                    <w:t>数量</w:t>
                  </w:r>
                </w:p>
              </w:tc>
              <w:tc>
                <w:tcPr>
                  <w:tcW w:w="1403" w:type="pct"/>
                  <w:vAlign w:val="center"/>
                </w:tcPr>
                <w:p>
                  <w:pPr>
                    <w:spacing w:line="240" w:lineRule="auto"/>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val="en-US" w:eastAsia="zh-CN"/>
                    </w:rPr>
                    <w:t>单台</w:t>
                  </w:r>
                  <w:r>
                    <w:rPr>
                      <w:rFonts w:hint="default" w:ascii="Times New Roman" w:hAnsi="Times New Roman" w:cs="Times New Roman"/>
                      <w:bCs/>
                      <w:color w:val="auto"/>
                      <w:sz w:val="21"/>
                      <w:szCs w:val="21"/>
                      <w:highlight w:val="none"/>
                      <w:lang w:eastAsia="zh-CN"/>
                    </w:rPr>
                    <w:t>噪声源</w:t>
                  </w:r>
                  <w:r>
                    <w:rPr>
                      <w:rFonts w:hint="default" w:ascii="Times New Roman" w:hAnsi="Times New Roman" w:eastAsia="宋体" w:cs="Times New Roman"/>
                      <w:bCs/>
                      <w:color w:val="auto"/>
                      <w:sz w:val="21"/>
                      <w:szCs w:val="21"/>
                      <w:highlight w:val="none"/>
                    </w:rPr>
                    <w:t>dB</w:t>
                  </w:r>
                  <w:r>
                    <w:rPr>
                      <w:rFonts w:hint="default" w:ascii="Times New Roman" w:hAnsi="Times New Roman" w:eastAsia="宋体" w:cs="Times New Roman"/>
                      <w:color w:val="auto"/>
                      <w:sz w:val="21"/>
                      <w:szCs w:val="21"/>
                      <w:highlight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637" w:type="pct"/>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87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sz w:val="21"/>
                      <w:szCs w:val="21"/>
                      <w:highlight w:val="none"/>
                      <w:vertAlign w:val="baseline"/>
                      <w:lang w:val="en-US" w:eastAsia="zh-CN"/>
                    </w:rPr>
                    <w:t>挖掘机</w:t>
                  </w:r>
                </w:p>
              </w:tc>
              <w:tc>
                <w:tcPr>
                  <w:tcW w:w="108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r>
                    <w:rPr>
                      <w:rFonts w:hint="default" w:ascii="Times New Roman" w:hAnsi="Times New Roman" w:cs="Times New Roman"/>
                      <w:color w:val="auto"/>
                      <w:sz w:val="21"/>
                      <w:szCs w:val="21"/>
                      <w:highlight w:val="none"/>
                      <w:lang w:val="en-US" w:eastAsia="zh-CN"/>
                    </w:rPr>
                    <w:t>台</w:t>
                  </w:r>
                </w:p>
              </w:tc>
              <w:tc>
                <w:tcPr>
                  <w:tcW w:w="1403" w:type="pct"/>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637" w:type="pct"/>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187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sz w:val="21"/>
                      <w:szCs w:val="21"/>
                      <w:highlight w:val="none"/>
                      <w:vertAlign w:val="baseline"/>
                      <w:lang w:val="en-US" w:eastAsia="zh-CN"/>
                    </w:rPr>
                    <w:t>推土机</w:t>
                  </w:r>
                </w:p>
              </w:tc>
              <w:tc>
                <w:tcPr>
                  <w:tcW w:w="108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r>
                    <w:rPr>
                      <w:rFonts w:hint="default" w:ascii="Times New Roman" w:hAnsi="Times New Roman" w:cs="Times New Roman"/>
                      <w:color w:val="auto"/>
                      <w:sz w:val="21"/>
                      <w:szCs w:val="21"/>
                      <w:highlight w:val="none"/>
                      <w:lang w:val="en-US" w:eastAsia="zh-CN"/>
                    </w:rPr>
                    <w:t>台</w:t>
                  </w:r>
                </w:p>
              </w:tc>
              <w:tc>
                <w:tcPr>
                  <w:tcW w:w="1403" w:type="pct"/>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637"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3</w:t>
                  </w:r>
                </w:p>
              </w:tc>
              <w:tc>
                <w:tcPr>
                  <w:tcW w:w="187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highlight w:val="none"/>
                    </w:rPr>
                  </w:pPr>
                  <w:r>
                    <w:rPr>
                      <w:rFonts w:hint="eastAsia" w:ascii="宋体" w:hAnsi="宋体" w:cs="宋体"/>
                      <w:color w:val="auto"/>
                      <w:kern w:val="0"/>
                      <w:sz w:val="21"/>
                      <w:szCs w:val="21"/>
                      <w:highlight w:val="none"/>
                    </w:rPr>
                    <w:t>装载机</w:t>
                  </w:r>
                </w:p>
              </w:tc>
              <w:tc>
                <w:tcPr>
                  <w:tcW w:w="108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台</w:t>
                  </w:r>
                </w:p>
              </w:tc>
              <w:tc>
                <w:tcPr>
                  <w:tcW w:w="1403" w:type="pct"/>
                  <w:vAlign w:val="center"/>
                </w:tcPr>
                <w:p>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637"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4</w:t>
                  </w:r>
                </w:p>
              </w:tc>
              <w:tc>
                <w:tcPr>
                  <w:tcW w:w="187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highlight w:val="none"/>
                    </w:rPr>
                  </w:pPr>
                  <w:r>
                    <w:rPr>
                      <w:rFonts w:hint="eastAsia" w:ascii="宋体" w:hAnsi="宋体" w:cs="宋体"/>
                      <w:color w:val="auto"/>
                      <w:kern w:val="0"/>
                      <w:sz w:val="21"/>
                      <w:szCs w:val="21"/>
                      <w:highlight w:val="none"/>
                    </w:rPr>
                    <w:t>振动碾</w:t>
                  </w:r>
                </w:p>
              </w:tc>
              <w:tc>
                <w:tcPr>
                  <w:tcW w:w="108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w:t>
                  </w:r>
                  <w:r>
                    <w:rPr>
                      <w:rFonts w:hint="default" w:ascii="Times New Roman" w:hAnsi="Times New Roman" w:cs="Times New Roman"/>
                      <w:color w:val="auto"/>
                      <w:sz w:val="21"/>
                      <w:szCs w:val="21"/>
                      <w:highlight w:val="none"/>
                      <w:lang w:val="en-US" w:eastAsia="zh-CN"/>
                    </w:rPr>
                    <w:t>台</w:t>
                  </w:r>
                </w:p>
              </w:tc>
              <w:tc>
                <w:tcPr>
                  <w:tcW w:w="1403" w:type="pct"/>
                  <w:vAlign w:val="center"/>
                </w:tcPr>
                <w:p>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637"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w:t>
                  </w:r>
                </w:p>
              </w:tc>
              <w:tc>
                <w:tcPr>
                  <w:tcW w:w="187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Cs w:val="21"/>
                      <w:highlight w:val="none"/>
                    </w:rPr>
                  </w:pPr>
                  <w:r>
                    <w:rPr>
                      <w:rFonts w:hint="eastAsia" w:ascii="宋体" w:hAnsi="宋体" w:cs="宋体"/>
                      <w:color w:val="auto"/>
                      <w:kern w:val="0"/>
                      <w:sz w:val="21"/>
                      <w:szCs w:val="21"/>
                      <w:highlight w:val="none"/>
                    </w:rPr>
                    <w:t>蛙式夯机</w:t>
                  </w:r>
                </w:p>
              </w:tc>
              <w:tc>
                <w:tcPr>
                  <w:tcW w:w="108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w:t>
                  </w:r>
                  <w:r>
                    <w:rPr>
                      <w:rFonts w:hint="default" w:ascii="Times New Roman" w:hAnsi="Times New Roman" w:cs="Times New Roman"/>
                      <w:color w:val="auto"/>
                      <w:sz w:val="21"/>
                      <w:szCs w:val="21"/>
                      <w:highlight w:val="none"/>
                      <w:lang w:val="en-US" w:eastAsia="zh-CN"/>
                    </w:rPr>
                    <w:t>台</w:t>
                  </w:r>
                </w:p>
              </w:tc>
              <w:tc>
                <w:tcPr>
                  <w:tcW w:w="1403" w:type="pct"/>
                  <w:vAlign w:val="center"/>
                </w:tcPr>
                <w:p>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637"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6</w:t>
                  </w:r>
                </w:p>
              </w:tc>
              <w:tc>
                <w:tcPr>
                  <w:tcW w:w="187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Cs w:val="21"/>
                      <w:highlight w:val="none"/>
                      <w:lang w:val="en-US" w:eastAsia="zh-CN"/>
                    </w:rPr>
                  </w:pPr>
                  <w:r>
                    <w:rPr>
                      <w:rFonts w:hint="eastAsia" w:ascii="宋体" w:hAnsi="宋体" w:cs="宋体"/>
                      <w:color w:val="auto"/>
                      <w:kern w:val="0"/>
                      <w:sz w:val="21"/>
                      <w:szCs w:val="21"/>
                      <w:highlight w:val="none"/>
                    </w:rPr>
                    <w:t>潜孔钻</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手风钻</w:t>
                  </w:r>
                  <w:r>
                    <w:rPr>
                      <w:rFonts w:hint="eastAsia" w:ascii="宋体" w:hAnsi="宋体" w:cs="宋体"/>
                      <w:color w:val="auto"/>
                      <w:kern w:val="0"/>
                      <w:sz w:val="21"/>
                      <w:szCs w:val="21"/>
                      <w:highlight w:val="none"/>
                      <w:lang w:val="en-US" w:eastAsia="zh-CN"/>
                    </w:rPr>
                    <w:t>等钻机</w:t>
                  </w:r>
                </w:p>
              </w:tc>
              <w:tc>
                <w:tcPr>
                  <w:tcW w:w="108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20</w:t>
                  </w:r>
                  <w:r>
                    <w:rPr>
                      <w:rFonts w:hint="default" w:ascii="Times New Roman" w:hAnsi="Times New Roman" w:cs="Times New Roman"/>
                      <w:color w:val="auto"/>
                      <w:sz w:val="21"/>
                      <w:szCs w:val="21"/>
                      <w:highlight w:val="none"/>
                      <w:lang w:val="en-US" w:eastAsia="zh-CN"/>
                    </w:rPr>
                    <w:t>台</w:t>
                  </w:r>
                </w:p>
              </w:tc>
              <w:tc>
                <w:tcPr>
                  <w:tcW w:w="1403" w:type="pct"/>
                  <w:vAlign w:val="center"/>
                </w:tcPr>
                <w:p>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637"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7</w:t>
                  </w:r>
                </w:p>
              </w:tc>
              <w:tc>
                <w:tcPr>
                  <w:tcW w:w="187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z w:val="21"/>
                      <w:szCs w:val="21"/>
                      <w:highlight w:val="none"/>
                      <w:vertAlign w:val="baseline"/>
                      <w:lang w:val="en-US" w:eastAsia="zh-CN"/>
                    </w:rPr>
                  </w:pPr>
                  <w:r>
                    <w:rPr>
                      <w:rFonts w:hint="default" w:ascii="Times New Roman" w:hAnsi="Times New Roman" w:cs="Times New Roman"/>
                      <w:color w:val="auto"/>
                      <w:kern w:val="0"/>
                      <w:szCs w:val="21"/>
                      <w:highlight w:val="none"/>
                    </w:rPr>
                    <w:t>搅拌机</w:t>
                  </w:r>
                </w:p>
              </w:tc>
              <w:tc>
                <w:tcPr>
                  <w:tcW w:w="108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6台</w:t>
                  </w:r>
                </w:p>
              </w:tc>
              <w:tc>
                <w:tcPr>
                  <w:tcW w:w="1403" w:type="pct"/>
                  <w:vAlign w:val="center"/>
                </w:tcPr>
                <w:p>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637"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8</w:t>
                  </w:r>
                </w:p>
              </w:tc>
              <w:tc>
                <w:tcPr>
                  <w:tcW w:w="187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sz w:val="21"/>
                      <w:szCs w:val="21"/>
                      <w:highlight w:val="none"/>
                      <w:vertAlign w:val="baseline"/>
                      <w:lang w:val="en-US" w:eastAsia="zh-CN"/>
                    </w:rPr>
                  </w:pPr>
                  <w:r>
                    <w:rPr>
                      <w:rFonts w:hint="default" w:ascii="Times New Roman" w:hAnsi="Times New Roman" w:cs="Times New Roman"/>
                      <w:color w:val="auto"/>
                      <w:kern w:val="0"/>
                      <w:szCs w:val="21"/>
                      <w:highlight w:val="none"/>
                    </w:rPr>
                    <w:t>振捣器</w:t>
                  </w:r>
                </w:p>
              </w:tc>
              <w:tc>
                <w:tcPr>
                  <w:tcW w:w="108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台</w:t>
                  </w:r>
                </w:p>
              </w:tc>
              <w:tc>
                <w:tcPr>
                  <w:tcW w:w="1403" w:type="pct"/>
                  <w:vAlign w:val="center"/>
                </w:tcPr>
                <w:p>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637" w:type="pct"/>
                  <w:vAlign w:val="center"/>
                </w:tcPr>
                <w:p>
                  <w:pPr>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9</w:t>
                  </w:r>
                </w:p>
              </w:tc>
              <w:tc>
                <w:tcPr>
                  <w:tcW w:w="187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napToGrid w:val="0"/>
                      <w:color w:val="auto"/>
                      <w:sz w:val="21"/>
                      <w:szCs w:val="21"/>
                      <w:highlight w:val="none"/>
                      <w:vertAlign w:val="baseline"/>
                      <w:lang w:val="en-US" w:eastAsia="zh-CN"/>
                    </w:rPr>
                    <w:t>自卸汽车</w:t>
                  </w:r>
                </w:p>
              </w:tc>
              <w:tc>
                <w:tcPr>
                  <w:tcW w:w="108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26</w:t>
                  </w:r>
                  <w:r>
                    <w:rPr>
                      <w:rFonts w:hint="default" w:ascii="Times New Roman" w:hAnsi="Times New Roman" w:cs="Times New Roman"/>
                      <w:color w:val="auto"/>
                      <w:sz w:val="21"/>
                      <w:szCs w:val="21"/>
                      <w:highlight w:val="none"/>
                      <w:lang w:val="en-US" w:eastAsia="zh-CN"/>
                    </w:rPr>
                    <w:t>辆</w:t>
                  </w:r>
                </w:p>
              </w:tc>
              <w:tc>
                <w:tcPr>
                  <w:tcW w:w="1403"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637" w:type="pct"/>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187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eastAsia" w:ascii="宋体" w:hAnsi="宋体" w:cs="宋体"/>
                      <w:color w:val="auto"/>
                      <w:kern w:val="0"/>
                      <w:sz w:val="21"/>
                      <w:szCs w:val="21"/>
                      <w:highlight w:val="none"/>
                    </w:rPr>
                    <w:t>载重汽车</w:t>
                  </w:r>
                </w:p>
              </w:tc>
              <w:tc>
                <w:tcPr>
                  <w:tcW w:w="108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辆</w:t>
                  </w:r>
                </w:p>
              </w:tc>
              <w:tc>
                <w:tcPr>
                  <w:tcW w:w="1403"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637" w:type="pct"/>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w:t>
                  </w:r>
                </w:p>
              </w:tc>
              <w:tc>
                <w:tcPr>
                  <w:tcW w:w="187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空压机</w:t>
                  </w:r>
                </w:p>
              </w:tc>
              <w:tc>
                <w:tcPr>
                  <w:tcW w:w="108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18</w:t>
                  </w:r>
                  <w:r>
                    <w:rPr>
                      <w:rFonts w:hint="default" w:ascii="Times New Roman" w:hAnsi="Times New Roman" w:cs="Times New Roman"/>
                      <w:color w:val="auto"/>
                      <w:sz w:val="21"/>
                      <w:szCs w:val="21"/>
                      <w:highlight w:val="none"/>
                      <w:lang w:val="en-US" w:eastAsia="zh-CN"/>
                    </w:rPr>
                    <w:t>台</w:t>
                  </w:r>
                </w:p>
              </w:tc>
              <w:tc>
                <w:tcPr>
                  <w:tcW w:w="1403" w:type="pct"/>
                  <w:vAlign w:val="center"/>
                </w:tcPr>
                <w:p>
                  <w:pPr>
                    <w:spacing w:line="240" w:lineRule="auto"/>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637" w:type="pct"/>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187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kern w:val="0"/>
                      <w:szCs w:val="21"/>
                      <w:highlight w:val="none"/>
                    </w:rPr>
                    <w:t>水泵</w:t>
                  </w:r>
                </w:p>
              </w:tc>
              <w:tc>
                <w:tcPr>
                  <w:tcW w:w="108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台</w:t>
                  </w:r>
                </w:p>
              </w:tc>
              <w:tc>
                <w:tcPr>
                  <w:tcW w:w="1403" w:type="pct"/>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90</w:t>
                  </w:r>
                </w:p>
              </w:tc>
            </w:tr>
          </w:tbl>
          <w:p>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eastAsia="zh-CN"/>
              </w:rPr>
              <w:t>）影响预测</w:t>
            </w:r>
          </w:p>
          <w:p>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鉴于施工场地的开放性质及施工机械自身特点，不易进行噪声防治，只能从声源上控制和靠自然衰减，尽量降低对环境的影响。主要施工机械噪声声级随距离衰减情况计算模式如下：</w:t>
            </w:r>
          </w:p>
          <w:p>
            <w:pPr>
              <w:adjustRightInd w:val="0"/>
              <w:snapToGrid w:val="0"/>
              <w:spacing w:line="360" w:lineRule="auto"/>
              <w:jc w:val="center"/>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cs="Times New Roman"/>
                <w:bCs/>
                <w:color w:val="auto"/>
                <w:sz w:val="21"/>
                <w:szCs w:val="21"/>
                <w:highlight w:val="none"/>
                <w:lang w:val="en-US" w:eastAsia="zh-CN"/>
              </w:rPr>
              <w:t>L</w:t>
            </w:r>
            <w:r>
              <w:rPr>
                <w:rFonts w:hint="default" w:ascii="Times New Roman" w:hAnsi="Times New Roman" w:cs="Times New Roman"/>
                <w:bCs/>
                <w:color w:val="auto"/>
                <w:sz w:val="21"/>
                <w:szCs w:val="21"/>
                <w:highlight w:val="none"/>
                <w:vertAlign w:val="subscript"/>
                <w:lang w:val="en-US" w:eastAsia="zh-CN"/>
              </w:rPr>
              <w:t>A（r）</w:t>
            </w:r>
            <w:r>
              <w:rPr>
                <w:rFonts w:hint="default" w:ascii="Times New Roman" w:hAnsi="Times New Roman" w:cs="Times New Roman"/>
                <w:bCs/>
                <w:color w:val="auto"/>
                <w:sz w:val="21"/>
                <w:szCs w:val="21"/>
                <w:highlight w:val="none"/>
                <w:vertAlign w:val="baseline"/>
                <w:lang w:val="en-US" w:eastAsia="zh-CN"/>
              </w:rPr>
              <w:t>=</w:t>
            </w:r>
            <w:r>
              <w:rPr>
                <w:rFonts w:hint="default" w:ascii="Times New Roman" w:hAnsi="Times New Roman" w:cs="Times New Roman"/>
                <w:bCs/>
                <w:color w:val="auto"/>
                <w:sz w:val="21"/>
                <w:szCs w:val="21"/>
                <w:highlight w:val="none"/>
                <w:lang w:val="en-US" w:eastAsia="zh-CN"/>
              </w:rPr>
              <w:t>L</w:t>
            </w:r>
            <w:r>
              <w:rPr>
                <w:rFonts w:hint="default" w:ascii="Times New Roman" w:hAnsi="Times New Roman" w:cs="Times New Roman"/>
                <w:bCs/>
                <w:color w:val="auto"/>
                <w:sz w:val="21"/>
                <w:szCs w:val="21"/>
                <w:highlight w:val="none"/>
                <w:vertAlign w:val="subscript"/>
                <w:lang w:val="en-US" w:eastAsia="zh-CN"/>
              </w:rPr>
              <w:t>A（0）</w:t>
            </w:r>
            <w:r>
              <w:rPr>
                <w:rFonts w:hint="default" w:ascii="Times New Roman" w:hAnsi="Times New Roman" w:cs="Times New Roman"/>
                <w:bCs/>
                <w:color w:val="auto"/>
                <w:sz w:val="21"/>
                <w:szCs w:val="21"/>
                <w:highlight w:val="none"/>
                <w:vertAlign w:val="baseline"/>
                <w:lang w:val="en-US" w:eastAsia="zh-CN"/>
              </w:rPr>
              <w:t>-20lg（R/R</w:t>
            </w:r>
            <w:r>
              <w:rPr>
                <w:rFonts w:hint="default" w:ascii="Times New Roman" w:hAnsi="Times New Roman" w:cs="Times New Roman"/>
                <w:bCs/>
                <w:color w:val="auto"/>
                <w:sz w:val="21"/>
                <w:szCs w:val="21"/>
                <w:highlight w:val="none"/>
                <w:vertAlign w:val="subscript"/>
                <w:lang w:val="en-US" w:eastAsia="zh-CN"/>
              </w:rPr>
              <w:t>0</w:t>
            </w:r>
            <w:r>
              <w:rPr>
                <w:rFonts w:hint="default" w:ascii="Times New Roman" w:hAnsi="Times New Roman" w:cs="Times New Roman"/>
                <w:bCs/>
                <w:color w:val="auto"/>
                <w:sz w:val="21"/>
                <w:szCs w:val="21"/>
                <w:highlight w:val="none"/>
                <w:vertAlign w:val="baseline"/>
                <w:lang w:val="en-US" w:eastAsia="zh-CN"/>
              </w:rPr>
              <w:t>）</w:t>
            </w:r>
          </w:p>
          <w:p>
            <w:pPr>
              <w:adjustRightInd w:val="0"/>
              <w:snapToGrid w:val="0"/>
              <w:spacing w:line="360" w:lineRule="auto"/>
              <w:ind w:firstLine="420" w:firstLineChars="20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式中：L</w:t>
            </w:r>
            <w:r>
              <w:rPr>
                <w:rFonts w:hint="default" w:ascii="Times New Roman" w:hAnsi="Times New Roman" w:eastAsia="宋体" w:cs="Times New Roman"/>
                <w:bCs/>
                <w:color w:val="auto"/>
                <w:sz w:val="21"/>
                <w:szCs w:val="21"/>
                <w:highlight w:val="none"/>
                <w:vertAlign w:val="subscript"/>
              </w:rPr>
              <w:t>A（r）</w:t>
            </w:r>
            <w:r>
              <w:rPr>
                <w:rFonts w:hint="default" w:ascii="Times New Roman" w:hAnsi="Times New Roman" w:eastAsia="宋体" w:cs="Times New Roman"/>
                <w:bCs/>
                <w:color w:val="auto"/>
                <w:sz w:val="21"/>
                <w:szCs w:val="21"/>
                <w:highlight w:val="none"/>
              </w:rPr>
              <w:t>—预测点处的等效连续声级，dB（A）；</w:t>
            </w:r>
          </w:p>
          <w:p>
            <w:pPr>
              <w:adjustRightInd w:val="0"/>
              <w:snapToGrid w:val="0"/>
              <w:spacing w:line="360" w:lineRule="auto"/>
              <w:ind w:firstLine="420" w:firstLineChars="20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L</w:t>
            </w:r>
            <w:r>
              <w:rPr>
                <w:rFonts w:hint="default" w:ascii="Times New Roman" w:hAnsi="Times New Roman" w:eastAsia="宋体" w:cs="Times New Roman"/>
                <w:bCs/>
                <w:color w:val="auto"/>
                <w:sz w:val="21"/>
                <w:szCs w:val="21"/>
                <w:highlight w:val="none"/>
                <w:vertAlign w:val="subscript"/>
              </w:rPr>
              <w:t>A（r0）</w:t>
            </w:r>
            <w:r>
              <w:rPr>
                <w:rFonts w:hint="default" w:ascii="Times New Roman" w:hAnsi="Times New Roman" w:eastAsia="宋体" w:cs="Times New Roman"/>
                <w:bCs/>
                <w:color w:val="auto"/>
                <w:sz w:val="21"/>
                <w:szCs w:val="21"/>
                <w:highlight w:val="none"/>
              </w:rPr>
              <w:t>—参考点处的等效连续声级，dB（A）；</w:t>
            </w:r>
          </w:p>
          <w:p>
            <w:pPr>
              <w:adjustRightInd w:val="0"/>
              <w:snapToGrid w:val="0"/>
              <w:spacing w:line="360" w:lineRule="auto"/>
              <w:ind w:firstLine="420" w:firstLineChars="20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R</w:t>
            </w:r>
            <w:r>
              <w:rPr>
                <w:rFonts w:hint="default" w:ascii="Times New Roman" w:hAnsi="Times New Roman" w:eastAsia="宋体" w:cs="Times New Roman"/>
                <w:bCs/>
                <w:color w:val="auto"/>
                <w:sz w:val="21"/>
                <w:szCs w:val="21"/>
                <w:highlight w:val="none"/>
                <w:vertAlign w:val="subscript"/>
              </w:rPr>
              <w:t>0</w:t>
            </w:r>
            <w:r>
              <w:rPr>
                <w:rFonts w:hint="default" w:ascii="Times New Roman" w:hAnsi="Times New Roman" w:eastAsia="宋体" w:cs="Times New Roman"/>
                <w:bCs/>
                <w:color w:val="auto"/>
                <w:sz w:val="21"/>
                <w:szCs w:val="21"/>
                <w:highlight w:val="none"/>
              </w:rPr>
              <w:t>—参考点距声源距离，m；</w:t>
            </w:r>
          </w:p>
          <w:p>
            <w:pPr>
              <w:adjustRightInd w:val="0"/>
              <w:snapToGrid w:val="0"/>
              <w:spacing w:line="360" w:lineRule="auto"/>
              <w:ind w:firstLine="420" w:firstLineChars="20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R—预测点距噪声源距离，m。</w:t>
            </w:r>
          </w:p>
          <w:p>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根据噪声衰减模式，各施工机具声源在不同距离处的噪声影响值（未考虑隔声）</w:t>
            </w:r>
            <w:r>
              <w:rPr>
                <w:rFonts w:hint="default" w:ascii="Times New Roman" w:hAnsi="Times New Roman" w:eastAsia="宋体" w:cs="Times New Roman"/>
                <w:color w:val="auto"/>
                <w:sz w:val="21"/>
                <w:szCs w:val="21"/>
                <w:highlight w:val="none"/>
              </w:rPr>
              <w:t>见表4</w:t>
            </w:r>
            <w:r>
              <w:rPr>
                <w:rFonts w:hint="default" w:ascii="Times New Roman" w:hAnsi="Times New Roman"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w:t>
            </w:r>
          </w:p>
          <w:p>
            <w:pPr>
              <w:adjustRightInd w:val="0"/>
              <w:snapToGrid w:val="0"/>
              <w:spacing w:line="360" w:lineRule="auto"/>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bCs/>
                <w:color w:val="auto"/>
                <w:sz w:val="21"/>
                <w:szCs w:val="21"/>
                <w:highlight w:val="none"/>
              </w:rPr>
              <w:t>表4</w:t>
            </w:r>
            <w:r>
              <w:rPr>
                <w:rFonts w:hint="default" w:ascii="Times New Roman" w:hAnsi="Times New Roman"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rPr>
              <w:t>-</w:t>
            </w:r>
            <w:r>
              <w:rPr>
                <w:rFonts w:hint="default" w:ascii="Times New Roman" w:hAnsi="Times New Roman"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 xml:space="preserve">   主要施工机械噪声影响结果表      </w:t>
            </w:r>
            <w:r>
              <w:rPr>
                <w:rFonts w:hint="default" w:ascii="Times New Roman" w:hAnsi="Times New Roman" w:eastAsia="宋体" w:cs="Times New Roman"/>
                <w:b/>
                <w:color w:val="auto"/>
                <w:sz w:val="21"/>
                <w:szCs w:val="21"/>
                <w:highlight w:val="none"/>
              </w:rPr>
              <w:t>单位：dB</w:t>
            </w:r>
            <w:r>
              <w:rPr>
                <w:rFonts w:hint="default" w:ascii="Times New Roman" w:hAnsi="Times New Roman" w:cs="Times New Roman"/>
                <w:b/>
                <w:color w:val="auto"/>
                <w:sz w:val="21"/>
                <w:szCs w:val="21"/>
                <w:highlight w:val="none"/>
                <w:lang w:eastAsia="zh-CN"/>
              </w:rPr>
              <w:t>（</w:t>
            </w:r>
            <w:r>
              <w:rPr>
                <w:rFonts w:hint="default" w:ascii="Times New Roman" w:hAnsi="Times New Roman" w:cs="Times New Roman"/>
                <w:b/>
                <w:color w:val="auto"/>
                <w:sz w:val="21"/>
                <w:szCs w:val="21"/>
                <w:highlight w:val="none"/>
                <w:lang w:val="en-US" w:eastAsia="zh-CN"/>
              </w:rPr>
              <w:t>A</w:t>
            </w:r>
            <w:r>
              <w:rPr>
                <w:rFonts w:hint="default" w:ascii="Times New Roman" w:hAnsi="Times New Roman" w:cs="Times New Roman"/>
                <w:b/>
                <w:color w:val="auto"/>
                <w:sz w:val="21"/>
                <w:szCs w:val="21"/>
                <w:highlight w:val="none"/>
                <w:lang w:eastAsia="zh-CN"/>
              </w:rPr>
              <w:t>）</w:t>
            </w:r>
          </w:p>
          <w:tbl>
            <w:tblPr>
              <w:tblStyle w:val="29"/>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91"/>
              <w:gridCol w:w="930"/>
              <w:gridCol w:w="780"/>
              <w:gridCol w:w="864"/>
              <w:gridCol w:w="846"/>
              <w:gridCol w:w="915"/>
              <w:gridCol w:w="847"/>
              <w:gridCol w:w="882"/>
              <w:gridCol w:w="882"/>
              <w:gridCol w:w="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707" w:type="pct"/>
                  <w:vMerge w:val="restart"/>
                  <w:vAlign w:val="center"/>
                </w:tcPr>
                <w:p>
                  <w:pPr>
                    <w:adjustRightInd w:val="0"/>
                    <w:snapToGrid w:val="0"/>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机械类型</w:t>
                  </w:r>
                </w:p>
              </w:tc>
              <w:tc>
                <w:tcPr>
                  <w:tcW w:w="509" w:type="pct"/>
                  <w:vMerge w:val="restart"/>
                  <w:vAlign w:val="center"/>
                </w:tcPr>
                <w:p>
                  <w:pPr>
                    <w:adjustRightInd w:val="0"/>
                    <w:snapToGrid w:val="0"/>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10</w:t>
                  </w:r>
                  <w:r>
                    <w:rPr>
                      <w:rFonts w:hint="default" w:ascii="Times New Roman" w:hAnsi="Times New Roman" w:eastAsia="宋体" w:cs="Times New Roman"/>
                      <w:b w:val="0"/>
                      <w:bCs/>
                      <w:color w:val="auto"/>
                      <w:sz w:val="21"/>
                      <w:szCs w:val="21"/>
                      <w:highlight w:val="none"/>
                    </w:rPr>
                    <w:t>m</w:t>
                  </w:r>
                </w:p>
              </w:tc>
              <w:tc>
                <w:tcPr>
                  <w:tcW w:w="427" w:type="pct"/>
                  <w:vMerge w:val="restart"/>
                  <w:vAlign w:val="center"/>
                </w:tcPr>
                <w:p>
                  <w:pPr>
                    <w:adjustRightInd w:val="0"/>
                    <w:snapToGrid w:val="0"/>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20</w:t>
                  </w:r>
                  <w:r>
                    <w:rPr>
                      <w:rFonts w:hint="default" w:ascii="Times New Roman" w:hAnsi="Times New Roman" w:eastAsia="宋体" w:cs="Times New Roman"/>
                      <w:b w:val="0"/>
                      <w:bCs/>
                      <w:color w:val="auto"/>
                      <w:sz w:val="21"/>
                      <w:szCs w:val="21"/>
                      <w:highlight w:val="none"/>
                    </w:rPr>
                    <w:t>m</w:t>
                  </w:r>
                </w:p>
              </w:tc>
              <w:tc>
                <w:tcPr>
                  <w:tcW w:w="473" w:type="pct"/>
                  <w:vMerge w:val="restart"/>
                  <w:vAlign w:val="center"/>
                </w:tcPr>
                <w:p>
                  <w:pPr>
                    <w:adjustRightInd w:val="0"/>
                    <w:snapToGrid w:val="0"/>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30</w:t>
                  </w:r>
                  <w:r>
                    <w:rPr>
                      <w:rFonts w:hint="default" w:ascii="Times New Roman" w:hAnsi="Times New Roman" w:eastAsia="宋体" w:cs="Times New Roman"/>
                      <w:b w:val="0"/>
                      <w:bCs/>
                      <w:color w:val="auto"/>
                      <w:sz w:val="21"/>
                      <w:szCs w:val="21"/>
                      <w:highlight w:val="none"/>
                    </w:rPr>
                    <w:t>m</w:t>
                  </w:r>
                </w:p>
              </w:tc>
              <w:tc>
                <w:tcPr>
                  <w:tcW w:w="463" w:type="pct"/>
                  <w:vMerge w:val="restart"/>
                  <w:vAlign w:val="center"/>
                </w:tcPr>
                <w:p>
                  <w:pPr>
                    <w:adjustRightInd w:val="0"/>
                    <w:snapToGrid w:val="0"/>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50</w:t>
                  </w:r>
                  <w:r>
                    <w:rPr>
                      <w:rFonts w:hint="default" w:ascii="Times New Roman" w:hAnsi="Times New Roman" w:eastAsia="宋体" w:cs="Times New Roman"/>
                      <w:b w:val="0"/>
                      <w:bCs/>
                      <w:color w:val="auto"/>
                      <w:sz w:val="21"/>
                      <w:szCs w:val="21"/>
                      <w:highlight w:val="none"/>
                    </w:rPr>
                    <w:t>m</w:t>
                  </w:r>
                </w:p>
              </w:tc>
              <w:tc>
                <w:tcPr>
                  <w:tcW w:w="501" w:type="pct"/>
                  <w:vMerge w:val="restart"/>
                  <w:vAlign w:val="center"/>
                </w:tcPr>
                <w:p>
                  <w:pPr>
                    <w:adjustRightInd w:val="0"/>
                    <w:snapToGrid w:val="0"/>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100</w:t>
                  </w:r>
                  <w:r>
                    <w:rPr>
                      <w:rFonts w:hint="default" w:ascii="Times New Roman" w:hAnsi="Times New Roman" w:eastAsia="宋体" w:cs="Times New Roman"/>
                      <w:b w:val="0"/>
                      <w:bCs/>
                      <w:color w:val="auto"/>
                      <w:sz w:val="21"/>
                      <w:szCs w:val="21"/>
                      <w:highlight w:val="none"/>
                    </w:rPr>
                    <w:t>m</w:t>
                  </w:r>
                </w:p>
              </w:tc>
              <w:tc>
                <w:tcPr>
                  <w:tcW w:w="464" w:type="pct"/>
                  <w:vMerge w:val="restart"/>
                  <w:vAlign w:val="center"/>
                </w:tcPr>
                <w:p>
                  <w:pPr>
                    <w:adjustRightInd w:val="0"/>
                    <w:snapToGrid w:val="0"/>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150</w:t>
                  </w:r>
                  <w:r>
                    <w:rPr>
                      <w:rFonts w:hint="default" w:ascii="Times New Roman" w:hAnsi="Times New Roman" w:eastAsia="宋体" w:cs="Times New Roman"/>
                      <w:b w:val="0"/>
                      <w:bCs/>
                      <w:color w:val="auto"/>
                      <w:sz w:val="21"/>
                      <w:szCs w:val="21"/>
                      <w:highlight w:val="none"/>
                    </w:rPr>
                    <w:t>m</w:t>
                  </w:r>
                </w:p>
              </w:tc>
              <w:tc>
                <w:tcPr>
                  <w:tcW w:w="483" w:type="pct"/>
                  <w:vMerge w:val="restart"/>
                  <w:vAlign w:val="center"/>
                </w:tcPr>
                <w:p>
                  <w:pPr>
                    <w:adjustRightInd w:val="0"/>
                    <w:snapToGrid w:val="0"/>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2</w:t>
                  </w:r>
                  <w:r>
                    <w:rPr>
                      <w:rFonts w:hint="default" w:ascii="Times New Roman" w:hAnsi="Times New Roman" w:eastAsia="宋体" w:cs="Times New Roman"/>
                      <w:b w:val="0"/>
                      <w:bCs/>
                      <w:color w:val="auto"/>
                      <w:sz w:val="21"/>
                      <w:szCs w:val="21"/>
                      <w:highlight w:val="none"/>
                    </w:rPr>
                    <w:t>00m</w:t>
                  </w:r>
                </w:p>
              </w:tc>
              <w:tc>
                <w:tcPr>
                  <w:tcW w:w="970" w:type="pct"/>
                  <w:gridSpan w:val="2"/>
                  <w:vAlign w:val="center"/>
                </w:tcPr>
                <w:p>
                  <w:pPr>
                    <w:adjustRightInd w:val="0"/>
                    <w:snapToGrid w:val="0"/>
                    <w:spacing w:line="240" w:lineRule="auto"/>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超标距离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707" w:type="pct"/>
                  <w:vMerge w:val="continue"/>
                  <w:vAlign w:val="center"/>
                </w:tcPr>
                <w:p>
                  <w:pPr>
                    <w:adjustRightInd w:val="0"/>
                    <w:snapToGrid w:val="0"/>
                    <w:spacing w:line="240" w:lineRule="auto"/>
                    <w:jc w:val="center"/>
                    <w:rPr>
                      <w:rFonts w:hint="default" w:ascii="Times New Roman" w:hAnsi="Times New Roman" w:cs="Times New Roman"/>
                      <w:color w:val="auto"/>
                      <w:highlight w:val="none"/>
                    </w:rPr>
                  </w:pPr>
                </w:p>
              </w:tc>
              <w:tc>
                <w:tcPr>
                  <w:tcW w:w="509" w:type="pct"/>
                  <w:vMerge w:val="continue"/>
                  <w:vAlign w:val="center"/>
                </w:tcPr>
                <w:p>
                  <w:pPr>
                    <w:adjustRightInd w:val="0"/>
                    <w:snapToGrid w:val="0"/>
                    <w:spacing w:line="240" w:lineRule="auto"/>
                    <w:jc w:val="center"/>
                    <w:rPr>
                      <w:rFonts w:hint="default" w:ascii="Times New Roman" w:hAnsi="Times New Roman" w:cs="Times New Roman"/>
                      <w:color w:val="auto"/>
                      <w:highlight w:val="none"/>
                    </w:rPr>
                  </w:pPr>
                </w:p>
              </w:tc>
              <w:tc>
                <w:tcPr>
                  <w:tcW w:w="427" w:type="pct"/>
                  <w:vMerge w:val="continue"/>
                  <w:vAlign w:val="center"/>
                </w:tcPr>
                <w:p>
                  <w:pPr>
                    <w:adjustRightInd w:val="0"/>
                    <w:snapToGrid w:val="0"/>
                    <w:spacing w:line="240" w:lineRule="auto"/>
                    <w:jc w:val="center"/>
                    <w:rPr>
                      <w:rFonts w:hint="default" w:ascii="Times New Roman" w:hAnsi="Times New Roman" w:cs="Times New Roman"/>
                      <w:color w:val="auto"/>
                      <w:highlight w:val="none"/>
                    </w:rPr>
                  </w:pPr>
                </w:p>
              </w:tc>
              <w:tc>
                <w:tcPr>
                  <w:tcW w:w="473" w:type="pct"/>
                  <w:vMerge w:val="continue"/>
                  <w:vAlign w:val="center"/>
                </w:tcPr>
                <w:p>
                  <w:pPr>
                    <w:adjustRightInd w:val="0"/>
                    <w:snapToGrid w:val="0"/>
                    <w:spacing w:line="240" w:lineRule="auto"/>
                    <w:jc w:val="center"/>
                    <w:rPr>
                      <w:rFonts w:hint="default" w:ascii="Times New Roman" w:hAnsi="Times New Roman" w:cs="Times New Roman"/>
                      <w:color w:val="auto"/>
                      <w:highlight w:val="none"/>
                    </w:rPr>
                  </w:pPr>
                </w:p>
              </w:tc>
              <w:tc>
                <w:tcPr>
                  <w:tcW w:w="463" w:type="pct"/>
                  <w:vMerge w:val="continue"/>
                  <w:vAlign w:val="center"/>
                </w:tcPr>
                <w:p>
                  <w:pPr>
                    <w:adjustRightInd w:val="0"/>
                    <w:snapToGrid w:val="0"/>
                    <w:spacing w:line="240" w:lineRule="auto"/>
                    <w:jc w:val="center"/>
                    <w:rPr>
                      <w:rFonts w:hint="default" w:ascii="Times New Roman" w:hAnsi="Times New Roman" w:cs="Times New Roman"/>
                      <w:color w:val="auto"/>
                      <w:highlight w:val="none"/>
                    </w:rPr>
                  </w:pPr>
                </w:p>
              </w:tc>
              <w:tc>
                <w:tcPr>
                  <w:tcW w:w="501" w:type="pct"/>
                  <w:vMerge w:val="continue"/>
                  <w:vAlign w:val="center"/>
                </w:tcPr>
                <w:p>
                  <w:pPr>
                    <w:adjustRightInd w:val="0"/>
                    <w:snapToGrid w:val="0"/>
                    <w:spacing w:line="240" w:lineRule="auto"/>
                    <w:jc w:val="center"/>
                    <w:rPr>
                      <w:rFonts w:hint="default" w:ascii="Times New Roman" w:hAnsi="Times New Roman" w:cs="Times New Roman"/>
                      <w:color w:val="auto"/>
                      <w:highlight w:val="none"/>
                    </w:rPr>
                  </w:pPr>
                </w:p>
              </w:tc>
              <w:tc>
                <w:tcPr>
                  <w:tcW w:w="464" w:type="pct"/>
                  <w:vMerge w:val="continue"/>
                  <w:vAlign w:val="center"/>
                </w:tcPr>
                <w:p>
                  <w:pPr>
                    <w:adjustRightInd w:val="0"/>
                    <w:snapToGrid w:val="0"/>
                    <w:spacing w:line="240" w:lineRule="auto"/>
                    <w:jc w:val="center"/>
                    <w:rPr>
                      <w:rFonts w:hint="default" w:ascii="Times New Roman" w:hAnsi="Times New Roman" w:cs="Times New Roman"/>
                      <w:color w:val="auto"/>
                      <w:highlight w:val="none"/>
                    </w:rPr>
                  </w:pPr>
                </w:p>
              </w:tc>
              <w:tc>
                <w:tcPr>
                  <w:tcW w:w="483" w:type="pct"/>
                  <w:vMerge w:val="continue"/>
                  <w:vAlign w:val="center"/>
                </w:tcPr>
                <w:p>
                  <w:pPr>
                    <w:adjustRightInd w:val="0"/>
                    <w:snapToGrid w:val="0"/>
                    <w:spacing w:line="240" w:lineRule="auto"/>
                    <w:jc w:val="center"/>
                    <w:rPr>
                      <w:rFonts w:hint="default" w:ascii="Times New Roman" w:hAnsi="Times New Roman" w:cs="Times New Roman"/>
                      <w:color w:val="auto"/>
                      <w:highlight w:val="none"/>
                    </w:rPr>
                  </w:pPr>
                </w:p>
              </w:tc>
              <w:tc>
                <w:tcPr>
                  <w:tcW w:w="483" w:type="pct"/>
                  <w:vAlign w:val="center"/>
                </w:tcPr>
                <w:p>
                  <w:pPr>
                    <w:adjustRightInd w:val="0"/>
                    <w:snapToGrid w:val="0"/>
                    <w:spacing w:line="240" w:lineRule="auto"/>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昼间</w:t>
                  </w:r>
                </w:p>
              </w:tc>
              <w:tc>
                <w:tcPr>
                  <w:tcW w:w="487" w:type="pct"/>
                  <w:vAlign w:val="center"/>
                </w:tcPr>
                <w:p>
                  <w:pPr>
                    <w:adjustRightInd w:val="0"/>
                    <w:snapToGrid w:val="0"/>
                    <w:spacing w:line="240" w:lineRule="auto"/>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sz w:val="21"/>
                      <w:szCs w:val="21"/>
                      <w:highlight w:val="none"/>
                      <w:vertAlign w:val="baseline"/>
                      <w:lang w:val="en-US" w:eastAsia="zh-CN"/>
                    </w:rPr>
                    <w:t>挖掘机</w:t>
                  </w:r>
                </w:p>
              </w:tc>
              <w:tc>
                <w:tcPr>
                  <w:tcW w:w="89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72.8 </w:t>
                  </w:r>
                </w:p>
              </w:tc>
              <w:tc>
                <w:tcPr>
                  <w:tcW w:w="75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66.8 </w:t>
                  </w:r>
                </w:p>
              </w:tc>
              <w:tc>
                <w:tcPr>
                  <w:tcW w:w="83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63.2 </w:t>
                  </w:r>
                </w:p>
              </w:tc>
              <w:tc>
                <w:tcPr>
                  <w:tcW w:w="818"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58.8 </w:t>
                  </w:r>
                </w:p>
              </w:tc>
              <w:tc>
                <w:tcPr>
                  <w:tcW w:w="88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52.8 </w:t>
                  </w:r>
                </w:p>
              </w:tc>
              <w:tc>
                <w:tcPr>
                  <w:tcW w:w="82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49.3 </w:t>
                  </w:r>
                </w:p>
              </w:tc>
              <w:tc>
                <w:tcPr>
                  <w:tcW w:w="85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46.8 </w:t>
                  </w:r>
                </w:p>
              </w:tc>
              <w:tc>
                <w:tcPr>
                  <w:tcW w:w="85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14 </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sz w:val="21"/>
                      <w:szCs w:val="21"/>
                      <w:highlight w:val="none"/>
                      <w:vertAlign w:val="baseline"/>
                      <w:lang w:val="en-US" w:eastAsia="zh-CN"/>
                    </w:rPr>
                    <w:t>推土机</w:t>
                  </w:r>
                </w:p>
              </w:tc>
              <w:tc>
                <w:tcPr>
                  <w:tcW w:w="89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77.8 </w:t>
                  </w:r>
                </w:p>
              </w:tc>
              <w:tc>
                <w:tcPr>
                  <w:tcW w:w="75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71.8 </w:t>
                  </w:r>
                </w:p>
              </w:tc>
              <w:tc>
                <w:tcPr>
                  <w:tcW w:w="83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68.2 </w:t>
                  </w:r>
                </w:p>
              </w:tc>
              <w:tc>
                <w:tcPr>
                  <w:tcW w:w="818"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63.8 </w:t>
                  </w:r>
                </w:p>
              </w:tc>
              <w:tc>
                <w:tcPr>
                  <w:tcW w:w="88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57.8 </w:t>
                  </w:r>
                </w:p>
              </w:tc>
              <w:tc>
                <w:tcPr>
                  <w:tcW w:w="82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54.3 </w:t>
                  </w:r>
                </w:p>
              </w:tc>
              <w:tc>
                <w:tcPr>
                  <w:tcW w:w="85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51.8 </w:t>
                  </w:r>
                </w:p>
              </w:tc>
              <w:tc>
                <w:tcPr>
                  <w:tcW w:w="85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24 </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138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cs="宋体"/>
                      <w:color w:val="auto"/>
                      <w:kern w:val="0"/>
                      <w:sz w:val="21"/>
                      <w:szCs w:val="21"/>
                      <w:highlight w:val="none"/>
                    </w:rPr>
                    <w:t>装载机</w:t>
                  </w:r>
                </w:p>
              </w:tc>
              <w:tc>
                <w:tcPr>
                  <w:tcW w:w="89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74.8 </w:t>
                  </w:r>
                </w:p>
              </w:tc>
              <w:tc>
                <w:tcPr>
                  <w:tcW w:w="75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68.8 </w:t>
                  </w:r>
                </w:p>
              </w:tc>
              <w:tc>
                <w:tcPr>
                  <w:tcW w:w="836"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65.2 </w:t>
                  </w:r>
                </w:p>
              </w:tc>
              <w:tc>
                <w:tcPr>
                  <w:tcW w:w="81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60.8 </w:t>
                  </w:r>
                </w:p>
              </w:tc>
              <w:tc>
                <w:tcPr>
                  <w:tcW w:w="88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54.8 </w:t>
                  </w:r>
                </w:p>
              </w:tc>
              <w:tc>
                <w:tcPr>
                  <w:tcW w:w="82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51.2 </w:t>
                  </w:r>
                </w:p>
              </w:tc>
              <w:tc>
                <w:tcPr>
                  <w:tcW w:w="85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48.8 </w:t>
                  </w:r>
                </w:p>
              </w:tc>
              <w:tc>
                <w:tcPr>
                  <w:tcW w:w="85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17 </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cs="宋体"/>
                      <w:color w:val="auto"/>
                      <w:kern w:val="0"/>
                      <w:sz w:val="21"/>
                      <w:szCs w:val="21"/>
                      <w:highlight w:val="none"/>
                    </w:rPr>
                    <w:t>振动碾</w:t>
                  </w:r>
                </w:p>
              </w:tc>
              <w:tc>
                <w:tcPr>
                  <w:tcW w:w="89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62.8 </w:t>
                  </w:r>
                </w:p>
              </w:tc>
              <w:tc>
                <w:tcPr>
                  <w:tcW w:w="75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66.8 </w:t>
                  </w:r>
                </w:p>
              </w:tc>
              <w:tc>
                <w:tcPr>
                  <w:tcW w:w="836"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63.2 </w:t>
                  </w:r>
                </w:p>
              </w:tc>
              <w:tc>
                <w:tcPr>
                  <w:tcW w:w="81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58.8 </w:t>
                  </w:r>
                </w:p>
              </w:tc>
              <w:tc>
                <w:tcPr>
                  <w:tcW w:w="88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52.8 </w:t>
                  </w:r>
                </w:p>
              </w:tc>
              <w:tc>
                <w:tcPr>
                  <w:tcW w:w="82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49.3 </w:t>
                  </w:r>
                </w:p>
              </w:tc>
              <w:tc>
                <w:tcPr>
                  <w:tcW w:w="85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46.8 </w:t>
                  </w:r>
                </w:p>
              </w:tc>
              <w:tc>
                <w:tcPr>
                  <w:tcW w:w="85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14 </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cs="宋体"/>
                      <w:color w:val="auto"/>
                      <w:kern w:val="0"/>
                      <w:sz w:val="21"/>
                      <w:szCs w:val="21"/>
                      <w:highlight w:val="none"/>
                    </w:rPr>
                    <w:t>蛙式夯机</w:t>
                  </w:r>
                </w:p>
              </w:tc>
              <w:tc>
                <w:tcPr>
                  <w:tcW w:w="89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72.8 </w:t>
                  </w:r>
                </w:p>
              </w:tc>
              <w:tc>
                <w:tcPr>
                  <w:tcW w:w="75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66.8 </w:t>
                  </w:r>
                </w:p>
              </w:tc>
              <w:tc>
                <w:tcPr>
                  <w:tcW w:w="836"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63.2 </w:t>
                  </w:r>
                </w:p>
              </w:tc>
              <w:tc>
                <w:tcPr>
                  <w:tcW w:w="81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58.8 </w:t>
                  </w:r>
                </w:p>
              </w:tc>
              <w:tc>
                <w:tcPr>
                  <w:tcW w:w="88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52.8 </w:t>
                  </w:r>
                </w:p>
              </w:tc>
              <w:tc>
                <w:tcPr>
                  <w:tcW w:w="82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49.3 </w:t>
                  </w:r>
                </w:p>
              </w:tc>
              <w:tc>
                <w:tcPr>
                  <w:tcW w:w="85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46.8 </w:t>
                  </w:r>
                </w:p>
              </w:tc>
              <w:tc>
                <w:tcPr>
                  <w:tcW w:w="85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14 </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rPr>
                    <w:t>钻机</w:t>
                  </w:r>
                </w:p>
              </w:tc>
              <w:tc>
                <w:tcPr>
                  <w:tcW w:w="89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78.0 </w:t>
                  </w:r>
                </w:p>
              </w:tc>
              <w:tc>
                <w:tcPr>
                  <w:tcW w:w="75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72.0 </w:t>
                  </w:r>
                </w:p>
              </w:tc>
              <w:tc>
                <w:tcPr>
                  <w:tcW w:w="836"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68.5 </w:t>
                  </w:r>
                </w:p>
              </w:tc>
              <w:tc>
                <w:tcPr>
                  <w:tcW w:w="81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64.0 </w:t>
                  </w:r>
                </w:p>
              </w:tc>
              <w:tc>
                <w:tcPr>
                  <w:tcW w:w="88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58.0 </w:t>
                  </w:r>
                </w:p>
              </w:tc>
              <w:tc>
                <w:tcPr>
                  <w:tcW w:w="82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54.5 </w:t>
                  </w:r>
                </w:p>
              </w:tc>
              <w:tc>
                <w:tcPr>
                  <w:tcW w:w="85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52.0 </w:t>
                  </w:r>
                </w:p>
              </w:tc>
              <w:tc>
                <w:tcPr>
                  <w:tcW w:w="85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25 </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141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kern w:val="0"/>
                      <w:szCs w:val="21"/>
                      <w:highlight w:val="none"/>
                    </w:rPr>
                    <w:t>搅拌机</w:t>
                  </w:r>
                </w:p>
              </w:tc>
              <w:tc>
                <w:tcPr>
                  <w:tcW w:w="89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77.8 </w:t>
                  </w:r>
                </w:p>
              </w:tc>
              <w:tc>
                <w:tcPr>
                  <w:tcW w:w="75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71.8 </w:t>
                  </w:r>
                </w:p>
              </w:tc>
              <w:tc>
                <w:tcPr>
                  <w:tcW w:w="83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68.2 </w:t>
                  </w:r>
                </w:p>
              </w:tc>
              <w:tc>
                <w:tcPr>
                  <w:tcW w:w="818"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63.8 </w:t>
                  </w:r>
                </w:p>
              </w:tc>
              <w:tc>
                <w:tcPr>
                  <w:tcW w:w="88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57.8 </w:t>
                  </w:r>
                </w:p>
              </w:tc>
              <w:tc>
                <w:tcPr>
                  <w:tcW w:w="82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54.3 </w:t>
                  </w:r>
                </w:p>
              </w:tc>
              <w:tc>
                <w:tcPr>
                  <w:tcW w:w="85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51.8 </w:t>
                  </w:r>
                </w:p>
              </w:tc>
              <w:tc>
                <w:tcPr>
                  <w:tcW w:w="85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24 </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138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kern w:val="0"/>
                      <w:szCs w:val="21"/>
                      <w:highlight w:val="none"/>
                    </w:rPr>
                    <w:t>振捣器</w:t>
                  </w:r>
                </w:p>
              </w:tc>
              <w:tc>
                <w:tcPr>
                  <w:tcW w:w="89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66.5 </w:t>
                  </w:r>
                </w:p>
              </w:tc>
              <w:tc>
                <w:tcPr>
                  <w:tcW w:w="75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1"/>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70.4 </w:t>
                  </w:r>
                </w:p>
              </w:tc>
              <w:tc>
                <w:tcPr>
                  <w:tcW w:w="83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1"/>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66.9 </w:t>
                  </w:r>
                </w:p>
              </w:tc>
              <w:tc>
                <w:tcPr>
                  <w:tcW w:w="818"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1"/>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62.5 </w:t>
                  </w:r>
                </w:p>
              </w:tc>
              <w:tc>
                <w:tcPr>
                  <w:tcW w:w="88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1"/>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56.5 </w:t>
                  </w:r>
                </w:p>
              </w:tc>
              <w:tc>
                <w:tcPr>
                  <w:tcW w:w="82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1"/>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52.9 </w:t>
                  </w:r>
                </w:p>
              </w:tc>
              <w:tc>
                <w:tcPr>
                  <w:tcW w:w="85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1"/>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50.4 </w:t>
                  </w:r>
                </w:p>
              </w:tc>
              <w:tc>
                <w:tcPr>
                  <w:tcW w:w="85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21 </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118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napToGrid w:val="0"/>
                      <w:color w:val="auto"/>
                      <w:sz w:val="21"/>
                      <w:szCs w:val="21"/>
                      <w:highlight w:val="none"/>
                      <w:vertAlign w:val="baseline"/>
                      <w:lang w:val="en-US" w:eastAsia="zh-CN"/>
                    </w:rPr>
                    <w:t>自卸汽车</w:t>
                  </w:r>
                </w:p>
              </w:tc>
              <w:tc>
                <w:tcPr>
                  <w:tcW w:w="89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69.1 </w:t>
                  </w:r>
                </w:p>
              </w:tc>
              <w:tc>
                <w:tcPr>
                  <w:tcW w:w="75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73.1 </w:t>
                  </w:r>
                </w:p>
              </w:tc>
              <w:tc>
                <w:tcPr>
                  <w:tcW w:w="83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69.6 </w:t>
                  </w:r>
                </w:p>
              </w:tc>
              <w:tc>
                <w:tcPr>
                  <w:tcW w:w="818"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65.2 </w:t>
                  </w:r>
                </w:p>
              </w:tc>
              <w:tc>
                <w:tcPr>
                  <w:tcW w:w="88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59.1 </w:t>
                  </w:r>
                </w:p>
              </w:tc>
              <w:tc>
                <w:tcPr>
                  <w:tcW w:w="82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55.6 </w:t>
                  </w:r>
                </w:p>
              </w:tc>
              <w:tc>
                <w:tcPr>
                  <w:tcW w:w="85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53.1 </w:t>
                  </w:r>
                </w:p>
              </w:tc>
              <w:tc>
                <w:tcPr>
                  <w:tcW w:w="85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29 </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161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eastAsia" w:ascii="宋体" w:hAnsi="宋体" w:cs="宋体"/>
                      <w:color w:val="auto"/>
                      <w:kern w:val="0"/>
                      <w:sz w:val="21"/>
                      <w:szCs w:val="21"/>
                      <w:highlight w:val="none"/>
                    </w:rPr>
                    <w:t>载重汽车</w:t>
                  </w:r>
                </w:p>
              </w:tc>
              <w:tc>
                <w:tcPr>
                  <w:tcW w:w="89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65.0 </w:t>
                  </w:r>
                </w:p>
              </w:tc>
              <w:tc>
                <w:tcPr>
                  <w:tcW w:w="75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59.0 </w:t>
                  </w:r>
                </w:p>
              </w:tc>
              <w:tc>
                <w:tcPr>
                  <w:tcW w:w="83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55.5 </w:t>
                  </w:r>
                </w:p>
              </w:tc>
              <w:tc>
                <w:tcPr>
                  <w:tcW w:w="818"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51.0 </w:t>
                  </w:r>
                </w:p>
              </w:tc>
              <w:tc>
                <w:tcPr>
                  <w:tcW w:w="88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45.0 </w:t>
                  </w:r>
                </w:p>
              </w:tc>
              <w:tc>
                <w:tcPr>
                  <w:tcW w:w="82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41.5 </w:t>
                  </w:r>
                </w:p>
              </w:tc>
              <w:tc>
                <w:tcPr>
                  <w:tcW w:w="85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39.0 </w:t>
                  </w:r>
                </w:p>
              </w:tc>
              <w:tc>
                <w:tcPr>
                  <w:tcW w:w="85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6 </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空压机</w:t>
                  </w:r>
                </w:p>
              </w:tc>
              <w:tc>
                <w:tcPr>
                  <w:tcW w:w="89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82.6 </w:t>
                  </w:r>
                </w:p>
              </w:tc>
              <w:tc>
                <w:tcPr>
                  <w:tcW w:w="75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76.5 </w:t>
                  </w:r>
                </w:p>
              </w:tc>
              <w:tc>
                <w:tcPr>
                  <w:tcW w:w="83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73.0 </w:t>
                  </w:r>
                </w:p>
              </w:tc>
              <w:tc>
                <w:tcPr>
                  <w:tcW w:w="818"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68.6 </w:t>
                  </w:r>
                </w:p>
              </w:tc>
              <w:tc>
                <w:tcPr>
                  <w:tcW w:w="88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62.6 </w:t>
                  </w:r>
                </w:p>
              </w:tc>
              <w:tc>
                <w:tcPr>
                  <w:tcW w:w="82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59.0 </w:t>
                  </w:r>
                </w:p>
              </w:tc>
              <w:tc>
                <w:tcPr>
                  <w:tcW w:w="85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56.5 </w:t>
                  </w:r>
                </w:p>
              </w:tc>
              <w:tc>
                <w:tcPr>
                  <w:tcW w:w="85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42 </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239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kern w:val="0"/>
                      <w:szCs w:val="21"/>
                      <w:highlight w:val="none"/>
                    </w:rPr>
                    <w:t>水泵</w:t>
                  </w:r>
                </w:p>
              </w:tc>
              <w:tc>
                <w:tcPr>
                  <w:tcW w:w="89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76.0 </w:t>
                  </w:r>
                </w:p>
              </w:tc>
              <w:tc>
                <w:tcPr>
                  <w:tcW w:w="75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70.0 </w:t>
                  </w:r>
                </w:p>
              </w:tc>
              <w:tc>
                <w:tcPr>
                  <w:tcW w:w="83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66.5 </w:t>
                  </w:r>
                </w:p>
              </w:tc>
              <w:tc>
                <w:tcPr>
                  <w:tcW w:w="818"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62.0 </w:t>
                  </w:r>
                </w:p>
              </w:tc>
              <w:tc>
                <w:tcPr>
                  <w:tcW w:w="88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56.0 </w:t>
                  </w:r>
                </w:p>
              </w:tc>
              <w:tc>
                <w:tcPr>
                  <w:tcW w:w="82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52.5 </w:t>
                  </w:r>
                </w:p>
              </w:tc>
              <w:tc>
                <w:tcPr>
                  <w:tcW w:w="85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50.0 </w:t>
                  </w:r>
                </w:p>
              </w:tc>
              <w:tc>
                <w:tcPr>
                  <w:tcW w:w="85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20 </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112 </w:t>
                  </w:r>
                </w:p>
              </w:tc>
            </w:tr>
          </w:tbl>
          <w:p>
            <w:pPr>
              <w:widowControl/>
              <w:adjustRightInd w:val="0"/>
              <w:snapToGrid w:val="0"/>
              <w:spacing w:line="360" w:lineRule="auto"/>
              <w:ind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根据预测结果，当施工机械与</w:t>
            </w:r>
            <w:r>
              <w:rPr>
                <w:rFonts w:hint="default" w:ascii="Times New Roman" w:hAnsi="Times New Roman" w:cs="Times New Roman"/>
                <w:color w:val="auto"/>
                <w:sz w:val="21"/>
                <w:szCs w:val="21"/>
                <w:highlight w:val="none"/>
                <w:lang w:val="en-US" w:eastAsia="zh-CN"/>
              </w:rPr>
              <w:t>工程边</w:t>
            </w:r>
            <w:r>
              <w:rPr>
                <w:rFonts w:hint="default" w:ascii="Times New Roman" w:hAnsi="Times New Roman" w:eastAsia="宋体" w:cs="Times New Roman"/>
                <w:color w:val="auto"/>
                <w:sz w:val="21"/>
                <w:szCs w:val="21"/>
                <w:highlight w:val="none"/>
              </w:rPr>
              <w:t>界距离昼间小于</w:t>
            </w:r>
            <w:r>
              <w:rPr>
                <w:rFonts w:hint="eastAsia" w:cs="Times New Roman"/>
                <w:color w:val="auto"/>
                <w:sz w:val="21"/>
                <w:szCs w:val="21"/>
                <w:highlight w:val="none"/>
                <w:lang w:val="en-US" w:eastAsia="zh-CN"/>
              </w:rPr>
              <w:t>42</w:t>
            </w:r>
            <w:r>
              <w:rPr>
                <w:rFonts w:hint="default" w:ascii="Times New Roman" w:hAnsi="Times New Roman" w:eastAsia="宋体" w:cs="Times New Roman"/>
                <w:color w:val="auto"/>
                <w:sz w:val="21"/>
                <w:szCs w:val="21"/>
                <w:highlight w:val="none"/>
              </w:rPr>
              <w:t>m、夜间小于</w:t>
            </w:r>
            <w:r>
              <w:rPr>
                <w:rFonts w:hint="eastAsia" w:cs="Times New Roman"/>
                <w:color w:val="auto"/>
                <w:sz w:val="21"/>
                <w:szCs w:val="21"/>
                <w:highlight w:val="none"/>
                <w:lang w:val="en-US" w:eastAsia="zh-CN"/>
              </w:rPr>
              <w:t>239</w:t>
            </w:r>
            <w:r>
              <w:rPr>
                <w:rFonts w:hint="default" w:ascii="Times New Roman" w:hAnsi="Times New Roman" w:eastAsia="宋体" w:cs="Times New Roman"/>
                <w:color w:val="auto"/>
                <w:sz w:val="21"/>
                <w:szCs w:val="21"/>
                <w:highlight w:val="none"/>
              </w:rPr>
              <w:t>m时，施工机械产生的噪声在场界处容易超过《建筑施工场界环境噪声排放标准》（GB12523-2011）。此外，施工过程中，容易引起距主要施工机具</w:t>
            </w:r>
            <w:r>
              <w:rPr>
                <w:rFonts w:hint="eastAsia"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0m区域昼间噪声及300m区域夜间噪声超过《声环境质量标准》（GB3096-2008）中的</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类标准</w:t>
            </w:r>
            <w:r>
              <w:rPr>
                <w:rFonts w:hint="default" w:ascii="Times New Roman" w:hAnsi="Times New Roman" w:cs="Times New Roman"/>
                <w:color w:val="auto"/>
                <w:sz w:val="21"/>
                <w:szCs w:val="21"/>
                <w:highlight w:val="none"/>
                <w:lang w:eastAsia="zh-CN"/>
              </w:rPr>
              <w:t>。</w:t>
            </w:r>
          </w:p>
          <w:p>
            <w:pPr>
              <w:widowControl/>
              <w:adjustRightInd w:val="0"/>
              <w:snapToGrid w:val="0"/>
              <w:spacing w:line="360" w:lineRule="auto"/>
              <w:ind w:firstLine="420" w:firstLineChars="200"/>
              <w:rPr>
                <w:rFonts w:hint="default" w:ascii="Times New Roman" w:hAnsi="Times New Roman" w:eastAsia="宋体" w:cs="Times New Roman"/>
                <w:snapToGrid w:val="0"/>
                <w:color w:val="auto"/>
                <w:sz w:val="21"/>
                <w:szCs w:val="21"/>
                <w:highlight w:val="none"/>
              </w:rPr>
            </w:pPr>
            <w:r>
              <w:rPr>
                <w:rFonts w:hint="default" w:ascii="Times New Roman" w:hAnsi="Times New Roman" w:cs="Times New Roman"/>
                <w:snapToGrid w:val="0"/>
                <w:color w:val="auto"/>
                <w:sz w:val="21"/>
                <w:szCs w:val="21"/>
                <w:highlight w:val="none"/>
                <w:lang w:eastAsia="zh-CN"/>
              </w:rPr>
              <w:t>本项目工程枢纽工程施工区域附近有少量居民，</w:t>
            </w:r>
            <w:r>
              <w:rPr>
                <w:rFonts w:hint="default" w:ascii="Times New Roman" w:hAnsi="Times New Roman" w:eastAsia="宋体" w:cs="Times New Roman"/>
                <w:color w:val="auto"/>
                <w:sz w:val="21"/>
                <w:szCs w:val="24"/>
                <w:highlight w:val="none"/>
                <w:shd w:val="clear" w:color="auto" w:fill="auto"/>
                <w:lang w:val="en-US" w:eastAsia="zh-CN"/>
              </w:rPr>
              <w:t>通过</w:t>
            </w:r>
            <w:r>
              <w:rPr>
                <w:rFonts w:hint="default" w:ascii="Times New Roman" w:hAnsi="Times New Roman" w:eastAsia="宋体" w:cs="Times New Roman"/>
                <w:snapToGrid w:val="0"/>
                <w:color w:val="auto"/>
                <w:sz w:val="21"/>
                <w:szCs w:val="21"/>
                <w:highlight w:val="none"/>
              </w:rPr>
              <w:t>选用低噪声设备</w:t>
            </w:r>
            <w:r>
              <w:rPr>
                <w:rFonts w:hint="default" w:ascii="Times New Roman" w:hAnsi="Times New Roman"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对空压机等高噪声源采取消声、隔声措施</w:t>
            </w:r>
            <w:r>
              <w:rPr>
                <w:rFonts w:hint="default" w:ascii="Times New Roman" w:hAnsi="Times New Roman"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合理布置施工时间，避免夜间施工</w:t>
            </w:r>
            <w:r>
              <w:rPr>
                <w:rFonts w:hint="default" w:ascii="Times New Roman" w:hAnsi="Times New Roman" w:eastAsia="宋体" w:cs="Times New Roman"/>
                <w:color w:val="auto"/>
                <w:sz w:val="21"/>
                <w:szCs w:val="24"/>
                <w:highlight w:val="none"/>
                <w:shd w:val="clear" w:color="auto" w:fill="auto"/>
              </w:rPr>
              <w:t>等措施，可以有效控制噪声影响。</w:t>
            </w:r>
            <w:r>
              <w:rPr>
                <w:rFonts w:hint="default" w:ascii="Times New Roman" w:hAnsi="Times New Roman" w:eastAsia="宋体" w:cs="Times New Roman"/>
                <w:color w:val="auto"/>
                <w:sz w:val="21"/>
                <w:szCs w:val="21"/>
                <w:highlight w:val="none"/>
                <w:shd w:val="clear" w:color="auto" w:fill="auto"/>
              </w:rPr>
              <w:t>项目施工噪声不会对周边环境产生长期影响，随着项目施工结束，施工噪声污染将随之消失。因此项目施工期噪声对周围环境影响是可以接受的。</w:t>
            </w:r>
          </w:p>
          <w:p>
            <w:pPr>
              <w:widowControl/>
              <w:adjustRightInd w:val="0"/>
              <w:snapToGrid w:val="0"/>
              <w:spacing w:line="360" w:lineRule="auto"/>
              <w:ind w:firstLine="420" w:firstLineChars="200"/>
              <w:rPr>
                <w:rFonts w:hint="default" w:ascii="Times New Roman" w:hAnsi="Times New Roman" w:cs="Times New Roman"/>
                <w:snapToGrid w:val="0"/>
                <w:color w:val="auto"/>
                <w:sz w:val="21"/>
                <w:szCs w:val="21"/>
                <w:highlight w:val="none"/>
                <w:lang w:eastAsia="zh-CN"/>
              </w:rPr>
            </w:pPr>
            <w:r>
              <w:rPr>
                <w:rFonts w:hint="default" w:ascii="Times New Roman" w:hAnsi="Times New Roman" w:cs="Times New Roman"/>
                <w:snapToGrid w:val="0"/>
                <w:color w:val="auto"/>
                <w:sz w:val="21"/>
                <w:szCs w:val="21"/>
                <w:highlight w:val="none"/>
                <w:lang w:eastAsia="zh-CN"/>
              </w:rPr>
              <w:t>（</w:t>
            </w:r>
            <w:r>
              <w:rPr>
                <w:rFonts w:hint="default" w:ascii="Times New Roman" w:hAnsi="Times New Roman" w:cs="Times New Roman"/>
                <w:snapToGrid w:val="0"/>
                <w:color w:val="auto"/>
                <w:sz w:val="21"/>
                <w:szCs w:val="21"/>
                <w:highlight w:val="none"/>
                <w:lang w:val="en-US" w:eastAsia="zh-CN"/>
              </w:rPr>
              <w:t>3</w:t>
            </w:r>
            <w:r>
              <w:rPr>
                <w:rFonts w:hint="default" w:ascii="Times New Roman" w:hAnsi="Times New Roman" w:cs="Times New Roman"/>
                <w:snapToGrid w:val="0"/>
                <w:color w:val="auto"/>
                <w:sz w:val="21"/>
                <w:szCs w:val="21"/>
                <w:highlight w:val="none"/>
                <w:lang w:eastAsia="zh-CN"/>
              </w:rPr>
              <w:t>）交通噪声的影响</w:t>
            </w:r>
          </w:p>
          <w:p>
            <w:pPr>
              <w:widowControl/>
              <w:adjustRightInd w:val="0"/>
              <w:snapToGrid w:val="0"/>
              <w:spacing w:line="360" w:lineRule="auto"/>
              <w:ind w:firstLine="420" w:firstLineChars="200"/>
              <w:rPr>
                <w:rFonts w:hint="default" w:ascii="Times New Roman" w:hAnsi="Times New Roman" w:cs="Times New Roman"/>
                <w:snapToGrid w:val="0"/>
                <w:color w:val="auto"/>
                <w:sz w:val="21"/>
                <w:szCs w:val="21"/>
                <w:highlight w:val="none"/>
                <w:lang w:eastAsia="zh-CN"/>
              </w:rPr>
            </w:pPr>
            <w:r>
              <w:rPr>
                <w:rFonts w:hint="default" w:ascii="Times New Roman" w:hAnsi="Times New Roman" w:cs="Times New Roman"/>
                <w:snapToGrid w:val="0"/>
                <w:color w:val="auto"/>
                <w:sz w:val="21"/>
                <w:szCs w:val="21"/>
                <w:highlight w:val="none"/>
                <w:lang w:eastAsia="zh-CN"/>
              </w:rPr>
              <w:t>本项目运输交通噪声对运距范围公路两侧居民有一定的影响。采取夜间运输禁止鸣笛，白天运输限制车速等措施后，对居民声环境影响较小。</w:t>
            </w:r>
          </w:p>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lang w:val="en-US" w:eastAsia="zh-CN"/>
              </w:rPr>
              <w:t>4.5施工期</w:t>
            </w:r>
            <w:r>
              <w:rPr>
                <w:rFonts w:hint="default" w:ascii="Times New Roman" w:hAnsi="Times New Roman" w:eastAsia="宋体" w:cs="Times New Roman"/>
                <w:b/>
                <w:bCs/>
                <w:color w:val="auto"/>
                <w:kern w:val="0"/>
                <w:sz w:val="21"/>
                <w:szCs w:val="21"/>
                <w:highlight w:val="none"/>
              </w:rPr>
              <w:t>固体废物影响分析</w:t>
            </w:r>
          </w:p>
          <w:p>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本项目</w:t>
            </w:r>
            <w:r>
              <w:rPr>
                <w:rFonts w:hint="default" w:ascii="Times New Roman" w:hAnsi="Times New Roman" w:eastAsia="宋体" w:cs="Times New Roman"/>
                <w:color w:val="auto"/>
                <w:sz w:val="21"/>
                <w:szCs w:val="21"/>
                <w:highlight w:val="none"/>
              </w:rPr>
              <w:t>施工期固体废物主要为弃土弃渣、建筑垃圾及施工人员生活垃圾。</w:t>
            </w:r>
          </w:p>
          <w:p>
            <w:pPr>
              <w:adjustRightInd w:val="0"/>
              <w:snapToGrid w:val="0"/>
              <w:spacing w:line="360" w:lineRule="auto"/>
              <w:ind w:firstLine="480"/>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lang w:val="en-US" w:eastAsia="zh-CN"/>
              </w:rPr>
              <w:t>1</w:t>
            </w:r>
            <w:r>
              <w:rPr>
                <w:rFonts w:hint="default" w:ascii="Times New Roman" w:hAnsi="Times New Roman" w:cs="Times New Roman"/>
                <w:color w:val="auto"/>
                <w:kern w:val="0"/>
                <w:sz w:val="21"/>
                <w:szCs w:val="21"/>
                <w:highlight w:val="none"/>
                <w:lang w:eastAsia="zh-CN"/>
              </w:rPr>
              <w:t>）</w:t>
            </w:r>
            <w:r>
              <w:rPr>
                <w:rFonts w:hint="default" w:ascii="Times New Roman" w:hAnsi="Times New Roman" w:eastAsia="宋体" w:cs="Times New Roman"/>
                <w:color w:val="auto"/>
                <w:sz w:val="21"/>
                <w:szCs w:val="21"/>
                <w:highlight w:val="none"/>
              </w:rPr>
              <w:t>弃土弃渣</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val="0"/>
                <w:snapToGrid w:val="0"/>
                <w:color w:val="auto"/>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根据土石方平衡，</w:t>
            </w:r>
            <w:r>
              <w:rPr>
                <w:color w:val="auto"/>
                <w:sz w:val="21"/>
                <w:szCs w:val="21"/>
                <w:highlight w:val="none"/>
              </w:rPr>
              <w:t>枢纽工程土石方开挖总量10.48万m</w:t>
            </w:r>
            <w:r>
              <w:rPr>
                <w:color w:val="auto"/>
                <w:sz w:val="21"/>
                <w:szCs w:val="21"/>
                <w:highlight w:val="none"/>
                <w:vertAlign w:val="superscript"/>
              </w:rPr>
              <w:t>3</w:t>
            </w:r>
            <w:r>
              <w:rPr>
                <w:color w:val="auto"/>
                <w:sz w:val="21"/>
                <w:szCs w:val="21"/>
                <w:highlight w:val="none"/>
              </w:rPr>
              <w:t>（自然方）</w:t>
            </w:r>
            <w:r>
              <w:rPr>
                <w:rFonts w:hint="eastAsia"/>
                <w:color w:val="auto"/>
                <w:sz w:val="21"/>
                <w:szCs w:val="21"/>
                <w:highlight w:val="none"/>
              </w:rPr>
              <w:t>，土石方</w:t>
            </w:r>
            <w:r>
              <w:rPr>
                <w:color w:val="auto"/>
                <w:sz w:val="21"/>
                <w:szCs w:val="21"/>
                <w:highlight w:val="none"/>
              </w:rPr>
              <w:t>填筑</w:t>
            </w:r>
            <w:r>
              <w:rPr>
                <w:rFonts w:hint="eastAsia"/>
                <w:color w:val="auto"/>
                <w:sz w:val="21"/>
                <w:szCs w:val="21"/>
                <w:highlight w:val="none"/>
              </w:rPr>
              <w:t>利用料</w:t>
            </w:r>
            <w:r>
              <w:rPr>
                <w:color w:val="auto"/>
                <w:sz w:val="21"/>
                <w:szCs w:val="21"/>
                <w:highlight w:val="none"/>
              </w:rPr>
              <w:t>4.08万m</w:t>
            </w:r>
            <w:r>
              <w:rPr>
                <w:color w:val="auto"/>
                <w:sz w:val="21"/>
                <w:szCs w:val="21"/>
                <w:highlight w:val="none"/>
                <w:vertAlign w:val="superscript"/>
              </w:rPr>
              <w:t>3</w:t>
            </w:r>
            <w:r>
              <w:rPr>
                <w:color w:val="auto"/>
                <w:sz w:val="21"/>
                <w:szCs w:val="21"/>
                <w:highlight w:val="none"/>
              </w:rPr>
              <w:t>（压实方</w:t>
            </w:r>
            <w:r>
              <w:rPr>
                <w:rFonts w:hint="eastAsia"/>
                <w:color w:val="auto"/>
                <w:sz w:val="21"/>
                <w:szCs w:val="21"/>
                <w:highlight w:val="none"/>
              </w:rPr>
              <w:t>），经土</w:t>
            </w:r>
            <w:r>
              <w:rPr>
                <w:color w:val="auto"/>
                <w:sz w:val="21"/>
                <w:szCs w:val="21"/>
                <w:highlight w:val="none"/>
              </w:rPr>
              <w:t>石方平衡弃渣量为7.78万m</w:t>
            </w:r>
            <w:r>
              <w:rPr>
                <w:color w:val="auto"/>
                <w:sz w:val="21"/>
                <w:szCs w:val="21"/>
                <w:highlight w:val="none"/>
                <w:vertAlign w:val="superscript"/>
              </w:rPr>
              <w:t>3</w:t>
            </w:r>
            <w:r>
              <w:rPr>
                <w:color w:val="auto"/>
                <w:sz w:val="21"/>
                <w:szCs w:val="21"/>
                <w:highlight w:val="none"/>
              </w:rPr>
              <w:t>（松方）</w:t>
            </w:r>
            <w:r>
              <w:rPr>
                <w:rFonts w:hint="eastAsia"/>
                <w:color w:val="auto"/>
                <w:sz w:val="21"/>
                <w:szCs w:val="21"/>
                <w:highlight w:val="none"/>
              </w:rPr>
              <w:t>。</w:t>
            </w:r>
            <w:r>
              <w:rPr>
                <w:color w:val="auto"/>
                <w:sz w:val="21"/>
                <w:szCs w:val="21"/>
                <w:highlight w:val="none"/>
              </w:rPr>
              <w:t>其中</w:t>
            </w:r>
            <w:r>
              <w:rPr>
                <w:rFonts w:hint="eastAsia"/>
                <w:color w:val="auto"/>
                <w:sz w:val="21"/>
                <w:szCs w:val="21"/>
                <w:highlight w:val="none"/>
              </w:rPr>
              <w:t>，</w:t>
            </w:r>
            <w:r>
              <w:rPr>
                <w:color w:val="auto"/>
                <w:sz w:val="21"/>
                <w:szCs w:val="21"/>
                <w:highlight w:val="none"/>
              </w:rPr>
              <w:t>水库</w:t>
            </w:r>
            <w:r>
              <w:rPr>
                <w:rFonts w:hint="eastAsia"/>
                <w:color w:val="auto"/>
                <w:sz w:val="21"/>
                <w:szCs w:val="21"/>
                <w:highlight w:val="none"/>
              </w:rPr>
              <w:t>枢纽</w:t>
            </w:r>
            <w:r>
              <w:rPr>
                <w:color w:val="auto"/>
                <w:sz w:val="21"/>
                <w:szCs w:val="21"/>
                <w:highlight w:val="none"/>
              </w:rPr>
              <w:t>弃渣量为6.66</w:t>
            </w:r>
            <w:r>
              <w:rPr>
                <w:rFonts w:hint="eastAsia"/>
                <w:color w:val="auto"/>
                <w:sz w:val="21"/>
                <w:szCs w:val="21"/>
                <w:highlight w:val="none"/>
              </w:rPr>
              <w:t>万</w:t>
            </w:r>
            <w:r>
              <w:rPr>
                <w:color w:val="auto"/>
                <w:sz w:val="21"/>
                <w:szCs w:val="21"/>
                <w:highlight w:val="none"/>
              </w:rPr>
              <w:t>m</w:t>
            </w:r>
            <w:r>
              <w:rPr>
                <w:color w:val="auto"/>
                <w:sz w:val="21"/>
                <w:szCs w:val="21"/>
                <w:highlight w:val="none"/>
                <w:vertAlign w:val="superscript"/>
              </w:rPr>
              <w:t>3</w:t>
            </w:r>
            <w:r>
              <w:rPr>
                <w:color w:val="auto"/>
                <w:sz w:val="21"/>
                <w:szCs w:val="21"/>
                <w:highlight w:val="none"/>
              </w:rPr>
              <w:t>、补水工程弃渣量为1.12</w:t>
            </w:r>
            <w:r>
              <w:rPr>
                <w:rFonts w:hint="eastAsia"/>
                <w:color w:val="auto"/>
                <w:sz w:val="21"/>
                <w:szCs w:val="21"/>
                <w:highlight w:val="none"/>
              </w:rPr>
              <w:t>万</w:t>
            </w:r>
            <w:r>
              <w:rPr>
                <w:color w:val="auto"/>
                <w:sz w:val="21"/>
                <w:szCs w:val="21"/>
                <w:highlight w:val="none"/>
              </w:rPr>
              <w:t>m</w:t>
            </w:r>
            <w:r>
              <w:rPr>
                <w:color w:val="auto"/>
                <w:sz w:val="21"/>
                <w:szCs w:val="21"/>
                <w:highlight w:val="none"/>
                <w:vertAlign w:val="superscript"/>
              </w:rPr>
              <w:t>3</w:t>
            </w:r>
            <w:r>
              <w:rPr>
                <w:rFonts w:hint="eastAsia"/>
                <w:color w:val="auto"/>
                <w:sz w:val="21"/>
                <w:szCs w:val="21"/>
                <w:highlight w:val="none"/>
                <w:vertAlign w:val="baseline"/>
                <w:lang w:eastAsia="zh-CN"/>
              </w:rPr>
              <w:t>。</w:t>
            </w:r>
            <w:r>
              <w:rPr>
                <w:rFonts w:hint="default" w:ascii="Times New Roman" w:hAnsi="Times New Roman" w:eastAsia="宋体" w:cs="Times New Roman"/>
                <w:snapToGrid w:val="0"/>
                <w:color w:val="auto"/>
                <w:sz w:val="21"/>
                <w:szCs w:val="21"/>
                <w:highlight w:val="none"/>
                <w:lang w:val="en-US" w:eastAsia="zh-CN"/>
              </w:rPr>
              <w:t>枢纽工程</w:t>
            </w:r>
            <w:r>
              <w:rPr>
                <w:color w:val="auto"/>
                <w:highlight w:val="none"/>
              </w:rPr>
              <w:t>弃渣</w:t>
            </w:r>
            <w:r>
              <w:rPr>
                <w:rFonts w:hint="eastAsia"/>
                <w:color w:val="auto"/>
                <w:highlight w:val="none"/>
                <w:lang w:val="en-US" w:eastAsia="zh-CN"/>
              </w:rPr>
              <w:t>设置</w:t>
            </w:r>
            <w:r>
              <w:rPr>
                <w:color w:val="auto"/>
                <w:highlight w:val="none"/>
              </w:rPr>
              <w:t>1#渣场</w:t>
            </w:r>
            <w:r>
              <w:rPr>
                <w:rFonts w:hint="eastAsia"/>
                <w:color w:val="auto"/>
                <w:highlight w:val="none"/>
              </w:rPr>
              <w:t>堆放</w:t>
            </w:r>
            <w:r>
              <w:rPr>
                <w:rFonts w:hint="eastAsia"/>
                <w:color w:val="auto"/>
                <w:highlight w:val="none"/>
                <w:lang w:eastAsia="zh-CN"/>
              </w:rPr>
              <w:t>。</w:t>
            </w:r>
            <w:r>
              <w:rPr>
                <w:rFonts w:hint="eastAsia"/>
                <w:color w:val="auto"/>
                <w:highlight w:val="none"/>
              </w:rPr>
              <w:t>补水工程</w:t>
            </w:r>
            <w:r>
              <w:rPr>
                <w:rFonts w:hint="eastAsia"/>
                <w:color w:val="auto"/>
                <w:sz w:val="21"/>
                <w:szCs w:val="21"/>
                <w:highlight w:val="none"/>
              </w:rPr>
              <w:t>补水渠开挖的</w:t>
            </w:r>
            <w:r>
              <w:rPr>
                <w:color w:val="auto"/>
                <w:sz w:val="21"/>
                <w:szCs w:val="21"/>
                <w:highlight w:val="none"/>
              </w:rPr>
              <w:t>0.62</w:t>
            </w:r>
            <w:r>
              <w:rPr>
                <w:rFonts w:hint="eastAsia"/>
                <w:color w:val="auto"/>
                <w:sz w:val="21"/>
                <w:szCs w:val="21"/>
                <w:highlight w:val="none"/>
              </w:rPr>
              <w:t>万</w:t>
            </w:r>
            <w:r>
              <w:rPr>
                <w:color w:val="auto"/>
                <w:sz w:val="21"/>
                <w:szCs w:val="21"/>
                <w:highlight w:val="none"/>
              </w:rPr>
              <w:t>m</w:t>
            </w:r>
            <w:r>
              <w:rPr>
                <w:color w:val="auto"/>
                <w:sz w:val="21"/>
                <w:szCs w:val="21"/>
                <w:highlight w:val="none"/>
                <w:vertAlign w:val="superscript"/>
              </w:rPr>
              <w:t>3</w:t>
            </w:r>
            <w:r>
              <w:rPr>
                <w:rFonts w:hint="eastAsia"/>
                <w:color w:val="auto"/>
                <w:sz w:val="21"/>
                <w:szCs w:val="21"/>
                <w:highlight w:val="none"/>
              </w:rPr>
              <w:t>弃</w:t>
            </w:r>
            <w:r>
              <w:rPr>
                <w:color w:val="auto"/>
                <w:sz w:val="21"/>
                <w:szCs w:val="21"/>
                <w:highlight w:val="none"/>
              </w:rPr>
              <w:t>料</w:t>
            </w:r>
            <w:r>
              <w:rPr>
                <w:rFonts w:hint="eastAsia"/>
                <w:color w:val="auto"/>
                <w:sz w:val="21"/>
                <w:szCs w:val="21"/>
                <w:highlight w:val="none"/>
              </w:rPr>
              <w:t>可于补水渠</w:t>
            </w:r>
            <w:r>
              <w:rPr>
                <w:color w:val="auto"/>
                <w:sz w:val="21"/>
                <w:szCs w:val="21"/>
                <w:highlight w:val="none"/>
              </w:rPr>
              <w:t>管道</w:t>
            </w:r>
            <w:r>
              <w:rPr>
                <w:rFonts w:hint="eastAsia"/>
                <w:color w:val="auto"/>
                <w:sz w:val="21"/>
                <w:szCs w:val="21"/>
                <w:highlight w:val="none"/>
              </w:rPr>
              <w:t>沿线</w:t>
            </w:r>
            <w:r>
              <w:rPr>
                <w:color w:val="auto"/>
                <w:sz w:val="21"/>
                <w:szCs w:val="21"/>
                <w:highlight w:val="none"/>
              </w:rPr>
              <w:t>原地整平</w:t>
            </w:r>
            <w:r>
              <w:rPr>
                <w:rFonts w:hint="eastAsia"/>
                <w:color w:val="auto"/>
                <w:sz w:val="21"/>
                <w:szCs w:val="21"/>
                <w:highlight w:val="none"/>
                <w:lang w:eastAsia="zh-CN"/>
              </w:rPr>
              <w:t>，</w:t>
            </w:r>
            <w:r>
              <w:rPr>
                <w:rFonts w:hint="eastAsia"/>
                <w:color w:val="auto"/>
                <w:sz w:val="21"/>
                <w:szCs w:val="21"/>
                <w:highlight w:val="none"/>
              </w:rPr>
              <w:t>剩余弃渣</w:t>
            </w:r>
            <w:r>
              <w:rPr>
                <w:color w:val="auto"/>
                <w:sz w:val="21"/>
                <w:szCs w:val="21"/>
                <w:highlight w:val="none"/>
              </w:rPr>
              <w:t>0.50</w:t>
            </w:r>
            <w:r>
              <w:rPr>
                <w:rFonts w:hint="eastAsia"/>
                <w:color w:val="auto"/>
                <w:sz w:val="21"/>
                <w:szCs w:val="21"/>
                <w:highlight w:val="none"/>
              </w:rPr>
              <w:t>万</w:t>
            </w:r>
            <w:r>
              <w:rPr>
                <w:color w:val="auto"/>
                <w:sz w:val="21"/>
                <w:szCs w:val="21"/>
                <w:highlight w:val="none"/>
              </w:rPr>
              <w:t>m</w:t>
            </w:r>
            <w:r>
              <w:rPr>
                <w:color w:val="auto"/>
                <w:sz w:val="21"/>
                <w:szCs w:val="21"/>
                <w:highlight w:val="none"/>
                <w:vertAlign w:val="superscript"/>
              </w:rPr>
              <w:t>3</w:t>
            </w:r>
            <w:r>
              <w:rPr>
                <w:color w:val="auto"/>
                <w:highlight w:val="none"/>
              </w:rPr>
              <w:t>弃渣</w:t>
            </w:r>
            <w:r>
              <w:rPr>
                <w:rFonts w:hint="eastAsia"/>
                <w:color w:val="auto"/>
                <w:highlight w:val="none"/>
                <w:lang w:val="en-US" w:eastAsia="zh-CN"/>
              </w:rPr>
              <w:t>设置</w:t>
            </w:r>
            <w:r>
              <w:rPr>
                <w:color w:val="auto"/>
                <w:highlight w:val="none"/>
              </w:rPr>
              <w:t>2#渣场</w:t>
            </w:r>
            <w:r>
              <w:rPr>
                <w:rFonts w:hint="eastAsia"/>
                <w:color w:val="auto"/>
                <w:highlight w:val="none"/>
              </w:rPr>
              <w:t>堆放，</w:t>
            </w:r>
            <w:r>
              <w:rPr>
                <w:rFonts w:hint="default" w:ascii="Times New Roman" w:hAnsi="Times New Roman" w:eastAsia="宋体" w:cs="Times New Roman"/>
                <w:b w:val="0"/>
                <w:bCs w:val="0"/>
                <w:snapToGrid w:val="0"/>
                <w:color w:val="auto"/>
                <w:sz w:val="21"/>
                <w:szCs w:val="21"/>
                <w:highlight w:val="none"/>
                <w:lang w:val="en-US" w:eastAsia="zh-CN"/>
              </w:rPr>
              <w:t>通过碾压、拦挡等措施治理防护，弃渣可得到有效处理，并满足安全需要，对周边环境影响较小。</w:t>
            </w:r>
          </w:p>
          <w:p>
            <w:pPr>
              <w:adjustRightInd w:val="0"/>
              <w:snapToGrid w:val="0"/>
              <w:spacing w:line="360" w:lineRule="auto"/>
              <w:ind w:firstLine="480"/>
              <w:rPr>
                <w:rFonts w:hint="default" w:ascii="Times New Roman" w:hAnsi="Times New Roman" w:eastAsia="宋体" w:cs="Times New Roman"/>
                <w:b w:val="0"/>
                <w:bCs w:val="0"/>
                <w:snapToGrid w:val="0"/>
                <w:color w:val="auto"/>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根据土石方平衡，</w:t>
            </w:r>
            <w:r>
              <w:rPr>
                <w:rFonts w:hint="eastAsia"/>
                <w:color w:val="auto"/>
                <w:highlight w:val="none"/>
              </w:rPr>
              <w:t>灌</w:t>
            </w:r>
            <w:r>
              <w:rPr>
                <w:color w:val="auto"/>
                <w:highlight w:val="none"/>
              </w:rPr>
              <w:t>区工程土石方开挖总量4.63万m</w:t>
            </w:r>
            <w:r>
              <w:rPr>
                <w:color w:val="auto"/>
                <w:highlight w:val="none"/>
                <w:vertAlign w:val="superscript"/>
              </w:rPr>
              <w:t>3</w:t>
            </w:r>
            <w:r>
              <w:rPr>
                <w:color w:val="auto"/>
                <w:highlight w:val="none"/>
              </w:rPr>
              <w:t>（自然方）</w:t>
            </w:r>
            <w:r>
              <w:rPr>
                <w:rFonts w:hint="eastAsia"/>
                <w:color w:val="auto"/>
                <w:highlight w:val="none"/>
              </w:rPr>
              <w:t>；土石方开挖利用料回填</w:t>
            </w:r>
            <w:r>
              <w:rPr>
                <w:color w:val="auto"/>
                <w:highlight w:val="none"/>
              </w:rPr>
              <w:t>3.12万m</w:t>
            </w:r>
            <w:r>
              <w:rPr>
                <w:color w:val="auto"/>
                <w:highlight w:val="none"/>
                <w:vertAlign w:val="superscript"/>
              </w:rPr>
              <w:t>3</w:t>
            </w:r>
            <w:r>
              <w:rPr>
                <w:color w:val="auto"/>
                <w:highlight w:val="none"/>
              </w:rPr>
              <w:t>（压实方</w:t>
            </w:r>
            <w:r>
              <w:rPr>
                <w:rFonts w:hint="eastAsia"/>
                <w:color w:val="auto"/>
                <w:highlight w:val="none"/>
              </w:rPr>
              <w:t>）；经土</w:t>
            </w:r>
            <w:r>
              <w:rPr>
                <w:color w:val="auto"/>
                <w:highlight w:val="none"/>
              </w:rPr>
              <w:t>石方平衡弃渣量为</w:t>
            </w:r>
            <w:r>
              <w:rPr>
                <w:rFonts w:hint="eastAsia"/>
                <w:color w:val="auto"/>
                <w:highlight w:val="none"/>
              </w:rPr>
              <w:t>1.</w:t>
            </w:r>
            <w:r>
              <w:rPr>
                <w:color w:val="auto"/>
                <w:highlight w:val="none"/>
              </w:rPr>
              <w:t>44万m</w:t>
            </w:r>
            <w:r>
              <w:rPr>
                <w:color w:val="auto"/>
                <w:highlight w:val="none"/>
                <w:vertAlign w:val="superscript"/>
              </w:rPr>
              <w:t>3</w:t>
            </w:r>
            <w:r>
              <w:rPr>
                <w:color w:val="auto"/>
                <w:highlight w:val="none"/>
              </w:rPr>
              <w:t>（松方）</w:t>
            </w:r>
            <w:r>
              <w:rPr>
                <w:rFonts w:hint="default" w:ascii="Times New Roman" w:hAnsi="Times New Roman" w:eastAsia="宋体" w:cs="Times New Roman"/>
                <w:b w:val="0"/>
                <w:bCs w:val="0"/>
                <w:snapToGrid w:val="0"/>
                <w:color w:val="auto"/>
                <w:sz w:val="21"/>
                <w:szCs w:val="21"/>
                <w:highlight w:val="none"/>
                <w:lang w:val="en-US" w:eastAsia="zh-CN"/>
              </w:rPr>
              <w:t>。</w:t>
            </w:r>
            <w:r>
              <w:rPr>
                <w:color w:val="auto"/>
                <w:highlight w:val="none"/>
              </w:rPr>
              <w:t>管道沿线多余开挖料1.03</w:t>
            </w:r>
            <w:r>
              <w:rPr>
                <w:rFonts w:hint="eastAsia"/>
                <w:color w:val="auto"/>
                <w:highlight w:val="none"/>
              </w:rPr>
              <w:t>万</w:t>
            </w:r>
            <w:r>
              <w:rPr>
                <w:color w:val="auto"/>
                <w:highlight w:val="none"/>
              </w:rPr>
              <w:t>m</w:t>
            </w:r>
            <w:r>
              <w:rPr>
                <w:color w:val="auto"/>
                <w:highlight w:val="none"/>
                <w:vertAlign w:val="superscript"/>
              </w:rPr>
              <w:t>3</w:t>
            </w:r>
            <w:r>
              <w:rPr>
                <w:color w:val="auto"/>
                <w:highlight w:val="none"/>
              </w:rPr>
              <w:t>（松方）原地整平。隧洞段弃渣</w:t>
            </w:r>
            <w:r>
              <w:rPr>
                <w:rFonts w:hint="eastAsia"/>
                <w:color w:val="auto"/>
                <w:highlight w:val="none"/>
              </w:rPr>
              <w:t>0.41万</w:t>
            </w:r>
            <w:r>
              <w:rPr>
                <w:color w:val="auto"/>
                <w:highlight w:val="none"/>
              </w:rPr>
              <w:t>m</w:t>
            </w:r>
            <w:r>
              <w:rPr>
                <w:color w:val="auto"/>
                <w:highlight w:val="none"/>
                <w:vertAlign w:val="superscript"/>
              </w:rPr>
              <w:t>3</w:t>
            </w:r>
            <w:r>
              <w:rPr>
                <w:color w:val="auto"/>
                <w:highlight w:val="none"/>
              </w:rPr>
              <w:t>（松方）</w:t>
            </w:r>
            <w:r>
              <w:rPr>
                <w:rFonts w:hint="eastAsia"/>
                <w:color w:val="auto"/>
                <w:highlight w:val="none"/>
              </w:rPr>
              <w:t>渣场堆放</w:t>
            </w:r>
            <w:r>
              <w:rPr>
                <w:rFonts w:hint="eastAsia"/>
                <w:color w:val="auto"/>
                <w:highlight w:val="none"/>
                <w:lang w:eastAsia="zh-CN"/>
              </w:rPr>
              <w:t>。</w:t>
            </w:r>
          </w:p>
          <w:p>
            <w:pPr>
              <w:adjustRightInd w:val="0"/>
              <w:snapToGrid w:val="0"/>
              <w:spacing w:line="360" w:lineRule="auto"/>
              <w:ind w:firstLine="480"/>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lang w:val="en-US" w:eastAsia="zh-CN"/>
              </w:rPr>
              <w:t>2</w:t>
            </w:r>
            <w:r>
              <w:rPr>
                <w:rFonts w:hint="default" w:ascii="Times New Roman" w:hAnsi="Times New Roman"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建筑垃圾</w:t>
            </w:r>
          </w:p>
          <w:p>
            <w:pPr>
              <w:adjustRightInd w:val="0"/>
              <w:snapToGrid w:val="0"/>
              <w:spacing w:line="360" w:lineRule="auto"/>
              <w:ind w:firstLine="48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建筑垃圾主要包括废弃建筑材料和临时建筑物拆除过程产生的废弃物等。施工中产生的建筑垃圾中可重复利用的建筑材料（砖瓦、钢筋和木料等）可回收利用。建筑垃圾中一般不含有害物质，但随意堆放会占压土地、破坏植被，对景观造成不利影响，同时由于裸露在外，易引起水土流失，对地表水环境产生不利影响，建筑垃圾中的扬尘也会对大气环境产生一定的影响，因此，施工过程中和施工结束后应将建筑垃圾运至渣场妥善堆存。</w:t>
            </w:r>
          </w:p>
          <w:p>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生活垃圾</w:t>
            </w:r>
          </w:p>
          <w:p>
            <w:pPr>
              <w:adjustRightInd w:val="0"/>
              <w:snapToGrid w:val="0"/>
              <w:spacing w:line="360" w:lineRule="auto"/>
              <w:ind w:firstLine="420" w:firstLineChars="200"/>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color w:val="auto"/>
                <w:sz w:val="21"/>
                <w:szCs w:val="21"/>
                <w:highlight w:val="none"/>
              </w:rPr>
              <w:t>施工期施工人员生活垃圾定点收集，定期交当地环卫部门统一集中清运卫生填埋处置</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shd w:val="clear" w:color="auto" w:fill="auto"/>
              </w:rPr>
              <w:t>对环境不利影响小</w:t>
            </w:r>
            <w:r>
              <w:rPr>
                <w:rFonts w:hint="default" w:ascii="Times New Roman" w:hAnsi="Times New Roman" w:cs="Times New Roman"/>
                <w:color w:val="auto"/>
                <w:sz w:val="21"/>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83" w:hRule="atLeast"/>
          <w:jc w:val="center"/>
        </w:trPr>
        <w:tc>
          <w:tcPr>
            <w:tcW w:w="879" w:type="dxa"/>
            <w:tcMar>
              <w:left w:w="28" w:type="dxa"/>
              <w:right w:w="28" w:type="dxa"/>
            </w:tcMar>
            <w:vAlign w:val="center"/>
          </w:tcPr>
          <w:p>
            <w:pPr>
              <w:pStyle w:val="26"/>
              <w:adjustRightInd w:val="0"/>
              <w:snapToGrid w:val="0"/>
              <w:spacing w:before="0" w:beforeAutospacing="0" w:after="0" w:afterAutospacing="0" w:line="360" w:lineRule="auto"/>
              <w:jc w:val="center"/>
              <w:rPr>
                <w:rFonts w:hint="default" w:ascii="Times New Roman" w:hAnsi="Times New Roman" w:eastAsia="宋体" w:cs="Times New Roman"/>
                <w:bCs/>
                <w:color w:val="auto"/>
                <w:kern w:val="2"/>
                <w:sz w:val="21"/>
                <w:szCs w:val="21"/>
                <w:highlight w:val="none"/>
              </w:rPr>
            </w:pPr>
            <w:r>
              <w:rPr>
                <w:rFonts w:hint="default" w:ascii="Times New Roman" w:hAnsi="Times New Roman" w:eastAsia="宋体" w:cs="Times New Roman"/>
                <w:bCs/>
                <w:color w:val="auto"/>
                <w:spacing w:val="10"/>
                <w:kern w:val="2"/>
                <w:sz w:val="21"/>
                <w:szCs w:val="21"/>
                <w:highlight w:val="none"/>
              </w:rPr>
              <w:t>运营期生态环境影响分析</w:t>
            </w:r>
          </w:p>
        </w:tc>
        <w:tc>
          <w:tcPr>
            <w:tcW w:w="8363" w:type="dxa"/>
            <w:vAlign w:val="top"/>
          </w:tcPr>
          <w:p>
            <w:pPr>
              <w:adjustRightInd w:val="0"/>
              <w:snapToGrid w:val="0"/>
              <w:spacing w:line="360" w:lineRule="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4.</w:t>
            </w:r>
            <w:r>
              <w:rPr>
                <w:rFonts w:hint="eastAsia" w:cs="Times New Roman"/>
                <w:b/>
                <w:bCs/>
                <w:color w:val="auto"/>
                <w:sz w:val="21"/>
                <w:szCs w:val="21"/>
                <w:highlight w:val="none"/>
                <w:lang w:val="en-US" w:eastAsia="zh-CN"/>
              </w:rPr>
              <w:t>6</w:t>
            </w:r>
            <w:r>
              <w:rPr>
                <w:rFonts w:hint="default" w:ascii="Times New Roman" w:hAnsi="Times New Roman" w:cs="Times New Roman"/>
                <w:b/>
                <w:bCs/>
                <w:color w:val="auto"/>
                <w:sz w:val="21"/>
                <w:szCs w:val="21"/>
                <w:highlight w:val="none"/>
                <w:lang w:val="en-US" w:eastAsia="zh-CN"/>
              </w:rPr>
              <w:t>运营期生态环境影响分析</w:t>
            </w:r>
          </w:p>
          <w:p>
            <w:pPr>
              <w:adjustRightInd w:val="0"/>
              <w:snapToGrid w:val="0"/>
              <w:spacing w:line="360" w:lineRule="auto"/>
              <w:ind w:firstLine="422" w:firstLineChars="200"/>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4.</w:t>
            </w:r>
            <w:r>
              <w:rPr>
                <w:rFonts w:hint="eastAsia" w:cs="Times New Roman"/>
                <w:b/>
                <w:bCs w:val="0"/>
                <w:color w:val="auto"/>
                <w:sz w:val="21"/>
                <w:szCs w:val="21"/>
                <w:highlight w:val="none"/>
                <w:lang w:val="en-US" w:eastAsia="zh-CN"/>
              </w:rPr>
              <w:t>6</w:t>
            </w:r>
            <w:r>
              <w:rPr>
                <w:rFonts w:hint="default" w:ascii="Times New Roman" w:hAnsi="Times New Roman" w:eastAsia="宋体" w:cs="Times New Roman"/>
                <w:b/>
                <w:bCs w:val="0"/>
                <w:color w:val="auto"/>
                <w:sz w:val="21"/>
                <w:szCs w:val="21"/>
                <w:highlight w:val="none"/>
              </w:rPr>
              <w:t>.1 陆生生态环境影响分析</w:t>
            </w:r>
          </w:p>
          <w:p>
            <w:pPr>
              <w:adjustRightInd w:val="0"/>
              <w:snapToGrid w:val="0"/>
              <w:spacing w:line="360" w:lineRule="auto"/>
              <w:ind w:firstLine="420" w:firstLineChars="20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在工程运行期，通过对施工场地基地平整、回填、植树造林等，施工区植被将会得到恢复。输水管线施工回填后复耕或种植乡土物种树木，与原有的植被系统基本一致，不会受到影响。</w:t>
            </w:r>
          </w:p>
          <w:p>
            <w:pPr>
              <w:adjustRightInd w:val="0"/>
              <w:snapToGrid w:val="0"/>
              <w:spacing w:line="360" w:lineRule="auto"/>
              <w:ind w:firstLine="420" w:firstLineChars="200"/>
              <w:rPr>
                <w:rFonts w:hint="default" w:ascii="Times New Roman" w:hAnsi="Times New Roman"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水库建成后成为小型人工湿地，为湿地动、植物提供了生存条件，可能导致</w:t>
            </w:r>
            <w:r>
              <w:rPr>
                <w:rFonts w:hint="default" w:ascii="Times New Roman" w:hAnsi="Times New Roman" w:eastAsia="宋体" w:cs="Times New Roman"/>
                <w:bCs/>
                <w:color w:val="auto"/>
                <w:sz w:val="21"/>
                <w:szCs w:val="21"/>
                <w:highlight w:val="none"/>
                <w:lang w:val="en-US" w:eastAsia="zh-CN"/>
              </w:rPr>
              <w:t>库</w:t>
            </w:r>
            <w:r>
              <w:rPr>
                <w:rFonts w:hint="default" w:ascii="Times New Roman" w:hAnsi="Times New Roman" w:eastAsia="宋体" w:cs="Times New Roman"/>
                <w:bCs/>
                <w:color w:val="auto"/>
                <w:sz w:val="21"/>
                <w:szCs w:val="21"/>
                <w:highlight w:val="none"/>
              </w:rPr>
              <w:t>区周边一定范围动物种类和数量增加</w:t>
            </w:r>
            <w:r>
              <w:rPr>
                <w:rFonts w:hint="default" w:ascii="Times New Roman" w:hAnsi="Times New Roman" w:eastAsia="宋体" w:cs="Times New Roman"/>
                <w:bCs/>
                <w:color w:val="auto"/>
                <w:sz w:val="21"/>
                <w:szCs w:val="21"/>
                <w:highlight w:val="none"/>
                <w:lang w:eastAsia="zh-CN"/>
              </w:rPr>
              <w:t>，提高局部区域的生物多样性价值，增加了水域的综合功能</w:t>
            </w:r>
            <w:r>
              <w:rPr>
                <w:rFonts w:hint="default" w:ascii="Times New Roman" w:hAnsi="Times New Roman" w:eastAsia="宋体" w:cs="Times New Roman"/>
                <w:bCs/>
                <w:color w:val="auto"/>
                <w:sz w:val="21"/>
                <w:szCs w:val="21"/>
                <w:highlight w:val="none"/>
              </w:rPr>
              <w:t>。水库水体的影响，改善周边环境的小气候条件</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可使周围陆地性气候得以改善</w:t>
            </w:r>
            <w:r>
              <w:rPr>
                <w:rFonts w:hint="default" w:ascii="Times New Roman" w:hAnsi="Times New Roman" w:cs="Times New Roman"/>
                <w:bCs/>
                <w:color w:val="auto"/>
                <w:sz w:val="21"/>
                <w:szCs w:val="21"/>
                <w:highlight w:val="none"/>
                <w:lang w:eastAsia="zh-CN"/>
              </w:rPr>
              <w:t>。水库水体的影响，可使周围陆地性气候得以改善。岸边生境的改善对适应这一区域的动物摄食有利，可能导致蓄水区周边一定范围动物种类和数量增加。建成蓄水后，为静水两栖动物如蛙提供了适宜的生境，对游禽、涉禽等类型的鸟类有一定的吸引作用，甚至可能会吸引其他种类的水鸟来此栖息。两栖类、爬行类和小型哺乳动物，在蓄水初期他们会向周围合适的生境中迁移，会使这些地区的动物种群密度相应地有所上升，经过一段时间的调节后，其种群密度将达到新的平衡状态。</w:t>
            </w:r>
          </w:p>
          <w:p>
            <w:pPr>
              <w:adjustRightInd w:val="0"/>
              <w:snapToGrid w:val="0"/>
              <w:spacing w:line="360" w:lineRule="auto"/>
              <w:ind w:firstLine="422" w:firstLineChars="200"/>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4.</w:t>
            </w:r>
            <w:r>
              <w:rPr>
                <w:rFonts w:hint="default" w:ascii="Times New Roman" w:hAnsi="Times New Roman" w:cs="Times New Roman"/>
                <w:b/>
                <w:bCs w:val="0"/>
                <w:color w:val="auto"/>
                <w:sz w:val="21"/>
                <w:szCs w:val="21"/>
                <w:highlight w:val="none"/>
                <w:lang w:val="en-US" w:eastAsia="zh-CN"/>
              </w:rPr>
              <w:t>10</w:t>
            </w:r>
            <w:r>
              <w:rPr>
                <w:rFonts w:hint="default" w:ascii="Times New Roman" w:hAnsi="Times New Roman" w:eastAsia="宋体" w:cs="Times New Roman"/>
                <w:b/>
                <w:bCs w:val="0"/>
                <w:color w:val="auto"/>
                <w:sz w:val="21"/>
                <w:szCs w:val="21"/>
                <w:highlight w:val="none"/>
              </w:rPr>
              <w:t>.</w:t>
            </w:r>
            <w:r>
              <w:rPr>
                <w:rFonts w:hint="default" w:ascii="Times New Roman" w:hAnsi="Times New Roman" w:eastAsia="宋体" w:cs="Times New Roman"/>
                <w:b/>
                <w:bCs w:val="0"/>
                <w:color w:val="auto"/>
                <w:sz w:val="21"/>
                <w:szCs w:val="21"/>
                <w:highlight w:val="none"/>
                <w:lang w:val="en-US" w:eastAsia="zh-CN"/>
              </w:rPr>
              <w:t>2</w:t>
            </w:r>
            <w:r>
              <w:rPr>
                <w:rFonts w:hint="default" w:ascii="Times New Roman" w:hAnsi="Times New Roman" w:eastAsia="宋体" w:cs="Times New Roman"/>
                <w:b/>
                <w:bCs w:val="0"/>
                <w:color w:val="auto"/>
                <w:sz w:val="21"/>
                <w:szCs w:val="21"/>
                <w:highlight w:val="none"/>
              </w:rPr>
              <w:t xml:space="preserve"> 水生生态环境影响分析</w:t>
            </w:r>
          </w:p>
          <w:p>
            <w:pPr>
              <w:adjustRightInd w:val="0"/>
              <w:snapToGrid w:val="0"/>
              <w:spacing w:line="360" w:lineRule="auto"/>
              <w:ind w:firstLine="420" w:firstLineChars="200"/>
              <w:rPr>
                <w:rFonts w:hint="default" w:ascii="Times New Roman" w:hAnsi="Times New Roman" w:eastAsia="宋体" w:cs="Times New Roman"/>
                <w:bCs/>
                <w:color w:val="auto"/>
                <w:sz w:val="21"/>
                <w:szCs w:val="21"/>
                <w:highlight w:val="none"/>
              </w:rPr>
            </w:pPr>
            <w:r>
              <w:rPr>
                <w:rFonts w:hint="default" w:ascii="Times New Roman" w:hAnsi="Times New Roman" w:cs="Times New Roman"/>
                <w:bCs/>
                <w:color w:val="auto"/>
                <w:sz w:val="21"/>
                <w:szCs w:val="21"/>
                <w:highlight w:val="none"/>
                <w:lang w:val="en-US" w:eastAsia="zh-CN"/>
              </w:rPr>
              <w:t>1、</w:t>
            </w:r>
            <w:r>
              <w:rPr>
                <w:rFonts w:hint="default" w:ascii="Times New Roman" w:hAnsi="Times New Roman" w:eastAsia="宋体" w:cs="Times New Roman"/>
                <w:bCs/>
                <w:color w:val="auto"/>
                <w:sz w:val="21"/>
                <w:szCs w:val="21"/>
                <w:highlight w:val="none"/>
              </w:rPr>
              <w:t>对浮游</w:t>
            </w:r>
            <w:r>
              <w:rPr>
                <w:rFonts w:hint="default" w:ascii="Times New Roman" w:hAnsi="Times New Roman" w:cs="Times New Roman"/>
                <w:bCs/>
                <w:color w:val="auto"/>
                <w:sz w:val="21"/>
                <w:szCs w:val="21"/>
                <w:highlight w:val="none"/>
                <w:lang w:val="en-US" w:eastAsia="zh-CN"/>
              </w:rPr>
              <w:t>生</w:t>
            </w:r>
            <w:r>
              <w:rPr>
                <w:rFonts w:hint="default" w:ascii="Times New Roman" w:hAnsi="Times New Roman" w:eastAsia="宋体" w:cs="Times New Roman"/>
                <w:bCs/>
                <w:color w:val="auto"/>
                <w:sz w:val="21"/>
                <w:szCs w:val="21"/>
                <w:highlight w:val="none"/>
              </w:rPr>
              <w:t>物的影响</w:t>
            </w:r>
          </w:p>
          <w:p>
            <w:pPr>
              <w:adjustRightInd w:val="0"/>
              <w:snapToGrid w:val="0"/>
              <w:spacing w:line="360" w:lineRule="auto"/>
              <w:ind w:firstLine="420" w:firstLineChars="20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水库建成后</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库区水面增大，水深增加，流速减缓，泥沙沉积，水体透明度增加，水中有机物质及营养盐累积，这些条件的变化，使得库区水体初级生产力提高，有利于浮游植物的生长繁殖，库区浮游植物现存量将会增加。</w:t>
            </w:r>
          </w:p>
          <w:p>
            <w:pPr>
              <w:adjustRightInd w:val="0"/>
              <w:snapToGrid w:val="0"/>
              <w:spacing w:line="360" w:lineRule="auto"/>
              <w:ind w:firstLine="420" w:firstLineChars="200"/>
              <w:rPr>
                <w:rFonts w:hint="default" w:ascii="Times New Roman" w:hAnsi="Times New Roman" w:eastAsia="宋体" w:cs="Times New Roman"/>
                <w:bCs/>
                <w:color w:val="auto"/>
                <w:sz w:val="21"/>
                <w:szCs w:val="21"/>
                <w:highlight w:val="none"/>
              </w:rPr>
            </w:pPr>
            <w:r>
              <w:rPr>
                <w:rFonts w:hint="default" w:ascii="Times New Roman" w:hAnsi="Times New Roman" w:cs="Times New Roman"/>
                <w:bCs/>
                <w:color w:val="auto"/>
                <w:sz w:val="21"/>
                <w:szCs w:val="21"/>
                <w:highlight w:val="none"/>
                <w:lang w:val="en-US" w:eastAsia="zh-CN"/>
              </w:rPr>
              <w:t>2、</w:t>
            </w:r>
            <w:r>
              <w:rPr>
                <w:rFonts w:hint="default" w:ascii="Times New Roman" w:hAnsi="Times New Roman" w:eastAsia="宋体" w:cs="Times New Roman"/>
                <w:bCs/>
                <w:color w:val="auto"/>
                <w:sz w:val="21"/>
                <w:szCs w:val="21"/>
                <w:highlight w:val="none"/>
              </w:rPr>
              <w:t>对底栖动物的影响</w:t>
            </w:r>
          </w:p>
          <w:p>
            <w:pPr>
              <w:adjustRightInd w:val="0"/>
              <w:snapToGrid w:val="0"/>
              <w:spacing w:line="360" w:lineRule="auto"/>
              <w:ind w:firstLine="420" w:firstLineChars="20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在水库扩大转化过程中，由于水位加深，库区底层溶解氧减少，底栖动物的种类将发生演替。原水库需氧量较大的种类将显著减少或消失，取而代之是需氧量较低的物种。随着库龄增加，库区的底栖动物经初始阶段种类演变后，最终成为较稳定结构的类群。由于泥沙淤积降低了生境的多样性和异质性，坝上河段大型底栖动物群落密度、生物量和多样性指数显著低于坝后河段。坝下河段由于流量减少，生境适宜性降低，大型底栖动物密度、生物量和多样性明显降低。</w:t>
            </w:r>
          </w:p>
          <w:p>
            <w:pPr>
              <w:adjustRightInd w:val="0"/>
              <w:snapToGrid w:val="0"/>
              <w:spacing w:line="360" w:lineRule="auto"/>
              <w:ind w:firstLine="420" w:firstLineChars="200"/>
              <w:rPr>
                <w:rFonts w:hint="default" w:ascii="Times New Roman" w:hAnsi="Times New Roman" w:eastAsia="宋体" w:cs="Times New Roman"/>
                <w:bCs/>
                <w:color w:val="auto"/>
                <w:sz w:val="21"/>
                <w:szCs w:val="21"/>
                <w:highlight w:val="none"/>
              </w:rPr>
            </w:pPr>
            <w:r>
              <w:rPr>
                <w:rFonts w:hint="default" w:ascii="Times New Roman" w:hAnsi="Times New Roman" w:cs="Times New Roman"/>
                <w:bCs/>
                <w:color w:val="auto"/>
                <w:sz w:val="21"/>
                <w:szCs w:val="21"/>
                <w:highlight w:val="none"/>
                <w:lang w:val="en-US" w:eastAsia="zh-CN"/>
              </w:rPr>
              <w:t>3、</w:t>
            </w:r>
            <w:r>
              <w:rPr>
                <w:rFonts w:hint="default" w:ascii="Times New Roman" w:hAnsi="Times New Roman" w:eastAsia="宋体" w:cs="Times New Roman"/>
                <w:bCs/>
                <w:color w:val="auto"/>
                <w:sz w:val="21"/>
                <w:szCs w:val="21"/>
                <w:highlight w:val="none"/>
              </w:rPr>
              <w:t>对水生维管束植物的影响</w:t>
            </w:r>
          </w:p>
          <w:p>
            <w:pPr>
              <w:adjustRightInd w:val="0"/>
              <w:snapToGrid w:val="0"/>
              <w:spacing w:line="360" w:lineRule="auto"/>
              <w:ind w:firstLine="420" w:firstLineChars="20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水生维管束植物生长在水环境和湿地生境中，水库蓄水后，库区库周的局地气候朝着有利于水生维管束植物生长的方向变化，因库坝的拦截作用，使水位提高，流速变缓，大部分</w:t>
            </w:r>
            <w:r>
              <w:rPr>
                <w:rFonts w:hint="eastAsia" w:cs="Times New Roman"/>
                <w:bCs/>
                <w:color w:val="auto"/>
                <w:sz w:val="21"/>
                <w:szCs w:val="21"/>
                <w:highlight w:val="none"/>
                <w:lang w:eastAsia="zh-CN"/>
              </w:rPr>
              <w:t>泥沙</w:t>
            </w:r>
            <w:r>
              <w:rPr>
                <w:rFonts w:hint="default" w:ascii="Times New Roman" w:hAnsi="Times New Roman" w:eastAsia="宋体" w:cs="Times New Roman"/>
                <w:bCs/>
                <w:color w:val="auto"/>
                <w:sz w:val="21"/>
                <w:szCs w:val="21"/>
                <w:highlight w:val="none"/>
              </w:rPr>
              <w:t>及有机物沉积于库底，尤其是在库尾、消落区和浅水地带的湿生环境将会增加，从而扩大了湿生植物的生存场所，改变了现在库区河段内河流底质环境。湿生环境的改变，不仅使水生维管束植物在种类组成和群落结构上趋于复杂，在生物量方面也将处于上升趋势。在浅水带，水生维管束植物的种类和数量会有一定的变化，可能出现水生挺水植物、浮叶植物和漂浮植物的稀疏群落，但水生维管束植物的发展缓慢，短期内不会有较大的增大。因此，水库运营期工程对水生维管束植物的影响是有利的。</w:t>
            </w:r>
          </w:p>
          <w:p>
            <w:pPr>
              <w:adjustRightInd w:val="0"/>
              <w:snapToGrid w:val="0"/>
              <w:spacing w:line="360" w:lineRule="auto"/>
              <w:ind w:firstLine="420" w:firstLineChars="200"/>
              <w:rPr>
                <w:rFonts w:hint="default" w:ascii="Times New Roman" w:hAnsi="Times New Roman" w:eastAsia="宋体" w:cs="Times New Roman"/>
                <w:bCs/>
                <w:color w:val="auto"/>
                <w:sz w:val="21"/>
                <w:szCs w:val="21"/>
                <w:highlight w:val="none"/>
              </w:rPr>
            </w:pPr>
            <w:r>
              <w:rPr>
                <w:rFonts w:hint="default" w:ascii="Times New Roman" w:hAnsi="Times New Roman" w:cs="Times New Roman"/>
                <w:bCs/>
                <w:color w:val="auto"/>
                <w:sz w:val="21"/>
                <w:szCs w:val="21"/>
                <w:highlight w:val="none"/>
                <w:lang w:val="en-US" w:eastAsia="zh-CN"/>
              </w:rPr>
              <w:t>4、</w:t>
            </w:r>
            <w:r>
              <w:rPr>
                <w:rFonts w:hint="default" w:ascii="Times New Roman" w:hAnsi="Times New Roman" w:eastAsia="宋体" w:cs="Times New Roman"/>
                <w:bCs/>
                <w:color w:val="auto"/>
                <w:sz w:val="21"/>
                <w:szCs w:val="21"/>
                <w:highlight w:val="none"/>
              </w:rPr>
              <w:t>对鱼类的影响</w:t>
            </w:r>
          </w:p>
          <w:p>
            <w:pPr>
              <w:adjustRightInd w:val="0"/>
              <w:snapToGrid w:val="0"/>
              <w:spacing w:line="360" w:lineRule="auto"/>
              <w:ind w:firstLine="420" w:firstLineChars="200"/>
              <w:rPr>
                <w:rFonts w:hint="default" w:ascii="Times New Roman" w:hAnsi="Times New Roman" w:eastAsia="宋体" w:cs="Times New Roman"/>
                <w:bCs/>
                <w:color w:val="auto"/>
                <w:sz w:val="21"/>
                <w:szCs w:val="21"/>
                <w:highlight w:val="none"/>
              </w:rPr>
            </w:pPr>
            <w:r>
              <w:rPr>
                <w:rFonts w:hint="default" w:ascii="Times New Roman" w:hAnsi="Times New Roman" w:cs="Times New Roman"/>
                <w:bCs/>
                <w:color w:val="auto"/>
                <w:sz w:val="21"/>
                <w:szCs w:val="21"/>
                <w:highlight w:val="none"/>
                <w:lang w:eastAsia="zh-CN"/>
              </w:rPr>
              <w:t>（</w:t>
            </w:r>
            <w:r>
              <w:rPr>
                <w:rFonts w:hint="default" w:ascii="Times New Roman" w:hAnsi="Times New Roman" w:cs="Times New Roman"/>
                <w:bCs/>
                <w:color w:val="auto"/>
                <w:sz w:val="21"/>
                <w:szCs w:val="21"/>
                <w:highlight w:val="none"/>
                <w:lang w:val="en-US" w:eastAsia="zh-CN"/>
              </w:rPr>
              <w:t>1）</w:t>
            </w:r>
            <w:r>
              <w:rPr>
                <w:rFonts w:hint="default" w:ascii="Times New Roman" w:hAnsi="Times New Roman" w:eastAsia="宋体" w:cs="Times New Roman"/>
                <w:bCs/>
                <w:color w:val="auto"/>
                <w:sz w:val="21"/>
                <w:szCs w:val="21"/>
                <w:highlight w:val="none"/>
              </w:rPr>
              <w:t>水库大坝对鱼类的阻隔效应</w:t>
            </w:r>
          </w:p>
          <w:p>
            <w:pPr>
              <w:adjustRightInd w:val="0"/>
              <w:snapToGrid w:val="0"/>
              <w:spacing w:line="360" w:lineRule="auto"/>
              <w:ind w:firstLine="420" w:firstLineChars="20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水库所在的</w:t>
            </w:r>
            <w:r>
              <w:rPr>
                <w:rFonts w:hint="eastAsia" w:cs="Times New Roman"/>
                <w:bCs/>
                <w:color w:val="auto"/>
                <w:sz w:val="21"/>
                <w:szCs w:val="21"/>
                <w:highlight w:val="none"/>
                <w:lang w:val="en-US" w:eastAsia="zh-CN"/>
              </w:rPr>
              <w:t>河流</w:t>
            </w:r>
            <w:r>
              <w:rPr>
                <w:rFonts w:hint="default" w:ascii="Times New Roman" w:hAnsi="Times New Roman" w:eastAsia="宋体" w:cs="Times New Roman"/>
                <w:bCs/>
                <w:color w:val="auto"/>
                <w:sz w:val="21"/>
                <w:szCs w:val="21"/>
                <w:highlight w:val="none"/>
              </w:rPr>
              <w:t>无典型的洄游性鱼类分布，水库建成投入运行后鱼类主要由流水栖类群、激流底栖类群和静缓流类群构成，多为小、中型定居性鱼类，即使有迁移，也仅是在同一河段中不同的小生境之间进行，无必须通过在河道洄游才能完成其生活史的鱼类。</w:t>
            </w:r>
          </w:p>
          <w:p>
            <w:pPr>
              <w:adjustRightInd w:val="0"/>
              <w:snapToGrid w:val="0"/>
              <w:spacing w:line="360" w:lineRule="auto"/>
              <w:ind w:firstLine="420" w:firstLineChars="20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一部分上游鱼类可通过泄洪孔、尾水渠下泄进入坝下，但在下泄冲击过程中易造成死伤，下游鱼类则无法上游进入坝上水域。原河段的生境被分割阻断，鱼类在坝址上下游小生境之间的迁徙活动将受到影响。另外，从流域鱼类的多样性和相似性分析，上游鱼类种类与中下游鱼类种类的相似性较高，差异性不大，大多数鱼类在整个流域都有分布，阻隔影响不会对流域鱼类种类组成造成明显影响。</w:t>
            </w:r>
          </w:p>
          <w:p>
            <w:pPr>
              <w:adjustRightInd w:val="0"/>
              <w:snapToGrid w:val="0"/>
              <w:spacing w:line="360" w:lineRule="auto"/>
              <w:ind w:firstLine="420" w:firstLineChars="20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综上所述，从流域整体水生生境条件和鱼类分布特点分析，水库阻隔将不利于上下游鱼类种质资源的交流，对鱼类在坝址河段小生境之间的迁徙造成一定影响，但流域上下游鱼类分布相似度较高，且绝大多数属定居性鱼类，本项目建设的阻隔不会对流域内鱼类的种类分布产生明显影响。</w:t>
            </w:r>
          </w:p>
          <w:p>
            <w:pPr>
              <w:adjustRightInd w:val="0"/>
              <w:snapToGrid w:val="0"/>
              <w:spacing w:line="360" w:lineRule="auto"/>
              <w:ind w:firstLine="420" w:firstLineChars="20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②水库库区对鱼类的影响</w:t>
            </w:r>
          </w:p>
          <w:p>
            <w:pPr>
              <w:adjustRightInd w:val="0"/>
              <w:snapToGrid w:val="0"/>
              <w:spacing w:line="360" w:lineRule="auto"/>
              <w:ind w:firstLine="420" w:firstLineChars="20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水库修建后在库区形成较原来更大的静水环境，河段分布鱼类经过长期的生活史已经适应静水和微流水生态环境。鲤、鲫等鱼类虽然最适合生态环境为浅滩流水环境，但静水和微流水环境为它提供更多的饵料生物，微流水环境中大量水生维管束植物为其粘性卵提供更好的附着场所，水库建成后对其生长繁殖影响较小。</w:t>
            </w:r>
          </w:p>
          <w:p>
            <w:pPr>
              <w:adjustRightInd w:val="0"/>
              <w:snapToGrid w:val="0"/>
              <w:spacing w:line="360" w:lineRule="auto"/>
              <w:ind w:firstLine="420" w:firstLineChars="20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③对大坝下游河段鱼类的影响</w:t>
            </w:r>
          </w:p>
          <w:p>
            <w:pPr>
              <w:adjustRightInd w:val="0"/>
              <w:snapToGrid w:val="0"/>
              <w:spacing w:line="360" w:lineRule="auto"/>
              <w:ind w:firstLine="420" w:firstLineChars="200"/>
              <w:rPr>
                <w:rFonts w:hint="default" w:ascii="Times New Roman" w:hAnsi="Times New Roman"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水库修建后对鱼类分布的影响，主要表现在水库大坝下游形成的减水河段水量锐减，难以维持水生生态平衡，原分布的小型鱼类数量会一定程度地减少，一些鱼类</w:t>
            </w:r>
            <w:r>
              <w:rPr>
                <w:rFonts w:hint="eastAsia" w:cs="Times New Roman"/>
                <w:bCs/>
                <w:color w:val="auto"/>
                <w:sz w:val="21"/>
                <w:szCs w:val="21"/>
                <w:highlight w:val="none"/>
                <w:lang w:eastAsia="zh-CN"/>
              </w:rPr>
              <w:t>会在</w:t>
            </w:r>
            <w:r>
              <w:rPr>
                <w:rFonts w:hint="default" w:ascii="Times New Roman" w:hAnsi="Times New Roman" w:eastAsia="宋体" w:cs="Times New Roman"/>
                <w:bCs/>
                <w:color w:val="auto"/>
                <w:sz w:val="21"/>
                <w:szCs w:val="21"/>
                <w:highlight w:val="none"/>
              </w:rPr>
              <w:t>下游河</w:t>
            </w:r>
            <w:r>
              <w:rPr>
                <w:rFonts w:hint="default" w:ascii="Times New Roman" w:hAnsi="Times New Roman" w:cs="Times New Roman"/>
                <w:bCs/>
                <w:color w:val="auto"/>
                <w:sz w:val="21"/>
                <w:szCs w:val="21"/>
                <w:highlight w:val="none"/>
                <w:lang w:val="en-US" w:eastAsia="zh-CN"/>
              </w:rPr>
              <w:t>流</w:t>
            </w:r>
            <w:r>
              <w:rPr>
                <w:rFonts w:hint="default" w:ascii="Times New Roman" w:hAnsi="Times New Roman" w:eastAsia="宋体" w:cs="Times New Roman"/>
                <w:bCs/>
                <w:color w:val="auto"/>
                <w:sz w:val="21"/>
                <w:szCs w:val="21"/>
                <w:highlight w:val="none"/>
              </w:rPr>
              <w:t>干流或支沟生存繁衍</w:t>
            </w:r>
            <w:r>
              <w:rPr>
                <w:rFonts w:hint="default" w:ascii="Times New Roman" w:hAnsi="Times New Roman" w:cs="Times New Roman"/>
                <w:bCs/>
                <w:color w:val="auto"/>
                <w:sz w:val="21"/>
                <w:szCs w:val="21"/>
                <w:highlight w:val="none"/>
                <w:lang w:eastAsia="zh-CN"/>
              </w:rPr>
              <w:t>。</w:t>
            </w:r>
          </w:p>
          <w:p>
            <w:pPr>
              <w:adjustRightInd w:val="0"/>
              <w:snapToGrid w:val="0"/>
              <w:spacing w:line="360" w:lineRule="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4.</w:t>
            </w:r>
            <w:r>
              <w:rPr>
                <w:rFonts w:hint="eastAsia" w:cs="Times New Roman"/>
                <w:b/>
                <w:bCs/>
                <w:color w:val="auto"/>
                <w:sz w:val="21"/>
                <w:szCs w:val="21"/>
                <w:highlight w:val="none"/>
                <w:lang w:val="en-US" w:eastAsia="zh-CN"/>
              </w:rPr>
              <w:t>7</w:t>
            </w:r>
            <w:r>
              <w:rPr>
                <w:rFonts w:hint="default" w:ascii="Times New Roman" w:hAnsi="Times New Roman" w:cs="Times New Roman"/>
                <w:b/>
                <w:bCs/>
                <w:color w:val="auto"/>
                <w:sz w:val="21"/>
                <w:szCs w:val="21"/>
                <w:highlight w:val="none"/>
                <w:lang w:val="en-US" w:eastAsia="zh-CN"/>
              </w:rPr>
              <w:t>运营期环境空气影响分析</w:t>
            </w:r>
          </w:p>
          <w:p>
            <w:pPr>
              <w:autoSpaceDE w:val="0"/>
              <w:autoSpaceDN w:val="0"/>
              <w:adjustRightInd w:val="0"/>
              <w:snapToGrid w:val="0"/>
              <w:spacing w:line="360" w:lineRule="auto"/>
              <w:ind w:firstLine="420" w:firstLineChars="20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本工程运行期废气主要为少量食堂油烟，经油烟净化器处理后排放，对大气环境影响较小。</w:t>
            </w:r>
          </w:p>
          <w:p>
            <w:pPr>
              <w:adjustRightInd w:val="0"/>
              <w:snapToGrid w:val="0"/>
              <w:spacing w:line="360" w:lineRule="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4.</w:t>
            </w:r>
            <w:r>
              <w:rPr>
                <w:rFonts w:hint="eastAsia" w:cs="Times New Roman"/>
                <w:b/>
                <w:bCs/>
                <w:color w:val="auto"/>
                <w:sz w:val="21"/>
                <w:szCs w:val="21"/>
                <w:highlight w:val="none"/>
                <w:lang w:val="en-US" w:eastAsia="zh-CN"/>
              </w:rPr>
              <w:t>8</w:t>
            </w:r>
            <w:r>
              <w:rPr>
                <w:rFonts w:hint="default" w:ascii="Times New Roman" w:hAnsi="Times New Roman" w:cs="Times New Roman"/>
                <w:b/>
                <w:bCs/>
                <w:color w:val="auto"/>
                <w:sz w:val="21"/>
                <w:szCs w:val="21"/>
                <w:highlight w:val="none"/>
                <w:lang w:val="en-US" w:eastAsia="zh-CN"/>
              </w:rPr>
              <w:t>运营期地表水环境影响分析</w:t>
            </w:r>
          </w:p>
          <w:p>
            <w:pPr>
              <w:autoSpaceDE w:val="0"/>
              <w:autoSpaceDN w:val="0"/>
              <w:adjustRightInd w:val="0"/>
              <w:snapToGrid w:val="0"/>
              <w:spacing w:line="360" w:lineRule="auto"/>
              <w:ind w:firstLine="420" w:firstLineChars="20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详见地表水环境影响分析专项评价。</w:t>
            </w:r>
          </w:p>
          <w:p>
            <w:pPr>
              <w:adjustRightInd w:val="0"/>
              <w:snapToGrid w:val="0"/>
              <w:spacing w:line="360" w:lineRule="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4.</w:t>
            </w:r>
            <w:r>
              <w:rPr>
                <w:rFonts w:hint="eastAsia" w:cs="Times New Roman"/>
                <w:b/>
                <w:bCs/>
                <w:color w:val="auto"/>
                <w:sz w:val="21"/>
                <w:szCs w:val="21"/>
                <w:highlight w:val="none"/>
                <w:lang w:val="en-US" w:eastAsia="zh-CN"/>
              </w:rPr>
              <w:t>9</w:t>
            </w:r>
            <w:r>
              <w:rPr>
                <w:rFonts w:hint="default" w:ascii="Times New Roman" w:hAnsi="Times New Roman" w:cs="Times New Roman"/>
                <w:b/>
                <w:bCs/>
                <w:color w:val="auto"/>
                <w:sz w:val="21"/>
                <w:szCs w:val="21"/>
                <w:highlight w:val="none"/>
                <w:lang w:val="en-US" w:eastAsia="zh-CN"/>
              </w:rPr>
              <w:t>运营期噪声影响分析</w:t>
            </w:r>
          </w:p>
          <w:p>
            <w:pPr>
              <w:adjustRightInd w:val="0"/>
              <w:snapToGrid w:val="0"/>
              <w:spacing w:line="360" w:lineRule="auto"/>
              <w:ind w:firstLine="420" w:firstLineChars="200"/>
              <w:rPr>
                <w:rFonts w:hint="default" w:ascii="Times New Roman" w:hAnsi="Times New Roman" w:cs="Times New Roman"/>
                <w:bCs/>
                <w:color w:val="auto"/>
                <w:sz w:val="21"/>
                <w:szCs w:val="21"/>
                <w:highlight w:val="none"/>
                <w:lang w:eastAsia="zh-CN"/>
              </w:rPr>
            </w:pPr>
            <w:r>
              <w:rPr>
                <w:rFonts w:hint="default" w:ascii="Times New Roman" w:hAnsi="Times New Roman" w:cs="Times New Roman"/>
                <w:b w:val="0"/>
                <w:bCs/>
                <w:color w:val="auto"/>
                <w:sz w:val="21"/>
                <w:szCs w:val="21"/>
                <w:highlight w:val="none"/>
                <w:lang w:val="en-US" w:eastAsia="zh-CN"/>
              </w:rPr>
              <w:t>本</w:t>
            </w:r>
            <w:r>
              <w:rPr>
                <w:rFonts w:hint="default" w:ascii="Times New Roman" w:hAnsi="Times New Roman" w:cs="Times New Roman"/>
                <w:bCs/>
                <w:color w:val="auto"/>
                <w:sz w:val="21"/>
                <w:szCs w:val="21"/>
                <w:highlight w:val="none"/>
                <w:lang w:eastAsia="zh-CN"/>
              </w:rPr>
              <w:t>工程运行期不设置提升泵等设施，无设备噪声。库</w:t>
            </w:r>
            <w:r>
              <w:rPr>
                <w:rFonts w:hint="default" w:ascii="Times New Roman" w:hAnsi="Times New Roman" w:cs="Times New Roman"/>
                <w:bCs/>
                <w:color w:val="auto"/>
                <w:sz w:val="21"/>
                <w:szCs w:val="21"/>
                <w:highlight w:val="none"/>
                <w:lang w:val="en-US" w:eastAsia="zh-CN"/>
              </w:rPr>
              <w:t>区周边道路</w:t>
            </w:r>
            <w:r>
              <w:rPr>
                <w:rFonts w:hint="default" w:ascii="Times New Roman" w:hAnsi="Times New Roman" w:cs="Times New Roman"/>
                <w:bCs/>
                <w:color w:val="auto"/>
                <w:sz w:val="21"/>
                <w:szCs w:val="21"/>
                <w:highlight w:val="none"/>
                <w:lang w:eastAsia="zh-CN"/>
              </w:rPr>
              <w:t>车流量少，车辆噪声影响</w:t>
            </w:r>
            <w:r>
              <w:rPr>
                <w:rFonts w:hint="default" w:ascii="Times New Roman" w:hAnsi="Times New Roman" w:cs="Times New Roman"/>
                <w:bCs/>
                <w:color w:val="auto"/>
                <w:sz w:val="21"/>
                <w:szCs w:val="21"/>
                <w:highlight w:val="none"/>
                <w:lang w:val="en-US" w:eastAsia="zh-CN"/>
              </w:rPr>
              <w:t>较小</w:t>
            </w:r>
            <w:r>
              <w:rPr>
                <w:rFonts w:hint="default" w:ascii="Times New Roman" w:hAnsi="Times New Roman" w:cs="Times New Roman"/>
                <w:bCs/>
                <w:color w:val="auto"/>
                <w:sz w:val="21"/>
                <w:szCs w:val="21"/>
                <w:highlight w:val="none"/>
                <w:lang w:eastAsia="zh-CN"/>
              </w:rPr>
              <w:t>。溢洪道泄流</w:t>
            </w:r>
            <w:r>
              <w:rPr>
                <w:rFonts w:hint="default" w:ascii="Times New Roman" w:hAnsi="Times New Roman" w:cs="Times New Roman"/>
                <w:bCs/>
                <w:color w:val="auto"/>
                <w:sz w:val="21"/>
                <w:szCs w:val="21"/>
                <w:highlight w:val="none"/>
                <w:lang w:val="en-US" w:eastAsia="zh-CN"/>
              </w:rPr>
              <w:t>噪声</w:t>
            </w:r>
            <w:r>
              <w:rPr>
                <w:rFonts w:hint="default" w:ascii="Times New Roman" w:hAnsi="Times New Roman" w:cs="Times New Roman"/>
                <w:bCs/>
                <w:color w:val="auto"/>
                <w:sz w:val="21"/>
                <w:szCs w:val="21"/>
                <w:highlight w:val="none"/>
                <w:lang w:eastAsia="zh-CN"/>
              </w:rPr>
              <w:t>仅在洪水季节出现，影响持续时间不长，且居民点距离较远，</w:t>
            </w:r>
            <w:r>
              <w:rPr>
                <w:rFonts w:hint="default" w:ascii="Times New Roman" w:hAnsi="Times New Roman" w:cs="Times New Roman"/>
                <w:bCs/>
                <w:color w:val="auto"/>
                <w:sz w:val="21"/>
                <w:szCs w:val="21"/>
                <w:highlight w:val="none"/>
                <w:lang w:val="en-US" w:eastAsia="zh-CN"/>
              </w:rPr>
              <w:t>无明显</w:t>
            </w:r>
            <w:r>
              <w:rPr>
                <w:rFonts w:hint="default" w:ascii="Times New Roman" w:hAnsi="Times New Roman" w:cs="Times New Roman"/>
                <w:bCs/>
                <w:color w:val="auto"/>
                <w:sz w:val="21"/>
                <w:szCs w:val="21"/>
                <w:highlight w:val="none"/>
                <w:lang w:eastAsia="zh-CN"/>
              </w:rPr>
              <w:t>影响。</w:t>
            </w:r>
          </w:p>
          <w:p>
            <w:pPr>
              <w:adjustRightInd w:val="0"/>
              <w:snapToGrid w:val="0"/>
              <w:spacing w:line="360" w:lineRule="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4.</w:t>
            </w:r>
            <w:r>
              <w:rPr>
                <w:rFonts w:hint="eastAsia" w:cs="Times New Roman"/>
                <w:b/>
                <w:bCs/>
                <w:color w:val="auto"/>
                <w:sz w:val="21"/>
                <w:szCs w:val="21"/>
                <w:highlight w:val="none"/>
                <w:lang w:val="en-US" w:eastAsia="zh-CN"/>
              </w:rPr>
              <w:t>10</w:t>
            </w:r>
            <w:r>
              <w:rPr>
                <w:rFonts w:hint="default" w:ascii="Times New Roman" w:hAnsi="Times New Roman" w:cs="Times New Roman"/>
                <w:b/>
                <w:bCs/>
                <w:color w:val="auto"/>
                <w:sz w:val="21"/>
                <w:szCs w:val="21"/>
                <w:highlight w:val="none"/>
                <w:lang w:val="en-US" w:eastAsia="zh-CN"/>
              </w:rPr>
              <w:t>固体废物影响分析</w:t>
            </w:r>
          </w:p>
          <w:p>
            <w:pPr>
              <w:adjustRightInd w:val="0"/>
              <w:snapToGrid w:val="0"/>
              <w:spacing w:line="360" w:lineRule="auto"/>
              <w:ind w:firstLine="420" w:firstLineChars="200"/>
              <w:rPr>
                <w:rFonts w:hint="default" w:ascii="Times New Roman" w:hAnsi="Times New Roman" w:eastAsia="宋体" w:cs="Times New Roman"/>
                <w:bCs/>
                <w:color w:val="auto"/>
                <w:sz w:val="21"/>
                <w:szCs w:val="21"/>
                <w:highlight w:val="none"/>
              </w:rPr>
            </w:pPr>
            <w:r>
              <w:rPr>
                <w:rFonts w:hint="default" w:ascii="Times New Roman" w:hAnsi="Times New Roman" w:cs="Times New Roman"/>
                <w:b w:val="0"/>
                <w:bCs/>
                <w:color w:val="auto"/>
                <w:sz w:val="21"/>
                <w:szCs w:val="21"/>
                <w:highlight w:val="none"/>
                <w:lang w:val="en-US" w:eastAsia="zh-CN"/>
              </w:rPr>
              <w:t>本</w:t>
            </w:r>
            <w:r>
              <w:rPr>
                <w:rFonts w:hint="default" w:ascii="Times New Roman" w:hAnsi="Times New Roman" w:cs="Times New Roman"/>
                <w:bCs/>
                <w:color w:val="auto"/>
                <w:sz w:val="21"/>
                <w:szCs w:val="21"/>
                <w:highlight w:val="none"/>
                <w:lang w:eastAsia="zh-CN"/>
              </w:rPr>
              <w:t>工程运行期固体废物主要</w:t>
            </w:r>
            <w:r>
              <w:rPr>
                <w:rFonts w:hint="default" w:ascii="Times New Roman" w:hAnsi="Times New Roman" w:cs="Times New Roman"/>
                <w:bCs/>
                <w:color w:val="auto"/>
                <w:sz w:val="21"/>
                <w:szCs w:val="21"/>
                <w:highlight w:val="none"/>
                <w:lang w:val="en-US" w:eastAsia="zh-CN"/>
              </w:rPr>
              <w:t>为</w:t>
            </w:r>
            <w:r>
              <w:rPr>
                <w:rFonts w:hint="default" w:ascii="Times New Roman" w:hAnsi="Times New Roman" w:cs="Times New Roman"/>
                <w:bCs/>
                <w:color w:val="auto"/>
                <w:sz w:val="21"/>
                <w:szCs w:val="21"/>
                <w:highlight w:val="none"/>
                <w:lang w:eastAsia="zh-CN"/>
              </w:rPr>
              <w:t>管理人员产生的生活垃圾。生活垃圾按0.5kg/人·d计，管理人员共</w:t>
            </w:r>
            <w:r>
              <w:rPr>
                <w:rFonts w:hint="default" w:ascii="Times New Roman" w:hAnsi="Times New Roman" w:cs="Times New Roman"/>
                <w:bCs/>
                <w:color w:val="auto"/>
                <w:sz w:val="21"/>
                <w:szCs w:val="21"/>
                <w:highlight w:val="none"/>
                <w:lang w:val="en-US" w:eastAsia="zh-CN"/>
              </w:rPr>
              <w:t>5</w:t>
            </w:r>
            <w:r>
              <w:rPr>
                <w:rFonts w:hint="default" w:ascii="Times New Roman" w:hAnsi="Times New Roman" w:cs="Times New Roman"/>
                <w:bCs/>
                <w:color w:val="auto"/>
                <w:sz w:val="21"/>
                <w:szCs w:val="21"/>
                <w:highlight w:val="none"/>
                <w:lang w:eastAsia="zh-CN"/>
              </w:rPr>
              <w:t>人，则生活垃圾产生量为</w:t>
            </w:r>
            <w:r>
              <w:rPr>
                <w:rFonts w:hint="default" w:ascii="Times New Roman" w:hAnsi="Times New Roman" w:cs="Times New Roman"/>
                <w:bCs/>
                <w:color w:val="auto"/>
                <w:sz w:val="21"/>
                <w:szCs w:val="21"/>
                <w:highlight w:val="none"/>
                <w:lang w:val="en-US" w:eastAsia="zh-CN"/>
              </w:rPr>
              <w:t>0.9t</w:t>
            </w:r>
            <w:r>
              <w:rPr>
                <w:rFonts w:hint="default" w:ascii="Times New Roman" w:hAnsi="Times New Roman" w:cs="Times New Roman"/>
                <w:bCs/>
                <w:color w:val="auto"/>
                <w:sz w:val="21"/>
                <w:szCs w:val="21"/>
                <w:highlight w:val="none"/>
                <w:lang w:eastAsia="zh-CN"/>
              </w:rPr>
              <w:t>/</w:t>
            </w:r>
            <w:r>
              <w:rPr>
                <w:rFonts w:hint="default" w:ascii="Times New Roman" w:hAnsi="Times New Roman" w:cs="Times New Roman"/>
                <w:bCs/>
                <w:color w:val="auto"/>
                <w:sz w:val="21"/>
                <w:szCs w:val="21"/>
                <w:highlight w:val="none"/>
                <w:lang w:val="en-US" w:eastAsia="zh-CN"/>
              </w:rPr>
              <w:t>a</w:t>
            </w:r>
            <w:r>
              <w:rPr>
                <w:rFonts w:hint="default" w:ascii="Times New Roman" w:hAnsi="Times New Roman" w:cs="Times New Roman"/>
                <w:bCs/>
                <w:color w:val="auto"/>
                <w:sz w:val="21"/>
                <w:szCs w:val="21"/>
                <w:highlight w:val="none"/>
                <w:lang w:eastAsia="zh-CN"/>
              </w:rPr>
              <w:t>。统一收集后定期交由环卫部门清运。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1" w:hRule="atLeast"/>
          <w:jc w:val="center"/>
        </w:trPr>
        <w:tc>
          <w:tcPr>
            <w:tcW w:w="879" w:type="dxa"/>
            <w:vAlign w:val="center"/>
          </w:tcPr>
          <w:p>
            <w:pPr>
              <w:pStyle w:val="26"/>
              <w:adjustRightInd w:val="0"/>
              <w:snapToGrid w:val="0"/>
              <w:spacing w:before="0" w:beforeAutospacing="0" w:after="0" w:afterAutospacing="0" w:line="360" w:lineRule="auto"/>
              <w:jc w:val="center"/>
              <w:rPr>
                <w:rFonts w:hint="default" w:ascii="Times New Roman" w:hAnsi="Times New Roman" w:eastAsia="宋体" w:cs="Times New Roman"/>
                <w:bCs/>
                <w:color w:val="auto"/>
                <w:kern w:val="2"/>
                <w:sz w:val="21"/>
                <w:szCs w:val="21"/>
                <w:highlight w:val="none"/>
              </w:rPr>
            </w:pPr>
            <w:r>
              <w:rPr>
                <w:rFonts w:hint="default" w:ascii="Times New Roman" w:hAnsi="Times New Roman" w:eastAsia="宋体" w:cs="Times New Roman"/>
                <w:bCs/>
                <w:color w:val="auto"/>
                <w:kern w:val="2"/>
                <w:sz w:val="21"/>
                <w:szCs w:val="21"/>
                <w:highlight w:val="none"/>
              </w:rPr>
              <w:t>选址选线环境合理性分析</w:t>
            </w:r>
          </w:p>
        </w:tc>
        <w:tc>
          <w:tcPr>
            <w:tcW w:w="8363" w:type="dxa"/>
            <w:vAlign w:val="top"/>
          </w:tcPr>
          <w:p>
            <w:pPr>
              <w:adjustRightInd w:val="0"/>
              <w:snapToGrid w:val="0"/>
              <w:spacing w:line="360" w:lineRule="auto"/>
              <w:ind w:firstLine="420" w:firstLineChars="20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w:t>
            </w:r>
            <w:r>
              <w:rPr>
                <w:rFonts w:hint="default" w:ascii="Times New Roman" w:hAnsi="Times New Roman" w:eastAsia="宋体" w:cs="Times New Roman"/>
                <w:b w:val="0"/>
                <w:bCs/>
                <w:color w:val="auto"/>
                <w:sz w:val="21"/>
                <w:szCs w:val="21"/>
                <w:highlight w:val="none"/>
              </w:rPr>
              <w:t>坝址选址合理性分析</w:t>
            </w:r>
          </w:p>
          <w:p>
            <w:pPr>
              <w:autoSpaceDE w:val="0"/>
              <w:autoSpaceDN w:val="0"/>
              <w:adjustRightInd w:val="0"/>
              <w:snapToGrid w:val="0"/>
              <w:spacing w:line="360" w:lineRule="auto"/>
              <w:ind w:firstLine="420" w:firstLineChars="20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根据设计，工程选定的</w:t>
            </w:r>
            <w:r>
              <w:rPr>
                <w:rFonts w:hint="eastAsia"/>
                <w:color w:val="auto"/>
                <w:highlight w:val="none"/>
                <w:lang w:bidi="en-US"/>
              </w:rPr>
              <w:t>坝址位于</w:t>
            </w:r>
            <w:r>
              <w:rPr>
                <w:rFonts w:hint="eastAsia"/>
                <w:color w:val="auto"/>
                <w:highlight w:val="none"/>
              </w:rPr>
              <w:t>堰沟</w:t>
            </w:r>
            <w:r>
              <w:rPr>
                <w:rFonts w:hint="eastAsia"/>
                <w:color w:val="auto"/>
                <w:highlight w:val="none"/>
                <w:lang w:bidi="en-US"/>
              </w:rPr>
              <w:t>右支沟峡口段、汇口上游</w:t>
            </w:r>
            <w:r>
              <w:rPr>
                <w:rFonts w:hint="eastAsia"/>
                <w:color w:val="auto"/>
                <w:highlight w:val="none"/>
              </w:rPr>
              <w:t>0.3km处</w:t>
            </w:r>
            <w:r>
              <w:rPr>
                <w:rFonts w:hint="eastAsia"/>
                <w:color w:val="auto"/>
                <w:highlight w:val="none"/>
                <w:lang w:bidi="en-US"/>
              </w:rPr>
              <w:t>。</w:t>
            </w:r>
            <w:r>
              <w:rPr>
                <w:rFonts w:hint="default" w:ascii="Times New Roman" w:hAnsi="Times New Roman" w:cs="Times New Roman"/>
                <w:b w:val="0"/>
                <w:bCs/>
                <w:color w:val="auto"/>
                <w:sz w:val="21"/>
                <w:szCs w:val="21"/>
                <w:highlight w:val="none"/>
                <w:lang w:val="en-US" w:eastAsia="zh-CN"/>
              </w:rPr>
              <w:t>坝址拟定上坝线和下坝线两条坝轴线进行比较。上、下坝线位置示意图见图4-1。</w:t>
            </w:r>
          </w:p>
          <w:p>
            <w:pPr>
              <w:spacing w:line="240" w:lineRule="auto"/>
              <w:ind w:firstLine="0" w:firstLineChars="0"/>
              <w:jc w:val="center"/>
              <w:rPr>
                <w:rFonts w:eastAsia="黑体"/>
                <w:b/>
                <w:color w:val="auto"/>
                <w:sz w:val="21"/>
                <w:szCs w:val="21"/>
                <w:highlight w:val="none"/>
              </w:rPr>
            </w:pPr>
            <w:r>
              <w:rPr>
                <w:rFonts w:eastAsia="黑体"/>
                <w:b/>
                <w:color w:val="auto"/>
                <w:sz w:val="21"/>
                <w:szCs w:val="21"/>
                <w:highlight w:val="none"/>
              </w:rPr>
              <mc:AlternateContent>
                <mc:Choice Requires="wps">
                  <w:drawing>
                    <wp:anchor distT="0" distB="0" distL="114300" distR="114300" simplePos="0" relativeHeight="251663360" behindDoc="0" locked="0" layoutInCell="1" allowOverlap="1">
                      <wp:simplePos x="0" y="0"/>
                      <wp:positionH relativeFrom="column">
                        <wp:posOffset>1373505</wp:posOffset>
                      </wp:positionH>
                      <wp:positionV relativeFrom="paragraph">
                        <wp:posOffset>2460625</wp:posOffset>
                      </wp:positionV>
                      <wp:extent cx="743585" cy="271145"/>
                      <wp:effectExtent l="4445" t="337185" r="452120" b="20320"/>
                      <wp:wrapNone/>
                      <wp:docPr id="6" name="AutoShape 21"/>
                      <wp:cNvGraphicFramePr/>
                      <a:graphic xmlns:a="http://schemas.openxmlformats.org/drawingml/2006/main">
                        <a:graphicData uri="http://schemas.microsoft.com/office/word/2010/wordprocessingShape">
                          <wps:wsp>
                            <wps:cNvSpPr>
                              <a:spLocks noChangeArrowheads="1"/>
                            </wps:cNvSpPr>
                            <wps:spPr bwMode="auto">
                              <a:xfrm>
                                <a:off x="0" y="0"/>
                                <a:ext cx="743585" cy="271145"/>
                              </a:xfrm>
                              <a:prstGeom prst="wedgeRectCallout">
                                <a:avLst>
                                  <a:gd name="adj1" fmla="val 105832"/>
                                  <a:gd name="adj2" fmla="val -167219"/>
                                </a:avLst>
                              </a:prstGeom>
                              <a:noFill/>
                              <a:ln w="9525">
                                <a:solidFill>
                                  <a:srgbClr val="FF00FF"/>
                                </a:solidFill>
                                <a:miter lim="800000"/>
                              </a:ln>
                            </wps:spPr>
                            <wps:txbx>
                              <w:txbxContent>
                                <w:p>
                                  <w:pPr>
                                    <w:spacing w:line="240" w:lineRule="auto"/>
                                    <w:ind w:firstLine="0" w:firstLineChars="0"/>
                                    <w:jc w:val="center"/>
                                    <w:rPr>
                                      <w:color w:val="FF00FF"/>
                                      <w:sz w:val="21"/>
                                      <w:szCs w:val="21"/>
                                    </w:rPr>
                                  </w:pPr>
                                  <w:r>
                                    <w:rPr>
                                      <w:rFonts w:hint="eastAsia"/>
                                      <w:color w:val="FF00FF"/>
                                      <w:sz w:val="21"/>
                                      <w:szCs w:val="21"/>
                                    </w:rPr>
                                    <w:t>下坝线</w:t>
                                  </w:r>
                                </w:p>
                              </w:txbxContent>
                            </wps:txbx>
                            <wps:bodyPr rot="0" vert="horz" wrap="square" lIns="36000" tIns="36000" rIns="36000" bIns="36000" anchor="t" anchorCtr="0" upright="1">
                              <a:noAutofit/>
                            </wps:bodyPr>
                          </wps:wsp>
                        </a:graphicData>
                      </a:graphic>
                    </wp:anchor>
                  </w:drawing>
                </mc:Choice>
                <mc:Fallback>
                  <w:pict>
                    <v:shape id="AutoShape 21" o:spid="_x0000_s1026" o:spt="61" type="#_x0000_t61" style="position:absolute;left:0pt;margin-left:108.15pt;margin-top:193.75pt;height:21.35pt;width:58.55pt;z-index:251663360;mso-width-relative:page;mso-height-relative:page;" filled="f" stroked="t" coordsize="21600,21600" o:gfxdata="UEsDBAoAAAAAAIdO4kAAAAAAAAAAAAAAAAAEAAAAZHJzL1BLAwQUAAAACACHTuJAxMhFHtoAAAAL&#10;AQAADwAAAGRycy9kb3ducmV2LnhtbE2PMU/DMBCFdyT+g3VIbNRO3KYlxOlQiaEDAgIS6yU2SdT4&#10;HMVOWv49ZqLj6X1677tif7EDW8zke0cKkpUAZqhxuqdWwefH88MOmA9IGgdHRsGP8bAvb28KzLU7&#10;07tZqtCyWEI+RwVdCGPOuW86Y9Gv3GgoZt9ushjiObVcT3iO5XbgqRAZt9hTXOhwNIfONKdqtgpO&#10;Vb1Js8fDJF5wxu3xjZbj65dS93eJeAIWzCX8w/CnH9WhjE61m0l7NihIk0xGVIHcbTfAIiGlXAOr&#10;FaylSIGXBb/+ofwFUEsDBBQAAAAIAIdO4kAzifbKVQIAALQEAAAOAAAAZHJzL2Uyb0RvYy54bWyt&#10;VMtu2zAQvBfoPxC8J3okdhwjchA4cFEgbYOm/QCapCS2JJclacvp13dJKamTXnKoDgJXXM7Ozix1&#10;dX0wmuylDwpsQ6vTkhJpOQhlu4Z+/7Y5WVASIrOCabCyoY8y0OvV+3dXg1vKGnrQQnqCIDYsB9fQ&#10;Pka3LIrAe2lYOAUnLW624A2LGPquEJ4NiG50UZflvBjAC+eByxDw6+24SSdE/xZAaFvF5S3wnZE2&#10;jqheahaxpdArF+gqs21byeOXtg0yEt1Q7DTmNxbB9Ta9i9UVW3aeuV7xiQJ7C4VXPRmmLBZ9hrpl&#10;kZGdV/9AGcU9BGjjKQdTjI1kRbCLqnylzUPPnMy9oNTBPYse/h8s/7y/90SJhs4pscyg4Te7CLky&#10;qaukz+DCEtMe3L1PHQZ3B/xnIBbWPbOdvPEehl4ygaxyfvHiQAoCHiXb4RMIhGcIn6U6tN4kQBSB&#10;HLIjj8+OyEMkHD9enJ/NFjNKOG7VF1V1PkuMCrZ8Oux8iB8kGJIWDR2k6ORXdH3NtIZdzIXY/i7E&#10;bI6YWmTiR0VJazR6vWeaVOVscVZPw3CUVB8nnVTzi7q6nAhMoEjliUKqYGGjtM5DpS0ZGno5q2eZ&#10;RACtRNrMGvpuu9aeYO2GbjZludlMsC/SjIp41bQyDV2U6ZmStEUNnoQdDYqH7WHyagviEfX2MA47&#10;XnVc9OB/UzLgoDc0/NoxLynRHy16djZPwCQeB/442B4HzHKEamikZFyu43ibds6rrsdKVW7XQhqj&#10;VsVkV6I6spoCHObs4nTx0m05jnPW35/N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EyEUe2gAA&#10;AAsBAAAPAAAAAAAAAAEAIAAAACIAAABkcnMvZG93bnJldi54bWxQSwECFAAUAAAACACHTuJAM4n2&#10;ylUCAAC0BAAADgAAAAAAAAABACAAAAApAQAAZHJzL2Uyb0RvYy54bWxQSwUGAAAAAAYABgBZAQAA&#10;8AUAAAAA&#10;" adj="33660,-25319">
                      <v:fill on="f" focussize="0,0"/>
                      <v:stroke color="#FF00FF" miterlimit="8" joinstyle="miter"/>
                      <v:imagedata o:title=""/>
                      <o:lock v:ext="edit" aspectratio="f"/>
                      <v:textbox inset="1mm,1mm,1mm,1mm">
                        <w:txbxContent>
                          <w:p>
                            <w:pPr>
                              <w:spacing w:line="240" w:lineRule="auto"/>
                              <w:ind w:firstLine="0" w:firstLineChars="0"/>
                              <w:jc w:val="center"/>
                              <w:rPr>
                                <w:color w:val="FF00FF"/>
                                <w:sz w:val="21"/>
                                <w:szCs w:val="21"/>
                              </w:rPr>
                            </w:pPr>
                            <w:r>
                              <w:rPr>
                                <w:rFonts w:hint="eastAsia"/>
                                <w:color w:val="FF00FF"/>
                                <w:sz w:val="21"/>
                                <w:szCs w:val="21"/>
                              </w:rPr>
                              <w:t>下坝线</w:t>
                            </w:r>
                          </w:p>
                        </w:txbxContent>
                      </v:textbox>
                    </v:shape>
                  </w:pict>
                </mc:Fallback>
              </mc:AlternateContent>
            </w:r>
            <w:r>
              <w:rPr>
                <w:rFonts w:eastAsia="黑体"/>
                <w:b/>
                <w:color w:val="auto"/>
                <w:sz w:val="21"/>
                <w:szCs w:val="21"/>
                <w:highlight w:val="none"/>
              </w:rPr>
              <mc:AlternateContent>
                <mc:Choice Requires="wps">
                  <w:drawing>
                    <wp:anchor distT="0" distB="0" distL="114300" distR="114300" simplePos="0" relativeHeight="251662336" behindDoc="0" locked="0" layoutInCell="1" allowOverlap="1">
                      <wp:simplePos x="0" y="0"/>
                      <wp:positionH relativeFrom="column">
                        <wp:posOffset>1183005</wp:posOffset>
                      </wp:positionH>
                      <wp:positionV relativeFrom="paragraph">
                        <wp:posOffset>563880</wp:posOffset>
                      </wp:positionV>
                      <wp:extent cx="743585" cy="255270"/>
                      <wp:effectExtent l="4445" t="4445" r="471170" b="426085"/>
                      <wp:wrapNone/>
                      <wp:docPr id="7" name="AutoShape 20"/>
                      <wp:cNvGraphicFramePr/>
                      <a:graphic xmlns:a="http://schemas.openxmlformats.org/drawingml/2006/main">
                        <a:graphicData uri="http://schemas.microsoft.com/office/word/2010/wordprocessingShape">
                          <wps:wsp>
                            <wps:cNvSpPr>
                              <a:spLocks noChangeArrowheads="1"/>
                            </wps:cNvSpPr>
                            <wps:spPr bwMode="auto">
                              <a:xfrm>
                                <a:off x="0" y="0"/>
                                <a:ext cx="743585" cy="255270"/>
                              </a:xfrm>
                              <a:prstGeom prst="wedgeRectCallout">
                                <a:avLst>
                                  <a:gd name="adj1" fmla="val 107370"/>
                                  <a:gd name="adj2" fmla="val 201811"/>
                                </a:avLst>
                              </a:prstGeom>
                              <a:noFill/>
                              <a:ln w="9525">
                                <a:solidFill>
                                  <a:srgbClr val="FF0000"/>
                                </a:solidFill>
                                <a:miter lim="800000"/>
                              </a:ln>
                            </wps:spPr>
                            <wps:txbx>
                              <w:txbxContent>
                                <w:p>
                                  <w:pPr>
                                    <w:spacing w:line="240" w:lineRule="auto"/>
                                    <w:ind w:firstLine="0" w:firstLineChars="0"/>
                                    <w:jc w:val="center"/>
                                    <w:rPr>
                                      <w:color w:val="FF0000"/>
                                      <w:sz w:val="21"/>
                                      <w:szCs w:val="21"/>
                                    </w:rPr>
                                  </w:pPr>
                                  <w:r>
                                    <w:rPr>
                                      <w:rFonts w:hint="eastAsia"/>
                                      <w:color w:val="FF0000"/>
                                      <w:sz w:val="21"/>
                                      <w:szCs w:val="21"/>
                                    </w:rPr>
                                    <w:t>上坝线</w:t>
                                  </w:r>
                                </w:p>
                              </w:txbxContent>
                            </wps:txbx>
                            <wps:bodyPr rot="0" vert="horz" wrap="square" lIns="36000" tIns="36000" rIns="36000" bIns="36000" anchor="t" anchorCtr="0" upright="1">
                              <a:noAutofit/>
                            </wps:bodyPr>
                          </wps:wsp>
                        </a:graphicData>
                      </a:graphic>
                    </wp:anchor>
                  </w:drawing>
                </mc:Choice>
                <mc:Fallback>
                  <w:pict>
                    <v:shape id="AutoShape 20" o:spid="_x0000_s1026" o:spt="61" type="#_x0000_t61" style="position:absolute;left:0pt;margin-left:93.15pt;margin-top:44.4pt;height:20.1pt;width:58.55pt;z-index:251662336;mso-width-relative:page;mso-height-relative:page;" filled="f" stroked="t" coordsize="21600,21600" o:gfxdata="UEsDBAoAAAAAAIdO4kAAAAAAAAAAAAAAAAAEAAAAZHJzL1BLAwQUAAAACACHTuJAcC8wE9gAAAAK&#10;AQAADwAAAGRycy9kb3ducmV2LnhtbE2PS0/DMBCE70j8B2uRuFE7DarSEKdClVB5XEoL4urGS2IR&#10;r6PYffHrWU5wHM3om5lqcfK9OOAYXSAN2USBQGqCddRqeNs+3BQgYjJkTR8INZwxwqK+vKhMacOR&#10;XvGwSa1gCMXSaOhSGkopY9OhN3ESBiT2PsPoTWI5ttKO5shw38upUjPpjSNu6MyAyw6br83eayhe&#10;so/11t3b99WTWn2f3fxx+Wy1vr7K1B2IhKf0F4bf+Twdat60C3uyUfSsi1nOUYYVfIEDucpvQezY&#10;mc4VyLqS/y/UP1BLAwQUAAAACACHTuJAIYdFr1ICAACzBAAADgAAAGRycy9lMm9Eb2MueG1srVTB&#10;btswDL0P2D8Iuq+O3aXJjDpFkSLDgG4r1u0DFEm2tUmiJilxuq8vJSed2116WA4GadGP7z1Subw6&#10;GE320gcFtqHl2YwSaTkIZbuG/vi+ebekJERmBdNgZUMfZKBXq7dvLgdXywp60EJ6giA21INraB+j&#10;q4si8F4aFs7ASYuHLXjDIqa+K4RnA6IbXVSz2UUxgBfOA5ch4Nub8ZAeEf1rAKFtFZc3wHdG2jii&#10;eqlZREmhVy7QVWbbtpLHr20bZCS6oag05ic2wXibnsXqktWdZ65X/EiBvYbCC02GKYtNn6BuWGRk&#10;59U/UEZxDwHaeMbBFKOQ7AiqKGcvvLnvmZNZC1od3JPp4f/B8i/7O0+UaOiCEssMDvx6FyF3JlX2&#10;Z3ChxrJ7d+eTwuBugf8KxMK6Z7aT197D0EsmkFWZ/CyefZCSgJ+S7fAZBMIzhM9WHVpvEiCaQA55&#10;Ig9PE5GHSDi+XLw/ny/nlHA8qubzapEZFaw+fex8iB8lGJKChg5SdPIbTn3NtIZdzI3Y/jbEPBxx&#10;lMjEz5KS1mic9Z5pUs4W5yM0TnBSVE2LcEDLclTI6iMmMjkxSA0sbJTWeae0JUNDP8yreeYQQCuR&#10;DrOFvtuutSfYuqGbzQx/2Tg0d1pmVMSbppVp6DLVnIq0PZqcfE2bHup42B6wbQq3IB7Qbg/jruNN&#10;x6AH/4eSAfe8oeH3jnlJif5kcWTnFwmYxGnip8l2mjDLEaqhkZIxXMfxMu2cV12Pncos10LaolbF&#10;0z6MrI68cZcxenZZpnmu+vtfs3o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cC8wE9gAAAAKAQAA&#10;DwAAAAAAAAABACAAAAAiAAAAZHJzL2Rvd25yZXYueG1sUEsBAhQAFAAAAAgAh07iQCGHRa9SAgAA&#10;swQAAA4AAAAAAAAAAQAgAAAAJwEAAGRycy9lMm9Eb2MueG1sUEsFBgAAAAAGAAYAWQEAAOsFAAAA&#10;AA==&#10;" adj="33992,54391">
                      <v:fill on="f" focussize="0,0"/>
                      <v:stroke color="#FF0000" miterlimit="8" joinstyle="miter"/>
                      <v:imagedata o:title=""/>
                      <o:lock v:ext="edit" aspectratio="f"/>
                      <v:textbox inset="1mm,1mm,1mm,1mm">
                        <w:txbxContent>
                          <w:p>
                            <w:pPr>
                              <w:spacing w:line="240" w:lineRule="auto"/>
                              <w:ind w:firstLine="0" w:firstLineChars="0"/>
                              <w:jc w:val="center"/>
                              <w:rPr>
                                <w:color w:val="FF0000"/>
                                <w:sz w:val="21"/>
                                <w:szCs w:val="21"/>
                              </w:rPr>
                            </w:pPr>
                            <w:r>
                              <w:rPr>
                                <w:rFonts w:hint="eastAsia"/>
                                <w:color w:val="FF0000"/>
                                <w:sz w:val="21"/>
                                <w:szCs w:val="21"/>
                              </w:rPr>
                              <w:t>上坝线</w:t>
                            </w:r>
                          </w:p>
                        </w:txbxContent>
                      </v:textbox>
                    </v:shape>
                  </w:pict>
                </mc:Fallback>
              </mc:AlternateContent>
            </w:r>
            <w:r>
              <w:rPr>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1925955</wp:posOffset>
                      </wp:positionH>
                      <wp:positionV relativeFrom="paragraph">
                        <wp:posOffset>1099185</wp:posOffset>
                      </wp:positionV>
                      <wp:extent cx="2084070" cy="138430"/>
                      <wp:effectExtent l="1270" t="15875" r="10160" b="17145"/>
                      <wp:wrapNone/>
                      <wp:docPr id="9" name="AutoShape 18"/>
                      <wp:cNvGraphicFramePr/>
                      <a:graphic xmlns:a="http://schemas.openxmlformats.org/drawingml/2006/main">
                        <a:graphicData uri="http://schemas.microsoft.com/office/word/2010/wordprocessingShape">
                          <wps:wsp>
                            <wps:cNvCnPr>
                              <a:cxnSpLocks noChangeShapeType="1"/>
                            </wps:cNvCnPr>
                            <wps:spPr bwMode="auto">
                              <a:xfrm flipV="1">
                                <a:off x="0" y="0"/>
                                <a:ext cx="2084070" cy="138430"/>
                              </a:xfrm>
                              <a:prstGeom prst="straightConnector1">
                                <a:avLst/>
                              </a:prstGeom>
                              <a:noFill/>
                              <a:ln w="31750">
                                <a:solidFill>
                                  <a:srgbClr val="FF0000"/>
                                </a:solidFill>
                                <a:prstDash val="sysDot"/>
                                <a:round/>
                              </a:ln>
                            </wps:spPr>
                            <wps:bodyPr/>
                          </wps:wsp>
                        </a:graphicData>
                      </a:graphic>
                    </wp:anchor>
                  </w:drawing>
                </mc:Choice>
                <mc:Fallback>
                  <w:pict>
                    <v:shape id="AutoShape 18" o:spid="_x0000_s1026" o:spt="32" type="#_x0000_t32" style="position:absolute;left:0pt;flip:y;margin-left:151.65pt;margin-top:86.55pt;height:10.9pt;width:164.1pt;z-index:251660288;mso-width-relative:page;mso-height-relative:page;" filled="f" stroked="t" coordsize="21600,21600" o:gfxdata="UEsDBAoAAAAAAIdO4kAAAAAAAAAAAAAAAAAEAAAAZHJzL1BLAwQUAAAACACHTuJAIEMA3NoAAAAL&#10;AQAADwAAAGRycy9kb3ducmV2LnhtbE2PsU7DMBCGdyTewTokFkTtYGhJiNMBqUPFAgW16ubGJomw&#10;z1bspuXtOSYY7/5P/31XL8/escmOaQiooJgJYBbbYAbsFHy8r24fgaWs0WgX0Cr4tgmWzeVFrSsT&#10;Tvhmp03uGJVgqrSCPudYcZ7a3nqdZiFapOwzjF5nGseOm1GfqNw7fifEnHs9IF3odbTPvW2/Nkev&#10;IE43Yb8W5ct2u9vJuHJxeu3WSl1fFeIJWLbn/AfDrz6pQ0NOh3BEk5hTIIWUhFKwkAUwIuayeAB2&#10;oE15XwJvav7/h+YHUEsDBBQAAAAIAIdO4kD5yjV88QEAAN0DAAAOAAAAZHJzL2Uyb0RvYy54bWyt&#10;U8Fu2zAMvQ/YPwi6L7aTbs2MOMWQILt0W4B2uyuybAuTRUFUYufvR8lp2nWXHuaDYJl8j3yP9Opu&#10;7A07KY8abMWLWc6ZshJqbduK/3zcfVhyhkHYWhiwquJnhfxu/f7danClmkMHplaeEYnFcnAV70Jw&#10;ZZah7FQvcAZOWQo24HsR6OrbrPZiIPbeZPM8/5QN4GvnQSpE+rqdgvzC6N9CCE2jpdqCPPbKhonV&#10;KyMCScJOO+Tr1G3TKBl+NA2qwEzFSWlIJxWh90M8s/VKlK0XrtPy0oJ4SwuvNPVCWyp6pdqKINjR&#10;63+oei09IDRhJqHPJiHJEVJR5K+8eeiEU0kLWY3uajr+P1r5/bT3TNcV/8yZFT0N/MsxQKrMimX0&#10;Z3BYUtrG7n1UKEf74O5B/kZmYdMJ26qU/Xh2BC4iIvsLEi/oqMph+AY15QgqkMwaG9+zxmj3KwIj&#10;ORnCxjSd83U6agxM0sd5vrzJb2lwkmLFYnmzSOPLRBl5Itp5DF8V9Cy+VByDF7rtwgaspUUAP9UQ&#10;p3sMsctnQARb2Glj0j4Yy4aKL4rbj3nqCsHoOkZjHvr2sDGenQSt1G6X05M0U+RlWmxhK7Cb8vCM&#10;WwjTtnk42nqqb+zFrOjP5PQB6vPeP5lIU0+NXjY0rtXLe0I//5X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BDANzaAAAACwEAAA8AAAAAAAAAAQAgAAAAIgAAAGRycy9kb3ducmV2LnhtbFBLAQIU&#10;ABQAAAAIAIdO4kD5yjV88QEAAN0DAAAOAAAAAAAAAAEAIAAAACkBAABkcnMvZTJvRG9jLnhtbFBL&#10;BQYAAAAABgAGAFkBAACMBQAAAAA=&#10;">
                      <v:fill on="f" focussize="0,0"/>
                      <v:stroke weight="2.5pt" color="#FF0000" joinstyle="round" dashstyle="1 1"/>
                      <v:imagedata o:title=""/>
                      <o:lock v:ext="edit" aspectratio="f"/>
                    </v:shape>
                  </w:pict>
                </mc:Fallback>
              </mc:AlternateContent>
            </w:r>
            <w:r>
              <w:rPr>
                <w:rFonts w:eastAsia="黑体"/>
                <w:b/>
                <w:color w:val="auto"/>
                <w:sz w:val="21"/>
                <w:szCs w:val="21"/>
                <w:highlight w:val="none"/>
              </w:rPr>
              <mc:AlternateContent>
                <mc:Choice Requires="wps">
                  <w:drawing>
                    <wp:anchor distT="0" distB="0" distL="114300" distR="114300" simplePos="0" relativeHeight="251661312" behindDoc="0" locked="0" layoutInCell="1" allowOverlap="1">
                      <wp:simplePos x="0" y="0"/>
                      <wp:positionH relativeFrom="column">
                        <wp:posOffset>1821815</wp:posOffset>
                      </wp:positionH>
                      <wp:positionV relativeFrom="paragraph">
                        <wp:posOffset>2013585</wp:posOffset>
                      </wp:positionV>
                      <wp:extent cx="2317750" cy="191770"/>
                      <wp:effectExtent l="1270" t="15875" r="5080" b="20955"/>
                      <wp:wrapNone/>
                      <wp:docPr id="10" name="AutoShape 19"/>
                      <wp:cNvGraphicFramePr/>
                      <a:graphic xmlns:a="http://schemas.openxmlformats.org/drawingml/2006/main">
                        <a:graphicData uri="http://schemas.microsoft.com/office/word/2010/wordprocessingShape">
                          <wps:wsp>
                            <wps:cNvCnPr>
                              <a:cxnSpLocks noChangeShapeType="1"/>
                            </wps:cNvCnPr>
                            <wps:spPr bwMode="auto">
                              <a:xfrm flipV="1">
                                <a:off x="0" y="0"/>
                                <a:ext cx="2317750" cy="191770"/>
                              </a:xfrm>
                              <a:prstGeom prst="straightConnector1">
                                <a:avLst/>
                              </a:prstGeom>
                              <a:noFill/>
                              <a:ln w="31750">
                                <a:solidFill>
                                  <a:srgbClr val="FF00FF"/>
                                </a:solidFill>
                                <a:prstDash val="sysDot"/>
                                <a:round/>
                              </a:ln>
                            </wps:spPr>
                            <wps:bodyPr/>
                          </wps:wsp>
                        </a:graphicData>
                      </a:graphic>
                    </wp:anchor>
                  </w:drawing>
                </mc:Choice>
                <mc:Fallback>
                  <w:pict>
                    <v:shape id="AutoShape 19" o:spid="_x0000_s1026" o:spt="32" type="#_x0000_t32" style="position:absolute;left:0pt;flip:y;margin-left:143.45pt;margin-top:158.55pt;height:15.1pt;width:182.5pt;z-index:251661312;mso-width-relative:page;mso-height-relative:page;" filled="f" stroked="t" coordsize="21600,21600" o:gfxdata="UEsDBAoAAAAAAIdO4kAAAAAAAAAAAAAAAAAEAAAAZHJzL1BLAwQUAAAACACHTuJAZ9GoTtkAAAAL&#10;AQAADwAAAGRycy9kb3ducmV2LnhtbE2PwU7DMAyG70i8Q2QkbixNS7uta7rDJEBcEHTjnjVZU9E4&#10;VZOt4+0xJzj696ffn6vt1Q3sYqbQe5QgFgkwg63XPXYSDvunhxWwEBVqNXg0Er5NgG19e1OpUvsZ&#10;P8yliR2jEgylkmBjHEvOQ2uNU2HhR4O0O/nJqUjj1HE9qZnK3cDTJCm4Uz3SBatGs7Om/WrOTkL8&#10;7NMXmzduvXub5/fn7PWw73Ip7+9EsgEWzTX+wfCrT+pQk9PRn1EHNkhIV8WaUAmZWApgRBS5oORI&#10;yeMyA15X/P8P9Q9QSwMEFAAAAAgAh07iQP3QoFbsAQAA3gMAAA4AAABkcnMvZTJvRG9jLnhtbK1T&#10;wW7bMAy9D9g/CLovtjNsXY04xZDAu3RbgXa7K7JsC5NEQVTi5O9HyWm6ZZcedjFMk+898pFe3R2t&#10;YQcVUINreLUoOVNOQqfd0PAfT+27T5xhFK4TBpxq+Ekhv1u/fbOafK2WMILpVGBE4rCefMPHGH1d&#10;FChHZQUuwCtHyR6CFZHCMBRdEBOxW1Msy/JjMUHofACpEOnrdk7yM2N4DSH0vZZqC3JvlYsza1BG&#10;RBoJR+2Rr3O3fa9k/N73qCIzDadJY36SCL3v0rNYr0Q9BOFHLc8tiNe0cDWTFdqR6IVqK6Jg+6D/&#10;obJaBkDo40KCLeZBsiM0RVVeefM4Cq/yLGQ1+ovp+P9o5bfDQ2C6o0sgS5ywtPHP+whZmlW3yaDJ&#10;Y011G/cQ0ojy6B79PchfyBxsRuEGlaufTp7AVUIUf0FSgJ5kdtNX6KhGkEB269gHy3qj/c8ETOTk&#10;CDvm9Zwu61HHyCR9XL6vbm4+UJuSctUtBXl/hagTT0L7gPGLAsvSS8MxBqGHMW7AOboECLOGONxj&#10;TF2+ABLYQauNyQdhHJsaTnKkllIIRncpm4Mw7DYmsIOgm2rbsmzbPPNVWWphK3Cc6/CEW4jzuQXY&#10;u27WN+5sVvJndnoH3ekhPJtIa8+Nnk803dWfcUa//Jb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fRqE7ZAAAACwEAAA8AAAAAAAAAAQAgAAAAIgAAAGRycy9kb3ducmV2LnhtbFBLAQIUABQAAAAI&#10;AIdO4kD90KBW7AEAAN4DAAAOAAAAAAAAAAEAIAAAACgBAABkcnMvZTJvRG9jLnhtbFBLBQYAAAAA&#10;BgAGAFkBAACGBQAAAAA=&#10;">
                      <v:fill on="f" focussize="0,0"/>
                      <v:stroke weight="2.5pt" color="#FF00FF" joinstyle="round" dashstyle="1 1"/>
                      <v:imagedata o:title=""/>
                      <o:lock v:ext="edit" aspectratio="f"/>
                    </v:shape>
                  </w:pict>
                </mc:Fallback>
              </mc:AlternateContent>
            </w:r>
            <w:r>
              <w:rPr>
                <w:rFonts w:eastAsia="黑体"/>
                <w:b/>
                <w:color w:val="auto"/>
                <w:sz w:val="21"/>
                <w:szCs w:val="21"/>
                <w:highlight w:val="none"/>
              </w:rPr>
              <mc:AlternateContent>
                <mc:Choice Requires="wps">
                  <w:drawing>
                    <wp:anchor distT="0" distB="0" distL="114300" distR="114300" simplePos="0" relativeHeight="251659264" behindDoc="0" locked="0" layoutInCell="1" allowOverlap="1">
                      <wp:simplePos x="0" y="0"/>
                      <wp:positionH relativeFrom="column">
                        <wp:posOffset>2651760</wp:posOffset>
                      </wp:positionH>
                      <wp:positionV relativeFrom="paragraph">
                        <wp:posOffset>428625</wp:posOffset>
                      </wp:positionV>
                      <wp:extent cx="382270" cy="531495"/>
                      <wp:effectExtent l="6985" t="55245" r="90170" b="38735"/>
                      <wp:wrapNone/>
                      <wp:docPr id="11" name="AutoShape 16"/>
                      <wp:cNvGraphicFramePr/>
                      <a:graphic xmlns:a="http://schemas.openxmlformats.org/drawingml/2006/main">
                        <a:graphicData uri="http://schemas.microsoft.com/office/word/2010/wordprocessingShape">
                          <wps:wsp>
                            <wps:cNvSpPr>
                              <a:spLocks noChangeArrowheads="1"/>
                            </wps:cNvSpPr>
                            <wps:spPr bwMode="auto">
                              <a:xfrm rot="3909433">
                                <a:off x="0" y="0"/>
                                <a:ext cx="382270" cy="531495"/>
                              </a:xfrm>
                              <a:prstGeom prst="rightArrow">
                                <a:avLst>
                                  <a:gd name="adj1" fmla="val 50000"/>
                                  <a:gd name="adj2" fmla="val 25000"/>
                                </a:avLst>
                              </a:prstGeom>
                              <a:solidFill>
                                <a:srgbClr val="DBE5F1">
                                  <a:alpha val="60001"/>
                                </a:srgbClr>
                              </a:solidFill>
                              <a:ln w="25400">
                                <a:solidFill>
                                  <a:srgbClr val="0070C0"/>
                                </a:solidFill>
                                <a:miter lim="800000"/>
                              </a:ln>
                            </wps:spPr>
                            <wps:bodyPr rot="0" vert="horz" wrap="square" lIns="91440" tIns="45720" rIns="91440" bIns="45720" anchor="t" anchorCtr="0" upright="1">
                              <a:noAutofit/>
                            </wps:bodyPr>
                          </wps:wsp>
                        </a:graphicData>
                      </a:graphic>
                    </wp:anchor>
                  </w:drawing>
                </mc:Choice>
                <mc:Fallback>
                  <w:pict>
                    <v:shape id="AutoShape 16" o:spid="_x0000_s1026" o:spt="13" type="#_x0000_t13" style="position:absolute;left:0pt;margin-left:208.8pt;margin-top:33.75pt;height:41.85pt;width:30.1pt;rotation:4270143f;z-index:251659264;mso-width-relative:page;mso-height-relative:page;" fillcolor="#DBE5F1" filled="t" stroked="t" coordsize="21600,21600" o:gfxdata="UEsDBAoAAAAAAIdO4kAAAAAAAAAAAAAAAAAEAAAAZHJzL1BLAwQUAAAACACHTuJAfipfatgAAAAK&#10;AQAADwAAAGRycy9kb3ducmV2LnhtbE2Py07DMBBF90j8gzVI7KiTqo1RiFOhIFZdUapK3bnx5CHi&#10;cYjdNv17hhUsR3N077nFZnaDuOAUek8a0kUCAqn2tqdWw/7z/ekZRIiGrBk8oYYbBtiU93eFya2/&#10;0gdedrEVHEIhNxq6GMdcylB36ExY+BGJf42fnIl8Tq20k7lyuBvkMkky6UxP3NCZEasO66/d2WnY&#10;vqrmMLPSXPljlb4dmv23bLR+fEiTFxAR5/gHw68+q0PJTid/JhvEoGGVqoxRDZlag2BgpRRvOTG5&#10;Tpcgy0L+n1D+AFBLAwQUAAAACACHTuJArj/N8WcCAAD6BAAADgAAAGRycy9lMm9Eb2MueG1srVTL&#10;btswELwX6D8QvDd6+BUbloPUbooCaRsg7QfQFGWxJbksSVtOv75LSnGcFChyqA4Cl1zN7sxwtbw6&#10;akUOwnkJpqLFRU6JMBxqaXYV/f7t5t0lJT4wUzMFRlT0QXh6tXr7ZtnZhSihBVULRxDE+EVnK9qG&#10;YBdZ5nkrNPMXYIXBwwacZgFDt8tqxzpE1yor83yadeBq64AL73F30x/SAdG9BhCaRnKxAb7XwoQe&#10;1QnFAlLyrbSerlK3TSN4+No0XgSiKopMQ3pjEVxv4ztbLdli55htJR9aYK9p4QUnzaTBoieoDQuM&#10;7J38C0pL7sBDEy446KwnkhRBFkX+Qpv7llmRuKDU3p5E9/8Pln853Dkia7wJBSWGaXT8eh8glSbF&#10;NArUWb/AvHt75yJFb2+B//TEwLplZieunYOuFazGtoqYnz37IAYePyXb7jPUCM8QPml1bJwmDtCT&#10;0Tyfj0ejtIuakGMy6OFkkDgGwnFzdFmWM7SO49FkVIznk1SPLSJU7M06Hz4K0CQuKurkrg2pvwTN&#10;Drc+JJfqgSqrfyDtRis0/cAUmeT4DJfiLKc8zylj0lB3QMyeKieFQMn6RiqVArfbrpUjCF/RzfsP&#10;k5uib0bZlvW7UwTslUN1+3RUEdfnOMqQrqLlZIzF/10kz2f5+rHDZxhaBpxdJXVFLyPTxyRlBtei&#10;Ub3hW6gf0LRkDyqOPwzUswX3m5IOx6Wi/teeOUGJ+mTQ+HkxHsf5SsF4MisxcOcn2/MTZjhCVTRQ&#10;0i/XoZ/JvU2WxYsUORqId7GR4fFW9V0NzeJIJJmG8Y0zdx6nrKdf1u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fipfatgAAAAKAQAADwAAAAAAAAABACAAAAAiAAAAZHJzL2Rvd25yZXYueG1sUEsB&#10;AhQAFAAAAAgAh07iQK4/zfFnAgAA+gQAAA4AAAAAAAAAAQAgAAAAJwEAAGRycy9lMm9Eb2MueG1s&#10;UEsFBgAAAAAGAAYAWQEAAAAGAAAAAA==&#10;" adj="16200,5400">
                      <v:fill on="t" opacity="39322f" focussize="0,0"/>
                      <v:stroke weight="2pt" color="#0070C0" miterlimit="8" joinstyle="miter"/>
                      <v:imagedata o:title=""/>
                      <o:lock v:ext="edit" aspectratio="f"/>
                    </v:shape>
                  </w:pict>
                </mc:Fallback>
              </mc:AlternateContent>
            </w:r>
            <w:r>
              <w:rPr>
                <w:color w:val="auto"/>
                <w:highlight w:val="none"/>
              </w:rPr>
              <w:drawing>
                <wp:inline distT="0" distB="0" distL="0" distR="0">
                  <wp:extent cx="5626100" cy="3492500"/>
                  <wp:effectExtent l="0" t="0" r="12700" b="1270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l="4916" r="4366"/>
                          <a:stretch>
                            <a:fillRect/>
                          </a:stretch>
                        </pic:blipFill>
                        <pic:spPr>
                          <a:xfrm>
                            <a:off x="0" y="0"/>
                            <a:ext cx="5626100" cy="3492500"/>
                          </a:xfrm>
                          <a:prstGeom prst="rect">
                            <a:avLst/>
                          </a:prstGeom>
                          <a:noFill/>
                          <a:ln>
                            <a:noFill/>
                          </a:ln>
                        </pic:spPr>
                      </pic:pic>
                    </a:graphicData>
                  </a:graphic>
                </wp:inline>
              </w:drawing>
            </w:r>
          </w:p>
          <w:p>
            <w:pPr>
              <w:spacing w:line="240" w:lineRule="auto"/>
              <w:ind w:firstLine="0" w:firstLineChars="0"/>
              <w:jc w:val="center"/>
              <w:rPr>
                <w:rFonts w:hint="eastAsia" w:ascii="宋体" w:hAnsi="宋体" w:eastAsia="宋体" w:cs="宋体"/>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图4-1</w:t>
            </w:r>
            <w:r>
              <w:rPr>
                <w:rFonts w:hint="eastAsia" w:ascii="宋体" w:hAnsi="宋体" w:eastAsia="宋体" w:cs="宋体"/>
                <w:b w:val="0"/>
                <w:bCs/>
                <w:color w:val="auto"/>
                <w:sz w:val="21"/>
                <w:szCs w:val="21"/>
                <w:highlight w:val="none"/>
              </w:rPr>
              <w:t xml:space="preserve">   水库枢纽坝线比选实景位置示意图</w:t>
            </w:r>
          </w:p>
          <w:p>
            <w:pPr>
              <w:autoSpaceDE w:val="0"/>
              <w:autoSpaceDN w:val="0"/>
              <w:adjustRightInd w:val="0"/>
              <w:snapToGrid w:val="0"/>
              <w:spacing w:line="360" w:lineRule="auto"/>
              <w:ind w:firstLine="420" w:firstLineChars="20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坝址比选情况如下：</w:t>
            </w:r>
          </w:p>
          <w:p>
            <w:pPr>
              <w:pStyle w:val="8"/>
              <w:spacing w:line="360" w:lineRule="auto"/>
              <w:ind w:firstLine="480"/>
              <w:rPr>
                <w:rFonts w:hint="default" w:ascii="Times New Roman" w:hAnsi="Times New Roman" w:eastAsia="宋体" w:cs="Times New Roman"/>
                <w:b w:val="0"/>
                <w:bCs/>
                <w:color w:val="auto"/>
                <w:sz w:val="21"/>
                <w:szCs w:val="21"/>
                <w:highlight w:val="none"/>
                <w:lang w:bidi="en-US"/>
              </w:rPr>
            </w:pPr>
            <w:r>
              <w:rPr>
                <w:rFonts w:hint="default" w:ascii="Times New Roman" w:hAnsi="Times New Roman" w:eastAsia="宋体" w:cs="Times New Roman"/>
                <w:b w:val="0"/>
                <w:bCs/>
                <w:color w:val="auto"/>
                <w:sz w:val="21"/>
                <w:szCs w:val="21"/>
                <w:highlight w:val="none"/>
                <w:lang w:bidi="en-US"/>
              </w:rPr>
              <w:t>对上、下坝线分别从水库条件、地形地质条件、工程布置条件、淹没指标、施工条件和经济指标等各方面进行比较选择，由于各坝线方案补水工程、灌区工程布置基本相同，因此不纳入比较范畴。</w:t>
            </w:r>
          </w:p>
          <w:p>
            <w:pPr>
              <w:pStyle w:val="99"/>
              <w:spacing w:line="360" w:lineRule="auto"/>
              <w:ind w:firstLine="482"/>
              <w:rPr>
                <w:rFonts w:hint="default"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1）水库条件比较</w:t>
            </w:r>
          </w:p>
          <w:p>
            <w:pPr>
              <w:pStyle w:val="99"/>
              <w:spacing w:line="360" w:lineRule="auto"/>
              <w:ind w:firstLine="480"/>
              <w:rPr>
                <w:rFonts w:hint="default" w:ascii="Times New Roman" w:hAnsi="Times New Roman" w:eastAsia="宋体" w:cs="Times New Roman"/>
                <w:b w:val="0"/>
                <w:bCs/>
                <w:color w:val="auto"/>
                <w:sz w:val="21"/>
                <w:szCs w:val="21"/>
                <w:highlight w:val="none"/>
                <w:lang w:bidi="en-US"/>
              </w:rPr>
            </w:pPr>
            <w:r>
              <w:rPr>
                <w:rFonts w:hint="default" w:ascii="Times New Roman" w:hAnsi="Times New Roman" w:eastAsia="宋体" w:cs="Times New Roman"/>
                <w:b w:val="0"/>
                <w:bCs/>
                <w:color w:val="auto"/>
                <w:sz w:val="21"/>
                <w:szCs w:val="21"/>
                <w:highlight w:val="none"/>
                <w:lang w:bidi="en-US"/>
              </w:rPr>
              <w:t>上、下坝线相距约70m，集水面积无明显差别，均为1.57km</w:t>
            </w:r>
            <w:r>
              <w:rPr>
                <w:rFonts w:hint="default" w:ascii="Times New Roman" w:hAnsi="Times New Roman" w:eastAsia="宋体" w:cs="Times New Roman"/>
                <w:b w:val="0"/>
                <w:bCs/>
                <w:color w:val="auto"/>
                <w:sz w:val="21"/>
                <w:szCs w:val="21"/>
                <w:highlight w:val="none"/>
                <w:vertAlign w:val="superscript"/>
                <w:lang w:bidi="en-US"/>
              </w:rPr>
              <w:t>2</w:t>
            </w:r>
            <w:r>
              <w:rPr>
                <w:rFonts w:hint="default" w:ascii="Times New Roman" w:hAnsi="Times New Roman" w:eastAsia="宋体" w:cs="Times New Roman"/>
                <w:b w:val="0"/>
                <w:bCs/>
                <w:color w:val="auto"/>
                <w:sz w:val="21"/>
                <w:szCs w:val="21"/>
                <w:highlight w:val="none"/>
                <w:lang w:bidi="en-US"/>
              </w:rPr>
              <w:t>，主要对成库条件进行比较。</w:t>
            </w:r>
          </w:p>
          <w:p>
            <w:pPr>
              <w:spacing w:line="360" w:lineRule="auto"/>
              <w:ind w:firstLine="0" w:firstLine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表</w:t>
            </w:r>
            <w:r>
              <w:rPr>
                <w:rFonts w:hint="eastAsia" w:ascii="Times New Roman" w:hAnsi="Times New Roman" w:eastAsia="宋体" w:cs="Times New Roman"/>
                <w:b w:val="0"/>
                <w:bCs/>
                <w:color w:val="auto"/>
                <w:sz w:val="21"/>
                <w:szCs w:val="21"/>
                <w:highlight w:val="none"/>
                <w:lang w:val="en-US" w:eastAsia="zh-CN"/>
              </w:rPr>
              <w:t>4</w:t>
            </w:r>
            <w:r>
              <w:rPr>
                <w:rFonts w:hint="default" w:ascii="Times New Roman" w:hAnsi="Times New Roman" w:eastAsia="宋体" w:cs="Times New Roman"/>
                <w:b w:val="0"/>
                <w:bCs/>
                <w:color w:val="auto"/>
                <w:sz w:val="21"/>
                <w:szCs w:val="21"/>
                <w:highlight w:val="none"/>
              </w:rPr>
              <w:t>-1   上坝线库容曲线表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6"/>
              <w:gridCol w:w="2687"/>
              <w:gridCol w:w="2323"/>
              <w:gridCol w:w="2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988"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水位（m）</w:t>
                  </w:r>
                </w:p>
              </w:tc>
              <w:tc>
                <w:tcPr>
                  <w:tcW w:w="147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库容（万m</w:t>
                  </w:r>
                  <w:r>
                    <w:rPr>
                      <w:rFonts w:hint="default" w:ascii="Times New Roman" w:hAnsi="Times New Roman" w:eastAsia="宋体" w:cs="Times New Roman"/>
                      <w:b w:val="0"/>
                      <w:bCs/>
                      <w:color w:val="auto"/>
                      <w:kern w:val="0"/>
                      <w:sz w:val="21"/>
                      <w:szCs w:val="21"/>
                      <w:highlight w:val="none"/>
                      <w:vertAlign w:val="superscript"/>
                    </w:rPr>
                    <w:t>3</w:t>
                  </w:r>
                  <w:r>
                    <w:rPr>
                      <w:rFonts w:hint="default" w:ascii="Times New Roman" w:hAnsi="Times New Roman" w:eastAsia="宋体" w:cs="Times New Roman"/>
                      <w:b w:val="0"/>
                      <w:bCs/>
                      <w:color w:val="auto"/>
                      <w:kern w:val="0"/>
                      <w:sz w:val="21"/>
                      <w:szCs w:val="21"/>
                      <w:highlight w:val="none"/>
                    </w:rPr>
                    <w:t>）</w:t>
                  </w:r>
                </w:p>
              </w:tc>
              <w:tc>
                <w:tcPr>
                  <w:tcW w:w="1271"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水位（m）</w:t>
                  </w:r>
                </w:p>
              </w:tc>
              <w:tc>
                <w:tcPr>
                  <w:tcW w:w="1271"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库容（万m</w:t>
                  </w:r>
                  <w:r>
                    <w:rPr>
                      <w:rFonts w:hint="default" w:ascii="Times New Roman" w:hAnsi="Times New Roman" w:eastAsia="宋体" w:cs="Times New Roman"/>
                      <w:b w:val="0"/>
                      <w:bCs/>
                      <w:color w:val="auto"/>
                      <w:kern w:val="0"/>
                      <w:sz w:val="21"/>
                      <w:szCs w:val="21"/>
                      <w:highlight w:val="none"/>
                      <w:vertAlign w:val="superscript"/>
                    </w:rPr>
                    <w:t>3</w:t>
                  </w:r>
                  <w:r>
                    <w:rPr>
                      <w:rFonts w:hint="default" w:ascii="Times New Roman" w:hAnsi="Times New Roman" w:eastAsia="宋体" w:cs="Times New Roman"/>
                      <w:b w:val="0"/>
                      <w:bCs/>
                      <w:color w:val="auto"/>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88"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585</w:t>
                  </w:r>
                </w:p>
              </w:tc>
              <w:tc>
                <w:tcPr>
                  <w:tcW w:w="147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0</w:t>
                  </w:r>
                </w:p>
              </w:tc>
              <w:tc>
                <w:tcPr>
                  <w:tcW w:w="1271"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600</w:t>
                  </w:r>
                </w:p>
              </w:tc>
              <w:tc>
                <w:tcPr>
                  <w:tcW w:w="1271"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59.18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88"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588</w:t>
                  </w:r>
                </w:p>
              </w:tc>
              <w:tc>
                <w:tcPr>
                  <w:tcW w:w="147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0.79</w:t>
                  </w:r>
                </w:p>
              </w:tc>
              <w:tc>
                <w:tcPr>
                  <w:tcW w:w="1271"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602</w:t>
                  </w:r>
                </w:p>
              </w:tc>
              <w:tc>
                <w:tcPr>
                  <w:tcW w:w="1271"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80.76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88"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590</w:t>
                  </w:r>
                </w:p>
              </w:tc>
              <w:tc>
                <w:tcPr>
                  <w:tcW w:w="147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3.37</w:t>
                  </w:r>
                </w:p>
              </w:tc>
              <w:tc>
                <w:tcPr>
                  <w:tcW w:w="1271"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604</w:t>
                  </w:r>
                </w:p>
              </w:tc>
              <w:tc>
                <w:tcPr>
                  <w:tcW w:w="1271"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106.52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88"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591</w:t>
                  </w:r>
                </w:p>
              </w:tc>
              <w:tc>
                <w:tcPr>
                  <w:tcW w:w="147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5.44</w:t>
                  </w:r>
                </w:p>
              </w:tc>
              <w:tc>
                <w:tcPr>
                  <w:tcW w:w="1271"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605</w:t>
                  </w:r>
                </w:p>
              </w:tc>
              <w:tc>
                <w:tcPr>
                  <w:tcW w:w="1271"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121.38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88"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592</w:t>
                  </w:r>
                </w:p>
              </w:tc>
              <w:tc>
                <w:tcPr>
                  <w:tcW w:w="147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7.99</w:t>
                  </w:r>
                </w:p>
              </w:tc>
              <w:tc>
                <w:tcPr>
                  <w:tcW w:w="1271"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606</w:t>
                  </w:r>
                </w:p>
              </w:tc>
              <w:tc>
                <w:tcPr>
                  <w:tcW w:w="1271"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137.64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88"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593</w:t>
                  </w:r>
                </w:p>
              </w:tc>
              <w:tc>
                <w:tcPr>
                  <w:tcW w:w="147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11.32</w:t>
                  </w:r>
                </w:p>
              </w:tc>
              <w:tc>
                <w:tcPr>
                  <w:tcW w:w="1271"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608</w:t>
                  </w:r>
                </w:p>
              </w:tc>
              <w:tc>
                <w:tcPr>
                  <w:tcW w:w="1271"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173.80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88"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594</w:t>
                  </w:r>
                </w:p>
              </w:tc>
              <w:tc>
                <w:tcPr>
                  <w:tcW w:w="147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15.67</w:t>
                  </w:r>
                </w:p>
              </w:tc>
              <w:tc>
                <w:tcPr>
                  <w:tcW w:w="1271"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609</w:t>
                  </w:r>
                </w:p>
              </w:tc>
              <w:tc>
                <w:tcPr>
                  <w:tcW w:w="1271"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193.74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88"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595</w:t>
                  </w:r>
                </w:p>
              </w:tc>
              <w:tc>
                <w:tcPr>
                  <w:tcW w:w="147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21.02</w:t>
                  </w:r>
                </w:p>
              </w:tc>
              <w:tc>
                <w:tcPr>
                  <w:tcW w:w="1271"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610</w:t>
                  </w:r>
                </w:p>
              </w:tc>
              <w:tc>
                <w:tcPr>
                  <w:tcW w:w="1271"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214.93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88"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596</w:t>
                  </w:r>
                </w:p>
              </w:tc>
              <w:tc>
                <w:tcPr>
                  <w:tcW w:w="147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27.08</w:t>
                  </w:r>
                </w:p>
              </w:tc>
              <w:tc>
                <w:tcPr>
                  <w:tcW w:w="1271"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612</w:t>
                  </w:r>
                </w:p>
              </w:tc>
              <w:tc>
                <w:tcPr>
                  <w:tcW w:w="1271"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261.20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88"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598</w:t>
                  </w:r>
                </w:p>
              </w:tc>
              <w:tc>
                <w:tcPr>
                  <w:tcW w:w="147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41.35</w:t>
                  </w:r>
                </w:p>
              </w:tc>
              <w:tc>
                <w:tcPr>
                  <w:tcW w:w="1271"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614</w:t>
                  </w:r>
                </w:p>
              </w:tc>
              <w:tc>
                <w:tcPr>
                  <w:tcW w:w="1271"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313.13</w:t>
                  </w:r>
                </w:p>
              </w:tc>
            </w:tr>
          </w:tbl>
          <w:p>
            <w:pPr>
              <w:spacing w:line="360" w:lineRule="auto"/>
              <w:ind w:firstLine="0" w:firstLine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表</w:t>
            </w:r>
            <w:r>
              <w:rPr>
                <w:rFonts w:hint="eastAsia" w:ascii="Times New Roman" w:hAnsi="Times New Roman" w:eastAsia="宋体" w:cs="Times New Roman"/>
                <w:b w:val="0"/>
                <w:bCs/>
                <w:color w:val="auto"/>
                <w:sz w:val="21"/>
                <w:szCs w:val="21"/>
                <w:highlight w:val="none"/>
                <w:lang w:val="en-US" w:eastAsia="zh-CN"/>
              </w:rPr>
              <w:t>4</w:t>
            </w:r>
            <w:r>
              <w:rPr>
                <w:rFonts w:hint="default" w:ascii="Times New Roman" w:hAnsi="Times New Roman" w:eastAsia="宋体" w:cs="Times New Roman"/>
                <w:b w:val="0"/>
                <w:bCs/>
                <w:color w:val="auto"/>
                <w:sz w:val="21"/>
                <w:szCs w:val="21"/>
                <w:highlight w:val="none"/>
              </w:rPr>
              <w:t>-2   下坝线库容曲线表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1"/>
              <w:gridCol w:w="2585"/>
              <w:gridCol w:w="2173"/>
              <w:gridCol w:w="2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5"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水位（m）</w:t>
                  </w:r>
                </w:p>
              </w:tc>
              <w:tc>
                <w:tcPr>
                  <w:tcW w:w="1414"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库容（万m</w:t>
                  </w:r>
                  <w:r>
                    <w:rPr>
                      <w:rFonts w:hint="default" w:ascii="Times New Roman" w:hAnsi="Times New Roman" w:eastAsia="宋体" w:cs="Times New Roman"/>
                      <w:b w:val="0"/>
                      <w:bCs/>
                      <w:color w:val="auto"/>
                      <w:kern w:val="0"/>
                      <w:sz w:val="21"/>
                      <w:szCs w:val="21"/>
                      <w:highlight w:val="none"/>
                      <w:vertAlign w:val="superscript"/>
                    </w:rPr>
                    <w:t>3</w:t>
                  </w:r>
                  <w:r>
                    <w:rPr>
                      <w:rFonts w:hint="default" w:ascii="Times New Roman" w:hAnsi="Times New Roman" w:eastAsia="宋体" w:cs="Times New Roman"/>
                      <w:b w:val="0"/>
                      <w:bCs/>
                      <w:color w:val="auto"/>
                      <w:kern w:val="0"/>
                      <w:sz w:val="21"/>
                      <w:szCs w:val="21"/>
                      <w:highlight w:val="none"/>
                    </w:rPr>
                    <w:t>）</w:t>
                  </w:r>
                </w:p>
              </w:tc>
              <w:tc>
                <w:tcPr>
                  <w:tcW w:w="1189"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水位（m）</w:t>
                  </w:r>
                </w:p>
              </w:tc>
              <w:tc>
                <w:tcPr>
                  <w:tcW w:w="1412"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库容（万m</w:t>
                  </w:r>
                  <w:r>
                    <w:rPr>
                      <w:rFonts w:hint="default" w:ascii="Times New Roman" w:hAnsi="Times New Roman" w:eastAsia="宋体" w:cs="Times New Roman"/>
                      <w:b w:val="0"/>
                      <w:bCs/>
                      <w:color w:val="auto"/>
                      <w:kern w:val="0"/>
                      <w:sz w:val="21"/>
                      <w:szCs w:val="21"/>
                      <w:highlight w:val="none"/>
                      <w:vertAlign w:val="superscript"/>
                    </w:rPr>
                    <w:t>3</w:t>
                  </w:r>
                  <w:r>
                    <w:rPr>
                      <w:rFonts w:hint="default" w:ascii="Times New Roman" w:hAnsi="Times New Roman" w:eastAsia="宋体" w:cs="Times New Roman"/>
                      <w:b w:val="0"/>
                      <w:bCs/>
                      <w:color w:val="auto"/>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85"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585</w:t>
                  </w:r>
                </w:p>
              </w:tc>
              <w:tc>
                <w:tcPr>
                  <w:tcW w:w="1414"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0.00 </w:t>
                  </w:r>
                </w:p>
              </w:tc>
              <w:tc>
                <w:tcPr>
                  <w:tcW w:w="118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600 </w:t>
                  </w:r>
                </w:p>
              </w:tc>
              <w:tc>
                <w:tcPr>
                  <w:tcW w:w="1412"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66.13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85"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588</w:t>
                  </w:r>
                </w:p>
              </w:tc>
              <w:tc>
                <w:tcPr>
                  <w:tcW w:w="1414"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1.08 </w:t>
                  </w:r>
                </w:p>
              </w:tc>
              <w:tc>
                <w:tcPr>
                  <w:tcW w:w="118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602 </w:t>
                  </w:r>
                </w:p>
              </w:tc>
              <w:tc>
                <w:tcPr>
                  <w:tcW w:w="1412"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89.16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85"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590</w:t>
                  </w:r>
                </w:p>
              </w:tc>
              <w:tc>
                <w:tcPr>
                  <w:tcW w:w="1414"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4.38 </w:t>
                  </w:r>
                </w:p>
              </w:tc>
              <w:tc>
                <w:tcPr>
                  <w:tcW w:w="118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604 </w:t>
                  </w:r>
                </w:p>
              </w:tc>
              <w:tc>
                <w:tcPr>
                  <w:tcW w:w="1412"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116.43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85"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591</w:t>
                  </w:r>
                </w:p>
              </w:tc>
              <w:tc>
                <w:tcPr>
                  <w:tcW w:w="1414"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6.90 </w:t>
                  </w:r>
                </w:p>
              </w:tc>
              <w:tc>
                <w:tcPr>
                  <w:tcW w:w="118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605 </w:t>
                  </w:r>
                </w:p>
              </w:tc>
              <w:tc>
                <w:tcPr>
                  <w:tcW w:w="1412"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132.08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85"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592</w:t>
                  </w:r>
                </w:p>
              </w:tc>
              <w:tc>
                <w:tcPr>
                  <w:tcW w:w="1414"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9.98 </w:t>
                  </w:r>
                </w:p>
              </w:tc>
              <w:tc>
                <w:tcPr>
                  <w:tcW w:w="118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606 </w:t>
                  </w:r>
                </w:p>
              </w:tc>
              <w:tc>
                <w:tcPr>
                  <w:tcW w:w="1412"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149.16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85"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593</w:t>
                  </w:r>
                </w:p>
              </w:tc>
              <w:tc>
                <w:tcPr>
                  <w:tcW w:w="1414"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13.86 </w:t>
                  </w:r>
                </w:p>
              </w:tc>
              <w:tc>
                <w:tcPr>
                  <w:tcW w:w="118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608 </w:t>
                  </w:r>
                </w:p>
              </w:tc>
              <w:tc>
                <w:tcPr>
                  <w:tcW w:w="1412"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187.01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85"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594</w:t>
                  </w:r>
                </w:p>
              </w:tc>
              <w:tc>
                <w:tcPr>
                  <w:tcW w:w="1414"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18.79 </w:t>
                  </w:r>
                </w:p>
              </w:tc>
              <w:tc>
                <w:tcPr>
                  <w:tcW w:w="118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609 </w:t>
                  </w:r>
                </w:p>
              </w:tc>
              <w:tc>
                <w:tcPr>
                  <w:tcW w:w="1412"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207.82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85"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595</w:t>
                  </w:r>
                </w:p>
              </w:tc>
              <w:tc>
                <w:tcPr>
                  <w:tcW w:w="1414"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24.72 </w:t>
                  </w:r>
                </w:p>
              </w:tc>
              <w:tc>
                <w:tcPr>
                  <w:tcW w:w="118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610 </w:t>
                  </w:r>
                </w:p>
              </w:tc>
              <w:tc>
                <w:tcPr>
                  <w:tcW w:w="1412"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229.89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85"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596</w:t>
                  </w:r>
                </w:p>
              </w:tc>
              <w:tc>
                <w:tcPr>
                  <w:tcW w:w="1414"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31.40 </w:t>
                  </w:r>
                </w:p>
              </w:tc>
              <w:tc>
                <w:tcPr>
                  <w:tcW w:w="118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612 </w:t>
                  </w:r>
                </w:p>
              </w:tc>
              <w:tc>
                <w:tcPr>
                  <w:tcW w:w="1412"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278.06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85"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598</w:t>
                  </w:r>
                </w:p>
              </w:tc>
              <w:tc>
                <w:tcPr>
                  <w:tcW w:w="1414"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46.95</w:t>
                  </w:r>
                </w:p>
              </w:tc>
              <w:tc>
                <w:tcPr>
                  <w:tcW w:w="118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614</w:t>
                  </w:r>
                </w:p>
              </w:tc>
              <w:tc>
                <w:tcPr>
                  <w:tcW w:w="1412"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332.06</w:t>
                  </w:r>
                </w:p>
              </w:tc>
            </w:tr>
          </w:tbl>
          <w:p>
            <w:pPr>
              <w:pStyle w:val="8"/>
              <w:autoSpaceDE w:val="0"/>
              <w:autoSpaceDN w:val="0"/>
              <w:spacing w:line="360" w:lineRule="auto"/>
              <w:ind w:firstLine="480"/>
              <w:rPr>
                <w:rFonts w:hint="default" w:ascii="Times New Roman" w:hAnsi="Times New Roman" w:eastAsia="宋体" w:cs="Times New Roman"/>
                <w:b w:val="0"/>
                <w:bCs/>
                <w:color w:val="auto"/>
                <w:sz w:val="21"/>
                <w:szCs w:val="21"/>
                <w:highlight w:val="none"/>
                <w:lang w:bidi="en-US"/>
              </w:rPr>
            </w:pPr>
            <w:r>
              <w:rPr>
                <w:rFonts w:hint="default" w:ascii="Times New Roman" w:hAnsi="Times New Roman" w:eastAsia="宋体" w:cs="Times New Roman"/>
                <w:b w:val="0"/>
                <w:bCs/>
                <w:color w:val="auto"/>
                <w:sz w:val="21"/>
                <w:szCs w:val="21"/>
                <w:highlight w:val="none"/>
                <w:lang w:bidi="en-US"/>
              </w:rPr>
              <w:t>上坝线正常蓄水位609.00m，对应库容193.74万m</w:t>
            </w:r>
            <w:r>
              <w:rPr>
                <w:rFonts w:hint="default" w:ascii="Times New Roman" w:hAnsi="Times New Roman" w:eastAsia="宋体" w:cs="Times New Roman"/>
                <w:b w:val="0"/>
                <w:bCs/>
                <w:color w:val="auto"/>
                <w:sz w:val="21"/>
                <w:szCs w:val="21"/>
                <w:highlight w:val="none"/>
                <w:vertAlign w:val="superscript"/>
                <w:lang w:bidi="en-US"/>
              </w:rPr>
              <w:t>3</w:t>
            </w:r>
            <w:r>
              <w:rPr>
                <w:rFonts w:hint="default" w:ascii="Times New Roman" w:hAnsi="Times New Roman" w:eastAsia="宋体" w:cs="Times New Roman"/>
                <w:b w:val="0"/>
                <w:bCs/>
                <w:color w:val="auto"/>
                <w:sz w:val="21"/>
                <w:szCs w:val="21"/>
                <w:highlight w:val="none"/>
                <w:lang w:bidi="en-US"/>
              </w:rPr>
              <w:t>，死水位591.00m，死库容5.44万m</w:t>
            </w:r>
            <w:r>
              <w:rPr>
                <w:rFonts w:hint="default" w:ascii="Times New Roman" w:hAnsi="Times New Roman" w:eastAsia="宋体" w:cs="Times New Roman"/>
                <w:b w:val="0"/>
                <w:bCs/>
                <w:color w:val="auto"/>
                <w:sz w:val="21"/>
                <w:szCs w:val="21"/>
                <w:highlight w:val="none"/>
                <w:vertAlign w:val="superscript"/>
                <w:lang w:bidi="en-US"/>
              </w:rPr>
              <w:t>3</w:t>
            </w:r>
            <w:r>
              <w:rPr>
                <w:rFonts w:hint="default" w:ascii="Times New Roman" w:hAnsi="Times New Roman" w:eastAsia="宋体" w:cs="Times New Roman"/>
                <w:b w:val="0"/>
                <w:bCs/>
                <w:color w:val="auto"/>
                <w:sz w:val="21"/>
                <w:szCs w:val="21"/>
                <w:highlight w:val="none"/>
                <w:lang w:bidi="en-US"/>
              </w:rPr>
              <w:t>，兴利库容188.30万m</w:t>
            </w:r>
            <w:r>
              <w:rPr>
                <w:rFonts w:hint="default" w:ascii="Times New Roman" w:hAnsi="Times New Roman" w:eastAsia="宋体" w:cs="Times New Roman"/>
                <w:b w:val="0"/>
                <w:bCs/>
                <w:color w:val="auto"/>
                <w:sz w:val="21"/>
                <w:szCs w:val="21"/>
                <w:highlight w:val="none"/>
                <w:vertAlign w:val="superscript"/>
                <w:lang w:bidi="en-US"/>
              </w:rPr>
              <w:t>3</w:t>
            </w:r>
            <w:r>
              <w:rPr>
                <w:rFonts w:hint="default" w:ascii="Times New Roman" w:hAnsi="Times New Roman" w:eastAsia="宋体" w:cs="Times New Roman"/>
                <w:b w:val="0"/>
                <w:bCs/>
                <w:color w:val="auto"/>
                <w:sz w:val="21"/>
                <w:szCs w:val="21"/>
                <w:highlight w:val="none"/>
                <w:lang w:bidi="en-US"/>
              </w:rPr>
              <w:t>；下坝线在满足兴利库容的原则下，正常蓄水位可略降低，取下坝线正常蓄水位608.50m，对应库容197.25万m</w:t>
            </w:r>
            <w:r>
              <w:rPr>
                <w:rFonts w:hint="default" w:ascii="Times New Roman" w:hAnsi="Times New Roman" w:eastAsia="宋体" w:cs="Times New Roman"/>
                <w:b w:val="0"/>
                <w:bCs/>
                <w:color w:val="auto"/>
                <w:sz w:val="21"/>
                <w:szCs w:val="21"/>
                <w:highlight w:val="none"/>
                <w:vertAlign w:val="superscript"/>
                <w:lang w:bidi="en-US"/>
              </w:rPr>
              <w:t>3</w:t>
            </w:r>
            <w:r>
              <w:rPr>
                <w:rFonts w:hint="default" w:ascii="Times New Roman" w:hAnsi="Times New Roman" w:eastAsia="宋体" w:cs="Times New Roman"/>
                <w:b w:val="0"/>
                <w:bCs/>
                <w:color w:val="auto"/>
                <w:sz w:val="21"/>
                <w:szCs w:val="21"/>
                <w:highlight w:val="none"/>
                <w:lang w:bidi="en-US"/>
              </w:rPr>
              <w:t>，死水位591.00m，死库容6.90万m</w:t>
            </w:r>
            <w:r>
              <w:rPr>
                <w:rFonts w:hint="default" w:ascii="Times New Roman" w:hAnsi="Times New Roman" w:eastAsia="宋体" w:cs="Times New Roman"/>
                <w:b w:val="0"/>
                <w:bCs/>
                <w:color w:val="auto"/>
                <w:sz w:val="21"/>
                <w:szCs w:val="21"/>
                <w:highlight w:val="none"/>
                <w:vertAlign w:val="superscript"/>
                <w:lang w:bidi="en-US"/>
              </w:rPr>
              <w:t>3</w:t>
            </w:r>
            <w:r>
              <w:rPr>
                <w:rFonts w:hint="default" w:ascii="Times New Roman" w:hAnsi="Times New Roman" w:eastAsia="宋体" w:cs="Times New Roman"/>
                <w:b w:val="0"/>
                <w:bCs/>
                <w:color w:val="auto"/>
                <w:sz w:val="21"/>
                <w:szCs w:val="21"/>
                <w:highlight w:val="none"/>
                <w:lang w:bidi="en-US"/>
              </w:rPr>
              <w:t>，兴利库容190.35万m</w:t>
            </w:r>
            <w:r>
              <w:rPr>
                <w:rFonts w:hint="default" w:ascii="Times New Roman" w:hAnsi="Times New Roman" w:eastAsia="宋体" w:cs="Times New Roman"/>
                <w:b w:val="0"/>
                <w:bCs/>
                <w:color w:val="auto"/>
                <w:sz w:val="21"/>
                <w:szCs w:val="21"/>
                <w:highlight w:val="none"/>
                <w:vertAlign w:val="superscript"/>
                <w:lang w:bidi="en-US"/>
              </w:rPr>
              <w:t>3</w:t>
            </w:r>
            <w:r>
              <w:rPr>
                <w:rFonts w:hint="default" w:ascii="Times New Roman" w:hAnsi="Times New Roman" w:eastAsia="宋体" w:cs="Times New Roman"/>
                <w:b w:val="0"/>
                <w:bCs/>
                <w:color w:val="auto"/>
                <w:sz w:val="21"/>
                <w:szCs w:val="21"/>
                <w:highlight w:val="none"/>
                <w:lang w:bidi="en-US"/>
              </w:rPr>
              <w:t>。</w:t>
            </w:r>
          </w:p>
          <w:p>
            <w:pPr>
              <w:pStyle w:val="8"/>
              <w:spacing w:line="360" w:lineRule="auto"/>
              <w:ind w:firstLine="480"/>
              <w:rPr>
                <w:rFonts w:hint="default" w:ascii="Times New Roman" w:hAnsi="Times New Roman" w:eastAsia="宋体" w:cs="Times New Roman"/>
                <w:b w:val="0"/>
                <w:bCs/>
                <w:color w:val="auto"/>
                <w:sz w:val="21"/>
                <w:szCs w:val="21"/>
                <w:highlight w:val="none"/>
                <w:lang w:bidi="en-US"/>
              </w:rPr>
            </w:pPr>
            <w:r>
              <w:rPr>
                <w:rFonts w:hint="default" w:ascii="Times New Roman" w:hAnsi="Times New Roman" w:eastAsia="宋体" w:cs="Times New Roman"/>
                <w:b w:val="0"/>
                <w:bCs/>
                <w:color w:val="auto"/>
                <w:sz w:val="21"/>
                <w:szCs w:val="21"/>
                <w:highlight w:val="none"/>
                <w:lang w:bidi="en-US"/>
              </w:rPr>
              <w:t>上、下坝线来水条件相同；下坝线因坝线后移，正常蓄水位略下降，总体差别不大，两坝线基本相当。</w:t>
            </w:r>
          </w:p>
          <w:p>
            <w:pPr>
              <w:pStyle w:val="99"/>
              <w:spacing w:line="360" w:lineRule="auto"/>
              <w:ind w:firstLine="482"/>
              <w:rPr>
                <w:rFonts w:hint="default"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eastAsia="zh-CN"/>
              </w:rPr>
              <w:t>（</w:t>
            </w:r>
            <w:r>
              <w:rPr>
                <w:rFonts w:hint="eastAsia" w:ascii="Times New Roman" w:hAnsi="Times New Roman" w:eastAsia="宋体" w:cs="Times New Roman"/>
                <w:b w:val="0"/>
                <w:bCs/>
                <w:color w:val="auto"/>
                <w:sz w:val="21"/>
                <w:szCs w:val="21"/>
                <w:highlight w:val="none"/>
                <w:lang w:val="en-US" w:eastAsia="zh-CN"/>
              </w:rPr>
              <w:t>2</w:t>
            </w:r>
            <w:r>
              <w:rPr>
                <w:rFonts w:hint="eastAsia"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地形地质条件比较</w:t>
            </w:r>
          </w:p>
          <w:p>
            <w:pPr>
              <w:pStyle w:val="103"/>
              <w:spacing w:line="360" w:lineRule="auto"/>
              <w:ind w:firstLine="365" w:firstLineChars="174"/>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上、下坝线相距70m，均以埋石混凝土重力坝为代表坝型。</w:t>
            </w:r>
          </w:p>
          <w:p>
            <w:pPr>
              <w:spacing w:line="360" w:lineRule="auto"/>
              <w:ind w:firstLine="0" w:firstLine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表</w:t>
            </w:r>
            <w:r>
              <w:rPr>
                <w:rFonts w:hint="eastAsia" w:ascii="Times New Roman" w:hAnsi="Times New Roman" w:eastAsia="宋体" w:cs="Times New Roman"/>
                <w:b w:val="0"/>
                <w:bCs/>
                <w:color w:val="auto"/>
                <w:sz w:val="21"/>
                <w:szCs w:val="21"/>
                <w:highlight w:val="none"/>
                <w:lang w:val="en-US" w:eastAsia="zh-CN"/>
              </w:rPr>
              <w:t>4</w:t>
            </w:r>
            <w:r>
              <w:rPr>
                <w:rFonts w:hint="default" w:ascii="Times New Roman" w:hAnsi="Times New Roman" w:eastAsia="宋体" w:cs="Times New Roman"/>
                <w:b w:val="0"/>
                <w:bCs/>
                <w:color w:val="auto"/>
                <w:sz w:val="21"/>
                <w:szCs w:val="21"/>
                <w:highlight w:val="none"/>
              </w:rPr>
              <w:t>-3   上、下坝线地形地质条件对比表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84"/>
              <w:gridCol w:w="3122"/>
              <w:gridCol w:w="3402"/>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12" w:type="pct"/>
                  <w:shd w:val="clear" w:color="auto" w:fill="auto"/>
                  <w:vAlign w:val="center"/>
                </w:tcPr>
                <w:p>
                  <w:pPr>
                    <w:pStyle w:val="96"/>
                    <w:spacing w:line="240" w:lineRule="auto"/>
                    <w:ind w:left="192" w:right="171"/>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项目</w:t>
                  </w:r>
                </w:p>
              </w:tc>
              <w:tc>
                <w:tcPr>
                  <w:tcW w:w="1708" w:type="pct"/>
                  <w:shd w:val="clear" w:color="auto" w:fill="auto"/>
                  <w:vAlign w:val="center"/>
                </w:tcPr>
                <w:p>
                  <w:pPr>
                    <w:pStyle w:val="96"/>
                    <w:spacing w:line="240" w:lineRule="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上坝线</w:t>
                  </w:r>
                </w:p>
              </w:tc>
              <w:tc>
                <w:tcPr>
                  <w:tcW w:w="1861" w:type="pct"/>
                  <w:shd w:val="clear" w:color="auto" w:fill="auto"/>
                  <w:vAlign w:val="center"/>
                </w:tcPr>
                <w:p>
                  <w:pPr>
                    <w:pStyle w:val="96"/>
                    <w:spacing w:line="240" w:lineRule="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下坝线</w:t>
                  </w:r>
                </w:p>
              </w:tc>
              <w:tc>
                <w:tcPr>
                  <w:tcW w:w="619" w:type="pct"/>
                  <w:shd w:val="clear" w:color="auto" w:fill="auto"/>
                  <w:vAlign w:val="center"/>
                </w:tcPr>
                <w:p>
                  <w:pPr>
                    <w:pStyle w:val="96"/>
                    <w:spacing w:line="240" w:lineRule="auto"/>
                    <w:ind w:left="209" w:right="193"/>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比较</w:t>
                  </w:r>
                </w:p>
                <w:p>
                  <w:pPr>
                    <w:pStyle w:val="96"/>
                    <w:spacing w:line="240" w:lineRule="auto"/>
                    <w:ind w:left="209" w:right="193"/>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12" w:type="pct"/>
                  <w:shd w:val="clear" w:color="auto" w:fill="auto"/>
                  <w:vAlign w:val="center"/>
                </w:tcPr>
                <w:p>
                  <w:pPr>
                    <w:pStyle w:val="96"/>
                    <w:spacing w:line="240" w:lineRule="auto"/>
                    <w:ind w:left="195" w:right="171"/>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地形</w:t>
                  </w:r>
                </w:p>
                <w:p>
                  <w:pPr>
                    <w:pStyle w:val="96"/>
                    <w:spacing w:line="240" w:lineRule="auto"/>
                    <w:ind w:left="195" w:right="171"/>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地貌</w:t>
                  </w:r>
                </w:p>
              </w:tc>
              <w:tc>
                <w:tcPr>
                  <w:tcW w:w="1708" w:type="pct"/>
                  <w:shd w:val="clear" w:color="auto" w:fill="auto"/>
                </w:tcPr>
                <w:p>
                  <w:pPr>
                    <w:spacing w:line="240" w:lineRule="auto"/>
                    <w:ind w:firstLine="0" w:firstLineChars="0"/>
                    <w:jc w:val="left"/>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 xml:space="preserve">对称“V”型河谷，河床宽50～60m，河床比降3.3%；左岸上游有1处冲沟，右岸为宽厚山体 </w:t>
                  </w:r>
                </w:p>
              </w:tc>
              <w:tc>
                <w:tcPr>
                  <w:tcW w:w="1861" w:type="pct"/>
                  <w:shd w:val="clear" w:color="auto" w:fill="auto"/>
                  <w:vAlign w:val="center"/>
                </w:tcPr>
                <w:p>
                  <w:pPr>
                    <w:spacing w:line="240" w:lineRule="auto"/>
                    <w:ind w:firstLine="0" w:firstLineChars="0"/>
                    <w:jc w:val="left"/>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对称“V”型河谷，河床宽50～60m，河床比降3.3%；左岸上游有1处冲沟，右坝肩有1处冲沟</w:t>
                  </w:r>
                </w:p>
              </w:tc>
              <w:tc>
                <w:tcPr>
                  <w:tcW w:w="619" w:type="pct"/>
                  <w:shd w:val="clear" w:color="auto" w:fill="auto"/>
                  <w:vAlign w:val="center"/>
                </w:tcPr>
                <w:p>
                  <w:pPr>
                    <w:pStyle w:val="96"/>
                    <w:spacing w:line="240" w:lineRule="auto"/>
                    <w:ind w:left="104" w:right="87"/>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上坝线</w:t>
                  </w:r>
                </w:p>
                <w:p>
                  <w:pPr>
                    <w:pStyle w:val="96"/>
                    <w:spacing w:line="240" w:lineRule="auto"/>
                    <w:ind w:left="104" w:right="87"/>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较优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12" w:type="pct"/>
                  <w:shd w:val="clear" w:color="auto" w:fill="auto"/>
                  <w:vAlign w:val="center"/>
                </w:tcPr>
                <w:p>
                  <w:pPr>
                    <w:pStyle w:val="96"/>
                    <w:tabs>
                      <w:tab w:val="left" w:pos="1126"/>
                    </w:tabs>
                    <w:spacing w:line="240" w:lineRule="auto"/>
                    <w:ind w:left="216"/>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地层岩性及坝基覆盖层</w:t>
                  </w:r>
                </w:p>
              </w:tc>
              <w:tc>
                <w:tcPr>
                  <w:tcW w:w="1708" w:type="pct"/>
                  <w:shd w:val="clear" w:color="auto" w:fill="auto"/>
                  <w:vAlign w:val="center"/>
                </w:tcPr>
                <w:p>
                  <w:pPr>
                    <w:pStyle w:val="96"/>
                    <w:spacing w:line="240" w:lineRule="auto"/>
                    <w:ind w:left="11" w:right="-15"/>
                    <w:jc w:val="left"/>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J</w:t>
                  </w:r>
                  <w:r>
                    <w:rPr>
                      <w:rFonts w:hint="default" w:ascii="Times New Roman" w:hAnsi="Times New Roman" w:eastAsia="宋体" w:cs="Times New Roman"/>
                      <w:b w:val="0"/>
                      <w:bCs/>
                      <w:color w:val="auto"/>
                      <w:sz w:val="21"/>
                      <w:szCs w:val="21"/>
                      <w:highlight w:val="none"/>
                      <w:vertAlign w:val="subscript"/>
                    </w:rPr>
                    <w:t>2s</w:t>
                  </w:r>
                  <w:r>
                    <w:rPr>
                      <w:rFonts w:hint="default" w:ascii="Times New Roman" w:hAnsi="Times New Roman" w:eastAsia="宋体" w:cs="Times New Roman"/>
                      <w:b w:val="0"/>
                      <w:bCs/>
                      <w:color w:val="auto"/>
                      <w:sz w:val="21"/>
                      <w:szCs w:val="21"/>
                      <w:highlight w:val="none"/>
                    </w:rPr>
                    <w:t>泥岩、砂质泥岩、砂岩，覆盖层厚3</w:t>
                  </w:r>
                  <w:r>
                    <w:rPr>
                      <w:rFonts w:hint="eastAsia" w:ascii="Times New Roman" w:hAnsi="Times New Roman"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4.5m</w:t>
                  </w:r>
                </w:p>
              </w:tc>
              <w:tc>
                <w:tcPr>
                  <w:tcW w:w="1861" w:type="pct"/>
                  <w:shd w:val="clear" w:color="auto" w:fill="auto"/>
                  <w:vAlign w:val="center"/>
                </w:tcPr>
                <w:p>
                  <w:pPr>
                    <w:pStyle w:val="96"/>
                    <w:spacing w:line="240" w:lineRule="auto"/>
                    <w:ind w:left="11" w:right="-15"/>
                    <w:jc w:val="left"/>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J</w:t>
                  </w:r>
                  <w:r>
                    <w:rPr>
                      <w:rFonts w:hint="default" w:ascii="Times New Roman" w:hAnsi="Times New Roman" w:eastAsia="宋体" w:cs="Times New Roman"/>
                      <w:b w:val="0"/>
                      <w:bCs/>
                      <w:color w:val="auto"/>
                      <w:sz w:val="21"/>
                      <w:szCs w:val="21"/>
                      <w:highlight w:val="none"/>
                      <w:vertAlign w:val="subscript"/>
                    </w:rPr>
                    <w:t>2s</w:t>
                  </w:r>
                  <w:r>
                    <w:rPr>
                      <w:rFonts w:hint="default" w:ascii="Times New Roman" w:hAnsi="Times New Roman" w:eastAsia="宋体" w:cs="Times New Roman"/>
                      <w:b w:val="0"/>
                      <w:bCs/>
                      <w:color w:val="auto"/>
                      <w:sz w:val="21"/>
                      <w:szCs w:val="21"/>
                      <w:highlight w:val="none"/>
                    </w:rPr>
                    <w:t>泥岩、砂质泥岩、砂岩，覆盖层厚3</w:t>
                  </w:r>
                  <w:r>
                    <w:rPr>
                      <w:rFonts w:hint="eastAsia" w:ascii="Times New Roman" w:hAnsi="Times New Roman"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4m</w:t>
                  </w:r>
                </w:p>
              </w:tc>
              <w:tc>
                <w:tcPr>
                  <w:tcW w:w="619" w:type="pct"/>
                  <w:shd w:val="clear" w:color="auto" w:fill="auto"/>
                  <w:vAlign w:val="center"/>
                </w:tcPr>
                <w:p>
                  <w:pPr>
                    <w:pStyle w:val="96"/>
                    <w:spacing w:line="240" w:lineRule="auto"/>
                    <w:ind w:left="104" w:right="87"/>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基本一致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12" w:type="pct"/>
                  <w:shd w:val="clear" w:color="auto" w:fill="auto"/>
                  <w:vAlign w:val="center"/>
                </w:tcPr>
                <w:p>
                  <w:pPr>
                    <w:pStyle w:val="96"/>
                    <w:spacing w:line="240" w:lineRule="auto"/>
                    <w:ind w:left="14" w:right="-15"/>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坝基、坝肩</w:t>
                  </w:r>
                </w:p>
                <w:p>
                  <w:pPr>
                    <w:pStyle w:val="96"/>
                    <w:spacing w:line="240" w:lineRule="auto"/>
                    <w:ind w:left="14" w:right="-15"/>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稳定</w:t>
                  </w:r>
                </w:p>
              </w:tc>
              <w:tc>
                <w:tcPr>
                  <w:tcW w:w="1708" w:type="pct"/>
                  <w:shd w:val="clear" w:color="auto" w:fill="auto"/>
                </w:tcPr>
                <w:p>
                  <w:pPr>
                    <w:spacing w:line="240" w:lineRule="auto"/>
                    <w:ind w:firstLine="0" w:firstLineChars="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无断裂构造，裂隙不发育，单斜构造，岩层产状为S45°E/NE∠7°，倾左岸下游</w:t>
                  </w:r>
                </w:p>
              </w:tc>
              <w:tc>
                <w:tcPr>
                  <w:tcW w:w="1861" w:type="pct"/>
                  <w:shd w:val="clear" w:color="auto" w:fill="auto"/>
                  <w:vAlign w:val="center"/>
                </w:tcPr>
                <w:p>
                  <w:pPr>
                    <w:spacing w:line="240" w:lineRule="auto"/>
                    <w:ind w:firstLine="0" w:firstLineChars="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无断裂构造，裂隙不发育，单斜构造，岩层产状为S45°E/NE∠7°，倾左岸下游</w:t>
                  </w:r>
                </w:p>
              </w:tc>
              <w:tc>
                <w:tcPr>
                  <w:tcW w:w="619" w:type="pct"/>
                  <w:shd w:val="clear" w:color="auto" w:fill="auto"/>
                  <w:vAlign w:val="center"/>
                </w:tcPr>
                <w:p>
                  <w:pPr>
                    <w:pStyle w:val="96"/>
                    <w:spacing w:line="240" w:lineRule="auto"/>
                    <w:ind w:left="209" w:right="87"/>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12" w:type="pct"/>
                  <w:shd w:val="clear" w:color="auto" w:fill="auto"/>
                  <w:vAlign w:val="center"/>
                </w:tcPr>
                <w:p>
                  <w:pPr>
                    <w:pStyle w:val="96"/>
                    <w:spacing w:line="240" w:lineRule="auto"/>
                    <w:ind w:left="195" w:right="171"/>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坝基</w:t>
                  </w:r>
                </w:p>
                <w:p>
                  <w:pPr>
                    <w:pStyle w:val="96"/>
                    <w:spacing w:line="240" w:lineRule="auto"/>
                    <w:ind w:left="195" w:right="171"/>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持力层</w:t>
                  </w:r>
                </w:p>
              </w:tc>
              <w:tc>
                <w:tcPr>
                  <w:tcW w:w="1708" w:type="pct"/>
                  <w:shd w:val="clear" w:color="auto" w:fill="auto"/>
                  <w:vAlign w:val="center"/>
                </w:tcPr>
                <w:p>
                  <w:pPr>
                    <w:pStyle w:val="96"/>
                    <w:spacing w:line="240" w:lineRule="auto"/>
                    <w:ind w:left="11"/>
                    <w:jc w:val="left"/>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弱风化砂质泥岩中下部</w:t>
                  </w:r>
                </w:p>
              </w:tc>
              <w:tc>
                <w:tcPr>
                  <w:tcW w:w="1861" w:type="pct"/>
                  <w:shd w:val="clear" w:color="auto" w:fill="auto"/>
                  <w:vAlign w:val="center"/>
                </w:tcPr>
                <w:p>
                  <w:pPr>
                    <w:pStyle w:val="96"/>
                    <w:spacing w:line="240" w:lineRule="auto"/>
                    <w:ind w:left="11"/>
                    <w:jc w:val="left"/>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弱风化砂质泥岩中下部</w:t>
                  </w:r>
                </w:p>
              </w:tc>
              <w:tc>
                <w:tcPr>
                  <w:tcW w:w="619" w:type="pct"/>
                  <w:shd w:val="clear" w:color="auto" w:fill="auto"/>
                  <w:vAlign w:val="center"/>
                </w:tcPr>
                <w:p>
                  <w:pPr>
                    <w:pStyle w:val="96"/>
                    <w:spacing w:line="240" w:lineRule="auto"/>
                    <w:ind w:left="209" w:right="193"/>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12" w:type="pct"/>
                  <w:shd w:val="clear" w:color="auto" w:fill="auto"/>
                  <w:vAlign w:val="center"/>
                </w:tcPr>
                <w:p>
                  <w:pPr>
                    <w:pStyle w:val="96"/>
                    <w:spacing w:line="240" w:lineRule="auto"/>
                    <w:ind w:left="195" w:right="171"/>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岩土体透水带厚度</w:t>
                  </w:r>
                </w:p>
                <w:p>
                  <w:pPr>
                    <w:pStyle w:val="96"/>
                    <w:spacing w:line="240" w:lineRule="auto"/>
                    <w:ind w:left="195" w:right="171"/>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（m）</w:t>
                  </w:r>
                </w:p>
              </w:tc>
              <w:tc>
                <w:tcPr>
                  <w:tcW w:w="1708" w:type="pct"/>
                  <w:shd w:val="clear" w:color="auto" w:fill="auto"/>
                  <w:vAlign w:val="center"/>
                </w:tcPr>
                <w:p>
                  <w:pPr>
                    <w:pStyle w:val="96"/>
                    <w:spacing w:line="240" w:lineRule="auto"/>
                    <w:ind w:left="11"/>
                    <w:jc w:val="left"/>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左坝肩：14.9m</w:t>
                  </w:r>
                </w:p>
                <w:p>
                  <w:pPr>
                    <w:pStyle w:val="96"/>
                    <w:spacing w:line="240" w:lineRule="auto"/>
                    <w:ind w:left="11"/>
                    <w:jc w:val="left"/>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河床：17.6m</w:t>
                  </w:r>
                </w:p>
                <w:p>
                  <w:pPr>
                    <w:pStyle w:val="96"/>
                    <w:spacing w:line="240" w:lineRule="auto"/>
                    <w:ind w:left="11"/>
                    <w:jc w:val="left"/>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右坝肩：22.9m</w:t>
                  </w:r>
                </w:p>
              </w:tc>
              <w:tc>
                <w:tcPr>
                  <w:tcW w:w="1861" w:type="pct"/>
                  <w:shd w:val="clear" w:color="auto" w:fill="auto"/>
                  <w:vAlign w:val="center"/>
                </w:tcPr>
                <w:p>
                  <w:pPr>
                    <w:pStyle w:val="96"/>
                    <w:spacing w:line="240" w:lineRule="auto"/>
                    <w:ind w:left="11"/>
                    <w:jc w:val="left"/>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左坝肩：18.2m</w:t>
                  </w:r>
                </w:p>
                <w:p>
                  <w:pPr>
                    <w:pStyle w:val="96"/>
                    <w:spacing w:line="240" w:lineRule="auto"/>
                    <w:ind w:left="11"/>
                    <w:jc w:val="left"/>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河床：18.1m</w:t>
                  </w:r>
                </w:p>
                <w:p>
                  <w:pPr>
                    <w:pStyle w:val="96"/>
                    <w:spacing w:line="240" w:lineRule="auto"/>
                    <w:ind w:left="11"/>
                    <w:jc w:val="left"/>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右坝肩：22.5m</w:t>
                  </w:r>
                </w:p>
              </w:tc>
              <w:tc>
                <w:tcPr>
                  <w:tcW w:w="619" w:type="pct"/>
                  <w:shd w:val="clear" w:color="auto" w:fill="auto"/>
                  <w:vAlign w:val="center"/>
                </w:tcPr>
                <w:p>
                  <w:pPr>
                    <w:pStyle w:val="96"/>
                    <w:spacing w:line="240" w:lineRule="auto"/>
                    <w:ind w:left="104" w:right="87"/>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基本一致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812" w:type="pct"/>
                  <w:shd w:val="clear" w:color="auto" w:fill="auto"/>
                  <w:vAlign w:val="center"/>
                </w:tcPr>
                <w:p>
                  <w:pPr>
                    <w:pStyle w:val="96"/>
                    <w:spacing w:line="240" w:lineRule="auto"/>
                    <w:ind w:left="195" w:right="171"/>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防渗帷幕及边界</w:t>
                  </w:r>
                </w:p>
              </w:tc>
              <w:tc>
                <w:tcPr>
                  <w:tcW w:w="1708" w:type="pct"/>
                  <w:shd w:val="clear" w:color="auto" w:fill="auto"/>
                  <w:vAlign w:val="center"/>
                </w:tcPr>
                <w:p>
                  <w:pPr>
                    <w:pStyle w:val="96"/>
                    <w:spacing w:line="240" w:lineRule="auto"/>
                    <w:ind w:left="11"/>
                    <w:jc w:val="left"/>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防渗帷幕平面长280m</w:t>
                  </w:r>
                </w:p>
              </w:tc>
              <w:tc>
                <w:tcPr>
                  <w:tcW w:w="1861" w:type="pct"/>
                  <w:shd w:val="clear" w:color="auto" w:fill="auto"/>
                  <w:vAlign w:val="center"/>
                </w:tcPr>
                <w:p>
                  <w:pPr>
                    <w:pStyle w:val="96"/>
                    <w:spacing w:line="240" w:lineRule="auto"/>
                    <w:ind w:left="11"/>
                    <w:jc w:val="left"/>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防渗帷幕长275m</w:t>
                  </w:r>
                </w:p>
              </w:tc>
              <w:tc>
                <w:tcPr>
                  <w:tcW w:w="619" w:type="pct"/>
                  <w:shd w:val="clear" w:color="auto" w:fill="auto"/>
                  <w:vAlign w:val="center"/>
                </w:tcPr>
                <w:p>
                  <w:pPr>
                    <w:pStyle w:val="96"/>
                    <w:spacing w:line="240" w:lineRule="auto"/>
                    <w:ind w:left="209" w:right="193"/>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一致</w:t>
                  </w:r>
                </w:p>
              </w:tc>
            </w:tr>
          </w:tbl>
          <w:p>
            <w:pPr>
              <w:pStyle w:val="103"/>
              <w:spacing w:line="360" w:lineRule="auto"/>
              <w:ind w:firstLine="365" w:firstLineChars="174"/>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由上表可知，上、下坝线均具备建坝条件，地形地貌、地质构造、风化带厚度、覆盖层厚度基本一致，上坝线岸坡高程相对较高，山体更为宽厚；下坝线大坝轴线长度较长。根据综合比选后，地质认为上坝线较优。</w:t>
            </w:r>
          </w:p>
          <w:p>
            <w:pPr>
              <w:pStyle w:val="99"/>
              <w:spacing w:line="360" w:lineRule="auto"/>
              <w:ind w:firstLine="482"/>
              <w:rPr>
                <w:rFonts w:hint="default"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eastAsia="zh-CN"/>
              </w:rPr>
              <w:t>（</w:t>
            </w:r>
            <w:r>
              <w:rPr>
                <w:rFonts w:hint="eastAsia" w:ascii="Times New Roman" w:hAnsi="Times New Roman" w:eastAsia="宋体" w:cs="Times New Roman"/>
                <w:b w:val="0"/>
                <w:bCs/>
                <w:color w:val="auto"/>
                <w:sz w:val="21"/>
                <w:szCs w:val="21"/>
                <w:highlight w:val="none"/>
                <w:lang w:val="en-US" w:eastAsia="zh-CN"/>
              </w:rPr>
              <w:t>3</w:t>
            </w:r>
            <w:r>
              <w:rPr>
                <w:rFonts w:hint="eastAsia"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建筑物布置条件比较</w:t>
            </w:r>
          </w:p>
          <w:p>
            <w:pPr>
              <w:spacing w:line="360" w:lineRule="auto"/>
              <w:ind w:firstLine="0" w:firstLine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表</w:t>
            </w:r>
            <w:r>
              <w:rPr>
                <w:rFonts w:hint="eastAsia" w:ascii="Times New Roman" w:hAnsi="Times New Roman" w:eastAsia="宋体" w:cs="Times New Roman"/>
                <w:b w:val="0"/>
                <w:bCs/>
                <w:color w:val="auto"/>
                <w:sz w:val="21"/>
                <w:szCs w:val="21"/>
                <w:highlight w:val="none"/>
                <w:lang w:val="en-US" w:eastAsia="zh-CN"/>
              </w:rPr>
              <w:t>4</w:t>
            </w:r>
            <w:r>
              <w:rPr>
                <w:rFonts w:hint="default" w:ascii="Times New Roman" w:hAnsi="Times New Roman" w:eastAsia="宋体" w:cs="Times New Roman"/>
                <w:b w:val="0"/>
                <w:bCs/>
                <w:color w:val="auto"/>
                <w:sz w:val="21"/>
                <w:szCs w:val="21"/>
                <w:highlight w:val="none"/>
              </w:rPr>
              <w:t>-4   各坝线建筑物特征参数比较表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2254"/>
              <w:gridCol w:w="839"/>
              <w:gridCol w:w="1896"/>
              <w:gridCol w:w="1896"/>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1732" w:type="pct"/>
                  <w:gridSpan w:val="2"/>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项目名称</w:t>
                  </w:r>
                </w:p>
              </w:tc>
              <w:tc>
                <w:tcPr>
                  <w:tcW w:w="47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单位</w:t>
                  </w:r>
                </w:p>
              </w:tc>
              <w:tc>
                <w:tcPr>
                  <w:tcW w:w="96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上坝线</w:t>
                  </w:r>
                </w:p>
              </w:tc>
              <w:tc>
                <w:tcPr>
                  <w:tcW w:w="1024"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下坝线</w:t>
                  </w:r>
                </w:p>
              </w:tc>
              <w:tc>
                <w:tcPr>
                  <w:tcW w:w="795"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732" w:type="pct"/>
                  <w:gridSpan w:val="2"/>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坝型</w:t>
                  </w:r>
                </w:p>
              </w:tc>
              <w:tc>
                <w:tcPr>
                  <w:tcW w:w="47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w:t>
                  </w:r>
                </w:p>
              </w:tc>
              <w:tc>
                <w:tcPr>
                  <w:tcW w:w="96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埋石混凝土重力坝</w:t>
                  </w:r>
                </w:p>
              </w:tc>
              <w:tc>
                <w:tcPr>
                  <w:tcW w:w="1024"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埋石混凝土重力坝</w:t>
                  </w:r>
                </w:p>
              </w:tc>
              <w:tc>
                <w:tcPr>
                  <w:tcW w:w="795"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732" w:type="pct"/>
                  <w:gridSpan w:val="2"/>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坝顶高程</w:t>
                  </w:r>
                </w:p>
              </w:tc>
              <w:tc>
                <w:tcPr>
                  <w:tcW w:w="47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p>
              </w:tc>
              <w:tc>
                <w:tcPr>
                  <w:tcW w:w="96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611.00 </w:t>
                  </w:r>
                </w:p>
              </w:tc>
              <w:tc>
                <w:tcPr>
                  <w:tcW w:w="1024"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610.50 </w:t>
                  </w:r>
                </w:p>
              </w:tc>
              <w:tc>
                <w:tcPr>
                  <w:tcW w:w="795"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732" w:type="pct"/>
                  <w:gridSpan w:val="2"/>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最大坝高</w:t>
                  </w:r>
                </w:p>
              </w:tc>
              <w:tc>
                <w:tcPr>
                  <w:tcW w:w="47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p>
              </w:tc>
              <w:tc>
                <w:tcPr>
                  <w:tcW w:w="96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33.00 </w:t>
                  </w:r>
                </w:p>
              </w:tc>
              <w:tc>
                <w:tcPr>
                  <w:tcW w:w="1024"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33.50 </w:t>
                  </w:r>
                </w:p>
              </w:tc>
              <w:tc>
                <w:tcPr>
                  <w:tcW w:w="795"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732" w:type="pct"/>
                  <w:gridSpan w:val="2"/>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坝轴线长度</w:t>
                  </w:r>
                </w:p>
              </w:tc>
              <w:tc>
                <w:tcPr>
                  <w:tcW w:w="47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p>
              </w:tc>
              <w:tc>
                <w:tcPr>
                  <w:tcW w:w="96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150</w:t>
                  </w:r>
                </w:p>
              </w:tc>
              <w:tc>
                <w:tcPr>
                  <w:tcW w:w="1024"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162</w:t>
                  </w:r>
                </w:p>
              </w:tc>
              <w:tc>
                <w:tcPr>
                  <w:tcW w:w="795"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732" w:type="pct"/>
                  <w:gridSpan w:val="2"/>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帷幕线平面长度</w:t>
                  </w:r>
                </w:p>
              </w:tc>
              <w:tc>
                <w:tcPr>
                  <w:tcW w:w="47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p>
              </w:tc>
              <w:tc>
                <w:tcPr>
                  <w:tcW w:w="96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280</w:t>
                  </w:r>
                </w:p>
              </w:tc>
              <w:tc>
                <w:tcPr>
                  <w:tcW w:w="1024"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275</w:t>
                  </w:r>
                </w:p>
              </w:tc>
              <w:tc>
                <w:tcPr>
                  <w:tcW w:w="795"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79" w:type="pct"/>
                  <w:vMerge w:val="restar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1、溢流坝段</w:t>
                  </w:r>
                </w:p>
              </w:tc>
              <w:tc>
                <w:tcPr>
                  <w:tcW w:w="1253" w:type="pct"/>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溢流坝段长度</w:t>
                  </w:r>
                </w:p>
              </w:tc>
              <w:tc>
                <w:tcPr>
                  <w:tcW w:w="47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p>
              </w:tc>
              <w:tc>
                <w:tcPr>
                  <w:tcW w:w="96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6</w:t>
                  </w:r>
                </w:p>
              </w:tc>
              <w:tc>
                <w:tcPr>
                  <w:tcW w:w="1024"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6</w:t>
                  </w:r>
                </w:p>
              </w:tc>
              <w:tc>
                <w:tcPr>
                  <w:tcW w:w="795"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79" w:type="pct"/>
                  <w:vMerge w:val="continue"/>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p>
              </w:tc>
              <w:tc>
                <w:tcPr>
                  <w:tcW w:w="1253" w:type="pct"/>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堰顶高程</w:t>
                  </w:r>
                </w:p>
              </w:tc>
              <w:tc>
                <w:tcPr>
                  <w:tcW w:w="47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p>
              </w:tc>
              <w:tc>
                <w:tcPr>
                  <w:tcW w:w="96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609.00 </w:t>
                  </w:r>
                </w:p>
              </w:tc>
              <w:tc>
                <w:tcPr>
                  <w:tcW w:w="1024"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608.50 </w:t>
                  </w:r>
                </w:p>
              </w:tc>
              <w:tc>
                <w:tcPr>
                  <w:tcW w:w="795"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79" w:type="pct"/>
                  <w:vMerge w:val="continue"/>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p>
              </w:tc>
              <w:tc>
                <w:tcPr>
                  <w:tcW w:w="1253" w:type="pct"/>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溢流坝段高度</w:t>
                  </w:r>
                </w:p>
              </w:tc>
              <w:tc>
                <w:tcPr>
                  <w:tcW w:w="47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p>
              </w:tc>
              <w:tc>
                <w:tcPr>
                  <w:tcW w:w="96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31.00 </w:t>
                  </w:r>
                </w:p>
              </w:tc>
              <w:tc>
                <w:tcPr>
                  <w:tcW w:w="1024"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31.50</w:t>
                  </w:r>
                </w:p>
              </w:tc>
              <w:tc>
                <w:tcPr>
                  <w:tcW w:w="795"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79" w:type="pct"/>
                  <w:vMerge w:val="restar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2、非溢流坝段</w:t>
                  </w:r>
                </w:p>
              </w:tc>
              <w:tc>
                <w:tcPr>
                  <w:tcW w:w="1253" w:type="pct"/>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非溢流坝段长度</w:t>
                  </w:r>
                </w:p>
              </w:tc>
              <w:tc>
                <w:tcPr>
                  <w:tcW w:w="47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p>
              </w:tc>
              <w:tc>
                <w:tcPr>
                  <w:tcW w:w="96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144</w:t>
                  </w:r>
                </w:p>
              </w:tc>
              <w:tc>
                <w:tcPr>
                  <w:tcW w:w="1024"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156</w:t>
                  </w:r>
                </w:p>
              </w:tc>
              <w:tc>
                <w:tcPr>
                  <w:tcW w:w="795"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79" w:type="pct"/>
                  <w:vMerge w:val="continue"/>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p>
              </w:tc>
              <w:tc>
                <w:tcPr>
                  <w:tcW w:w="1253" w:type="pct"/>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坝顶高程</w:t>
                  </w:r>
                </w:p>
              </w:tc>
              <w:tc>
                <w:tcPr>
                  <w:tcW w:w="47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p>
              </w:tc>
              <w:tc>
                <w:tcPr>
                  <w:tcW w:w="96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611.00 </w:t>
                  </w:r>
                </w:p>
              </w:tc>
              <w:tc>
                <w:tcPr>
                  <w:tcW w:w="1024"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610.50 </w:t>
                  </w:r>
                </w:p>
              </w:tc>
              <w:tc>
                <w:tcPr>
                  <w:tcW w:w="795"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79" w:type="pct"/>
                  <w:vMerge w:val="continue"/>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p>
              </w:tc>
              <w:tc>
                <w:tcPr>
                  <w:tcW w:w="1253" w:type="pct"/>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坝顶宽度</w:t>
                  </w:r>
                </w:p>
              </w:tc>
              <w:tc>
                <w:tcPr>
                  <w:tcW w:w="47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p>
              </w:tc>
              <w:tc>
                <w:tcPr>
                  <w:tcW w:w="96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6.5</w:t>
                  </w:r>
                </w:p>
              </w:tc>
              <w:tc>
                <w:tcPr>
                  <w:tcW w:w="1024"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6.5</w:t>
                  </w:r>
                </w:p>
              </w:tc>
              <w:tc>
                <w:tcPr>
                  <w:tcW w:w="795"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79" w:type="pct"/>
                  <w:vMerge w:val="restar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3、取水管</w:t>
                  </w:r>
                </w:p>
              </w:tc>
              <w:tc>
                <w:tcPr>
                  <w:tcW w:w="1253" w:type="pct"/>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设计取水流量</w:t>
                  </w:r>
                </w:p>
              </w:tc>
              <w:tc>
                <w:tcPr>
                  <w:tcW w:w="47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r>
                    <w:rPr>
                      <w:rFonts w:hint="default" w:ascii="Times New Roman" w:hAnsi="Times New Roman" w:eastAsia="宋体" w:cs="Times New Roman"/>
                      <w:b w:val="0"/>
                      <w:bCs/>
                      <w:color w:val="auto"/>
                      <w:kern w:val="0"/>
                      <w:sz w:val="21"/>
                      <w:szCs w:val="21"/>
                      <w:highlight w:val="none"/>
                      <w:vertAlign w:val="superscript"/>
                    </w:rPr>
                    <w:t>3</w:t>
                  </w:r>
                  <w:r>
                    <w:rPr>
                      <w:rFonts w:hint="default" w:ascii="Times New Roman" w:hAnsi="Times New Roman" w:eastAsia="宋体" w:cs="Times New Roman"/>
                      <w:b w:val="0"/>
                      <w:bCs/>
                      <w:color w:val="auto"/>
                      <w:kern w:val="0"/>
                      <w:sz w:val="21"/>
                      <w:szCs w:val="21"/>
                      <w:highlight w:val="none"/>
                    </w:rPr>
                    <w:t>/s</w:t>
                  </w:r>
                </w:p>
              </w:tc>
              <w:tc>
                <w:tcPr>
                  <w:tcW w:w="96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0.24</w:t>
                  </w:r>
                </w:p>
              </w:tc>
              <w:tc>
                <w:tcPr>
                  <w:tcW w:w="1024"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0.24</w:t>
                  </w:r>
                </w:p>
              </w:tc>
              <w:tc>
                <w:tcPr>
                  <w:tcW w:w="795"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79" w:type="pct"/>
                  <w:vMerge w:val="continue"/>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p>
              </w:tc>
              <w:tc>
                <w:tcPr>
                  <w:tcW w:w="1253" w:type="pct"/>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取水管中心高程</w:t>
                  </w:r>
                </w:p>
              </w:tc>
              <w:tc>
                <w:tcPr>
                  <w:tcW w:w="47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p>
              </w:tc>
              <w:tc>
                <w:tcPr>
                  <w:tcW w:w="96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589.50</w:t>
                  </w:r>
                </w:p>
              </w:tc>
              <w:tc>
                <w:tcPr>
                  <w:tcW w:w="1024"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589.50</w:t>
                  </w:r>
                </w:p>
              </w:tc>
              <w:tc>
                <w:tcPr>
                  <w:tcW w:w="795"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79" w:type="pct"/>
                  <w:vMerge w:val="continue"/>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p>
              </w:tc>
              <w:tc>
                <w:tcPr>
                  <w:tcW w:w="1253" w:type="pct"/>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管长</w:t>
                  </w:r>
                </w:p>
              </w:tc>
              <w:tc>
                <w:tcPr>
                  <w:tcW w:w="47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p>
              </w:tc>
              <w:tc>
                <w:tcPr>
                  <w:tcW w:w="96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32</w:t>
                  </w:r>
                </w:p>
              </w:tc>
              <w:tc>
                <w:tcPr>
                  <w:tcW w:w="1024"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32 </w:t>
                  </w:r>
                </w:p>
              </w:tc>
              <w:tc>
                <w:tcPr>
                  <w:tcW w:w="795"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79" w:type="pct"/>
                  <w:vMerge w:val="continue"/>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p>
              </w:tc>
              <w:tc>
                <w:tcPr>
                  <w:tcW w:w="1253" w:type="pct"/>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取水管径</w:t>
                  </w:r>
                </w:p>
              </w:tc>
              <w:tc>
                <w:tcPr>
                  <w:tcW w:w="47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mm</w:t>
                  </w:r>
                </w:p>
              </w:tc>
              <w:tc>
                <w:tcPr>
                  <w:tcW w:w="96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DN500</w:t>
                  </w:r>
                </w:p>
              </w:tc>
              <w:tc>
                <w:tcPr>
                  <w:tcW w:w="1024"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DN500</w:t>
                  </w:r>
                </w:p>
              </w:tc>
              <w:tc>
                <w:tcPr>
                  <w:tcW w:w="795"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79" w:type="pct"/>
                  <w:vMerge w:val="restar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4、放空管</w:t>
                  </w:r>
                </w:p>
              </w:tc>
              <w:tc>
                <w:tcPr>
                  <w:tcW w:w="1253" w:type="pct"/>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最大放空流量</w:t>
                  </w:r>
                </w:p>
              </w:tc>
              <w:tc>
                <w:tcPr>
                  <w:tcW w:w="47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r>
                    <w:rPr>
                      <w:rFonts w:hint="default" w:ascii="Times New Roman" w:hAnsi="Times New Roman" w:eastAsia="宋体" w:cs="Times New Roman"/>
                      <w:b w:val="0"/>
                      <w:bCs/>
                      <w:color w:val="auto"/>
                      <w:kern w:val="0"/>
                      <w:sz w:val="21"/>
                      <w:szCs w:val="21"/>
                      <w:highlight w:val="none"/>
                      <w:vertAlign w:val="superscript"/>
                    </w:rPr>
                    <w:t>3</w:t>
                  </w:r>
                  <w:r>
                    <w:rPr>
                      <w:rFonts w:hint="default" w:ascii="Times New Roman" w:hAnsi="Times New Roman" w:eastAsia="宋体" w:cs="Times New Roman"/>
                      <w:b w:val="0"/>
                      <w:bCs/>
                      <w:color w:val="auto"/>
                      <w:kern w:val="0"/>
                      <w:sz w:val="21"/>
                      <w:szCs w:val="21"/>
                      <w:highlight w:val="none"/>
                    </w:rPr>
                    <w:t>/s</w:t>
                  </w:r>
                </w:p>
              </w:tc>
              <w:tc>
                <w:tcPr>
                  <w:tcW w:w="96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2.67</w:t>
                  </w:r>
                </w:p>
              </w:tc>
              <w:tc>
                <w:tcPr>
                  <w:tcW w:w="1024"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2.70 </w:t>
                  </w:r>
                </w:p>
              </w:tc>
              <w:tc>
                <w:tcPr>
                  <w:tcW w:w="795"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79" w:type="pct"/>
                  <w:vMerge w:val="continue"/>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p>
              </w:tc>
              <w:tc>
                <w:tcPr>
                  <w:tcW w:w="1253" w:type="pct"/>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管长</w:t>
                  </w:r>
                </w:p>
              </w:tc>
              <w:tc>
                <w:tcPr>
                  <w:tcW w:w="47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p>
              </w:tc>
              <w:tc>
                <w:tcPr>
                  <w:tcW w:w="96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30</w:t>
                  </w:r>
                </w:p>
              </w:tc>
              <w:tc>
                <w:tcPr>
                  <w:tcW w:w="1024"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30 </w:t>
                  </w:r>
                </w:p>
              </w:tc>
              <w:tc>
                <w:tcPr>
                  <w:tcW w:w="795"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79" w:type="pct"/>
                  <w:vMerge w:val="continue"/>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p>
              </w:tc>
              <w:tc>
                <w:tcPr>
                  <w:tcW w:w="1253" w:type="pct"/>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放空管中心高程</w:t>
                  </w:r>
                </w:p>
              </w:tc>
              <w:tc>
                <w:tcPr>
                  <w:tcW w:w="47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p>
              </w:tc>
              <w:tc>
                <w:tcPr>
                  <w:tcW w:w="96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588.00</w:t>
                  </w:r>
                </w:p>
              </w:tc>
              <w:tc>
                <w:tcPr>
                  <w:tcW w:w="1024"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588.00</w:t>
                  </w:r>
                </w:p>
              </w:tc>
              <w:tc>
                <w:tcPr>
                  <w:tcW w:w="795"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79" w:type="pct"/>
                  <w:vMerge w:val="continue"/>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p>
              </w:tc>
              <w:tc>
                <w:tcPr>
                  <w:tcW w:w="1253" w:type="pct"/>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放空管径</w:t>
                  </w:r>
                </w:p>
              </w:tc>
              <w:tc>
                <w:tcPr>
                  <w:tcW w:w="47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mm</w:t>
                  </w:r>
                </w:p>
              </w:tc>
              <w:tc>
                <w:tcPr>
                  <w:tcW w:w="969"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DN600</w:t>
                  </w:r>
                </w:p>
              </w:tc>
              <w:tc>
                <w:tcPr>
                  <w:tcW w:w="1024"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DN600</w:t>
                  </w:r>
                </w:p>
              </w:tc>
              <w:tc>
                <w:tcPr>
                  <w:tcW w:w="795"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bl>
          <w:p>
            <w:pPr>
              <w:spacing w:line="360" w:lineRule="auto"/>
              <w:ind w:firstLine="480"/>
              <w:rPr>
                <w:rFonts w:hint="default" w:ascii="Times New Roman" w:hAnsi="Times New Roman" w:eastAsia="宋体" w:cs="Times New Roman"/>
                <w:b w:val="0"/>
                <w:bCs/>
                <w:color w:val="auto"/>
                <w:sz w:val="21"/>
                <w:szCs w:val="21"/>
                <w:highlight w:val="none"/>
                <w:lang w:bidi="en-US"/>
              </w:rPr>
            </w:pPr>
            <w:r>
              <w:rPr>
                <w:rFonts w:hint="default" w:ascii="Times New Roman" w:hAnsi="Times New Roman" w:eastAsia="宋体" w:cs="Times New Roman"/>
                <w:b w:val="0"/>
                <w:bCs/>
                <w:color w:val="auto"/>
                <w:sz w:val="21"/>
                <w:szCs w:val="21"/>
                <w:highlight w:val="none"/>
              </w:rPr>
              <w:t>由上表可知</w:t>
            </w:r>
            <w:r>
              <w:rPr>
                <w:rFonts w:hint="default" w:ascii="Times New Roman" w:hAnsi="Times New Roman" w:eastAsia="宋体" w:cs="Times New Roman"/>
                <w:b w:val="0"/>
                <w:bCs/>
                <w:color w:val="auto"/>
                <w:sz w:val="21"/>
                <w:szCs w:val="21"/>
                <w:highlight w:val="none"/>
                <w:lang w:bidi="en-US"/>
              </w:rPr>
              <w:t>，上、下坝线坝高相差不大，下坝线坝轴线比上坝线轴线长12m，从而其开挖、混凝土浇筑的工程量都较上坝线大。因此，从建筑物布置条件来看，上坝线优于下坝线。</w:t>
            </w:r>
          </w:p>
          <w:p>
            <w:pPr>
              <w:pStyle w:val="99"/>
              <w:spacing w:line="360" w:lineRule="auto"/>
              <w:ind w:firstLine="482"/>
              <w:rPr>
                <w:rFonts w:hint="default"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eastAsia="zh-CN"/>
              </w:rPr>
              <w:t>（</w:t>
            </w:r>
            <w:r>
              <w:rPr>
                <w:rFonts w:hint="eastAsia" w:ascii="Times New Roman" w:hAnsi="Times New Roman" w:eastAsia="宋体" w:cs="Times New Roman"/>
                <w:b w:val="0"/>
                <w:bCs/>
                <w:color w:val="auto"/>
                <w:sz w:val="21"/>
                <w:szCs w:val="21"/>
                <w:highlight w:val="none"/>
                <w:lang w:val="en-US" w:eastAsia="zh-CN"/>
              </w:rPr>
              <w:t>4</w:t>
            </w:r>
            <w:r>
              <w:rPr>
                <w:rFonts w:hint="eastAsia"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施工条件比较</w:t>
            </w:r>
          </w:p>
          <w:p>
            <w:pPr>
              <w:autoSpaceDE w:val="0"/>
              <w:autoSpaceDN w:val="0"/>
              <w:spacing w:line="360" w:lineRule="auto"/>
              <w:ind w:firstLine="480"/>
              <w:rPr>
                <w:rFonts w:hint="default" w:ascii="Times New Roman" w:hAnsi="Times New Roman" w:eastAsia="宋体" w:cs="Times New Roman"/>
                <w:b w:val="0"/>
                <w:bCs/>
                <w:color w:val="auto"/>
                <w:sz w:val="21"/>
                <w:szCs w:val="21"/>
                <w:highlight w:val="none"/>
                <w:lang w:bidi="en-US"/>
              </w:rPr>
            </w:pPr>
            <w:r>
              <w:rPr>
                <w:rFonts w:hint="eastAsia" w:ascii="宋体" w:hAnsi="宋体" w:eastAsia="宋体" w:cs="宋体"/>
                <w:b w:val="0"/>
                <w:bCs/>
                <w:color w:val="auto"/>
                <w:sz w:val="21"/>
                <w:szCs w:val="21"/>
                <w:highlight w:val="none"/>
                <w:lang w:bidi="en-US"/>
              </w:rPr>
              <w:t>①</w:t>
            </w:r>
            <w:r>
              <w:rPr>
                <w:rFonts w:hint="default" w:ascii="Times New Roman" w:hAnsi="Times New Roman" w:eastAsia="宋体" w:cs="Times New Roman"/>
                <w:b w:val="0"/>
                <w:bCs/>
                <w:color w:val="auto"/>
                <w:sz w:val="21"/>
                <w:szCs w:val="21"/>
                <w:highlight w:val="none"/>
                <w:lang w:bidi="en-US"/>
              </w:rPr>
              <w:t>建材条件：上、下坝线所需混凝土骨料均需到罗文镇砂石料场购买，运距40km；所需的块石料均在胡家镇安佛洞石场购买，运距14km。上、下坝线方案基本一致。</w:t>
            </w:r>
          </w:p>
          <w:p>
            <w:pPr>
              <w:autoSpaceDE w:val="0"/>
              <w:autoSpaceDN w:val="0"/>
              <w:spacing w:line="360" w:lineRule="auto"/>
              <w:ind w:firstLine="480"/>
              <w:rPr>
                <w:rFonts w:hint="default" w:ascii="Times New Roman" w:hAnsi="Times New Roman" w:eastAsia="宋体" w:cs="Times New Roman"/>
                <w:b w:val="0"/>
                <w:bCs/>
                <w:color w:val="auto"/>
                <w:sz w:val="21"/>
                <w:szCs w:val="21"/>
                <w:highlight w:val="none"/>
                <w:lang w:bidi="en-US"/>
              </w:rPr>
            </w:pPr>
            <w:r>
              <w:rPr>
                <w:rFonts w:hint="eastAsia" w:ascii="宋体" w:hAnsi="宋体" w:eastAsia="宋体" w:cs="宋体"/>
                <w:b w:val="0"/>
                <w:bCs/>
                <w:color w:val="auto"/>
                <w:sz w:val="21"/>
                <w:szCs w:val="21"/>
                <w:highlight w:val="none"/>
                <w:lang w:bidi="en-US"/>
              </w:rPr>
              <w:t>②</w:t>
            </w:r>
            <w:r>
              <w:rPr>
                <w:rFonts w:hint="default" w:ascii="Times New Roman" w:hAnsi="Times New Roman" w:eastAsia="宋体" w:cs="Times New Roman"/>
                <w:b w:val="0"/>
                <w:bCs/>
                <w:color w:val="auto"/>
                <w:sz w:val="21"/>
                <w:szCs w:val="21"/>
                <w:highlight w:val="none"/>
                <w:lang w:bidi="en-US"/>
              </w:rPr>
              <w:t>施工交通：上、下坝线相距70m，均通公路。场内公路主要为新建至生产生活区、大坝作业面的临时道路。各坝线方案生活区均布置于岸坡较缓处。从交通布置条件看，上、下坝线相当，均较方便。</w:t>
            </w:r>
          </w:p>
          <w:p>
            <w:pPr>
              <w:spacing w:line="360" w:lineRule="auto"/>
              <w:ind w:firstLine="480"/>
              <w:rPr>
                <w:rFonts w:hint="default" w:ascii="Times New Roman" w:hAnsi="Times New Roman" w:eastAsia="宋体" w:cs="Times New Roman"/>
                <w:b w:val="0"/>
                <w:bCs/>
                <w:color w:val="auto"/>
                <w:sz w:val="21"/>
                <w:szCs w:val="21"/>
                <w:highlight w:val="none"/>
                <w:lang w:bidi="en-US"/>
              </w:rPr>
            </w:pPr>
            <w:r>
              <w:rPr>
                <w:rFonts w:hint="eastAsia" w:ascii="宋体" w:hAnsi="宋体" w:eastAsia="宋体" w:cs="宋体"/>
                <w:b w:val="0"/>
                <w:bCs/>
                <w:color w:val="auto"/>
                <w:sz w:val="21"/>
                <w:szCs w:val="21"/>
                <w:highlight w:val="none"/>
                <w:lang w:bidi="en-US"/>
              </w:rPr>
              <w:t>③</w:t>
            </w:r>
            <w:r>
              <w:rPr>
                <w:rFonts w:hint="default" w:ascii="Times New Roman" w:hAnsi="Times New Roman" w:eastAsia="宋体" w:cs="Times New Roman"/>
                <w:b w:val="0"/>
                <w:bCs/>
                <w:color w:val="auto"/>
                <w:sz w:val="21"/>
                <w:szCs w:val="21"/>
                <w:highlight w:val="none"/>
                <w:lang w:bidi="en-US"/>
              </w:rPr>
              <w:t>施工导流：上、下坝线均推荐采用分段围堰、明渠导流的施工导流方式，导流流量一致，施工导流难度不大，上、下坝线基本相当。</w:t>
            </w:r>
          </w:p>
          <w:p>
            <w:pPr>
              <w:spacing w:line="360" w:lineRule="auto"/>
              <w:ind w:firstLine="480"/>
              <w:rPr>
                <w:rFonts w:hint="default" w:ascii="Times New Roman" w:hAnsi="Times New Roman" w:eastAsia="宋体" w:cs="Times New Roman"/>
                <w:b w:val="0"/>
                <w:bCs/>
                <w:color w:val="auto"/>
                <w:sz w:val="21"/>
                <w:szCs w:val="21"/>
                <w:highlight w:val="none"/>
                <w:lang w:bidi="en-US"/>
              </w:rPr>
            </w:pPr>
            <w:r>
              <w:rPr>
                <w:rFonts w:hint="eastAsia" w:ascii="宋体" w:hAnsi="宋体" w:eastAsia="宋体" w:cs="宋体"/>
                <w:b w:val="0"/>
                <w:bCs/>
                <w:color w:val="auto"/>
                <w:sz w:val="21"/>
                <w:szCs w:val="21"/>
                <w:highlight w:val="none"/>
                <w:lang w:bidi="en-US"/>
              </w:rPr>
              <w:t>④</w:t>
            </w:r>
            <w:r>
              <w:rPr>
                <w:rFonts w:hint="default" w:ascii="Times New Roman" w:hAnsi="Times New Roman" w:eastAsia="宋体" w:cs="Times New Roman"/>
                <w:b w:val="0"/>
                <w:bCs/>
                <w:color w:val="auto"/>
                <w:sz w:val="21"/>
                <w:szCs w:val="21"/>
                <w:highlight w:val="none"/>
                <w:lang w:bidi="en-US"/>
              </w:rPr>
              <w:t>风、水、电供应：</w:t>
            </w:r>
            <w:r>
              <w:rPr>
                <w:rFonts w:hint="eastAsia" w:cs="Times New Roman"/>
                <w:b w:val="0"/>
                <w:bCs/>
                <w:color w:val="auto"/>
                <w:sz w:val="21"/>
                <w:szCs w:val="21"/>
                <w:highlight w:val="none"/>
                <w:lang w:eastAsia="zh-CN" w:bidi="en-US"/>
              </w:rPr>
              <w:t>其他施工</w:t>
            </w:r>
            <w:r>
              <w:rPr>
                <w:rFonts w:hint="default" w:ascii="Times New Roman" w:hAnsi="Times New Roman" w:eastAsia="宋体" w:cs="Times New Roman"/>
                <w:b w:val="0"/>
                <w:bCs/>
                <w:color w:val="auto"/>
                <w:sz w:val="21"/>
                <w:szCs w:val="21"/>
                <w:highlight w:val="none"/>
                <w:lang w:bidi="en-US"/>
              </w:rPr>
              <w:t>场地条件以及风、水、电供应条件基本相当。</w:t>
            </w:r>
          </w:p>
          <w:p>
            <w:pPr>
              <w:spacing w:line="360" w:lineRule="auto"/>
              <w:ind w:firstLine="480"/>
              <w:rPr>
                <w:rFonts w:hint="default" w:ascii="Times New Roman" w:hAnsi="Times New Roman" w:eastAsia="宋体" w:cs="Times New Roman"/>
                <w:b w:val="0"/>
                <w:bCs/>
                <w:color w:val="auto"/>
                <w:sz w:val="21"/>
                <w:szCs w:val="21"/>
                <w:highlight w:val="none"/>
                <w:lang w:bidi="en-US"/>
              </w:rPr>
            </w:pPr>
            <w:r>
              <w:rPr>
                <w:rFonts w:hint="default" w:ascii="Times New Roman" w:hAnsi="Times New Roman" w:eastAsia="宋体" w:cs="Times New Roman"/>
                <w:b w:val="0"/>
                <w:bCs/>
                <w:color w:val="auto"/>
                <w:sz w:val="21"/>
                <w:szCs w:val="21"/>
                <w:highlight w:val="none"/>
                <w:lang w:bidi="en-US"/>
              </w:rPr>
              <w:t>综上，从施工条件来看，上、下坝线基本相当。</w:t>
            </w:r>
          </w:p>
          <w:p>
            <w:pPr>
              <w:pStyle w:val="99"/>
              <w:spacing w:line="360" w:lineRule="auto"/>
              <w:ind w:firstLine="482"/>
              <w:rPr>
                <w:rFonts w:hint="default"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eastAsia="zh-CN"/>
              </w:rPr>
              <w:t>（</w:t>
            </w:r>
            <w:r>
              <w:rPr>
                <w:rFonts w:hint="eastAsia" w:ascii="Times New Roman" w:hAnsi="Times New Roman" w:eastAsia="宋体" w:cs="Times New Roman"/>
                <w:b w:val="0"/>
                <w:bCs/>
                <w:color w:val="auto"/>
                <w:sz w:val="21"/>
                <w:szCs w:val="21"/>
                <w:highlight w:val="none"/>
                <w:lang w:val="en-US" w:eastAsia="zh-CN"/>
              </w:rPr>
              <w:t>5</w:t>
            </w:r>
            <w:r>
              <w:rPr>
                <w:rFonts w:hint="eastAsia"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水库占地及移民指标比较</w:t>
            </w:r>
          </w:p>
          <w:p>
            <w:pPr>
              <w:spacing w:line="360" w:lineRule="auto"/>
              <w:ind w:firstLine="480"/>
              <w:rPr>
                <w:rFonts w:hint="default" w:ascii="Times New Roman" w:hAnsi="Times New Roman" w:eastAsia="宋体" w:cs="Times New Roman"/>
                <w:b w:val="0"/>
                <w:bCs/>
                <w:color w:val="auto"/>
                <w:sz w:val="21"/>
                <w:szCs w:val="21"/>
                <w:highlight w:val="none"/>
                <w:lang w:bidi="en-US"/>
              </w:rPr>
            </w:pPr>
            <w:r>
              <w:rPr>
                <w:rFonts w:hint="default" w:ascii="Times New Roman" w:hAnsi="Times New Roman" w:eastAsia="宋体" w:cs="Times New Roman"/>
                <w:b w:val="0"/>
                <w:bCs/>
                <w:color w:val="auto"/>
                <w:sz w:val="21"/>
                <w:szCs w:val="21"/>
                <w:highlight w:val="none"/>
                <w:lang w:bidi="en-US"/>
              </w:rPr>
              <w:t>水库上、下坝线方案淹没范围涉及的镇、村基本相同，对各坝线枢纽及淹没区主要占地及移民指标统计比较。</w:t>
            </w:r>
          </w:p>
          <w:p>
            <w:pPr>
              <w:spacing w:line="360" w:lineRule="auto"/>
              <w:ind w:firstLine="0" w:firstLine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表</w:t>
            </w:r>
            <w:r>
              <w:rPr>
                <w:rFonts w:hint="eastAsia" w:ascii="Times New Roman" w:hAnsi="Times New Roman" w:eastAsia="宋体" w:cs="Times New Roman"/>
                <w:b w:val="0"/>
                <w:bCs/>
                <w:color w:val="auto"/>
                <w:sz w:val="21"/>
                <w:szCs w:val="21"/>
                <w:highlight w:val="none"/>
                <w:lang w:val="en-US" w:eastAsia="zh-CN"/>
              </w:rPr>
              <w:t>4</w:t>
            </w:r>
            <w:r>
              <w:rPr>
                <w:rFonts w:hint="default" w:ascii="Times New Roman" w:hAnsi="Times New Roman" w:eastAsia="宋体" w:cs="Times New Roman"/>
                <w:b w:val="0"/>
                <w:bCs/>
                <w:color w:val="auto"/>
                <w:sz w:val="21"/>
                <w:szCs w:val="21"/>
                <w:highlight w:val="none"/>
              </w:rPr>
              <w:t>-5   各坝线淹没区、枢纽区占地及移民指标对比表</w:t>
            </w:r>
          </w:p>
          <w:tbl>
            <w:tblPr>
              <w:tblStyle w:val="29"/>
              <w:tblW w:w="5000" w:type="pct"/>
              <w:tblInd w:w="0" w:type="dxa"/>
              <w:tblLayout w:type="autofit"/>
              <w:tblCellMar>
                <w:top w:w="0" w:type="dxa"/>
                <w:left w:w="108" w:type="dxa"/>
                <w:bottom w:w="0" w:type="dxa"/>
                <w:right w:w="108" w:type="dxa"/>
              </w:tblCellMar>
            </w:tblPr>
            <w:tblGrid>
              <w:gridCol w:w="648"/>
              <w:gridCol w:w="1965"/>
              <w:gridCol w:w="807"/>
              <w:gridCol w:w="1041"/>
              <w:gridCol w:w="1041"/>
              <w:gridCol w:w="1043"/>
              <w:gridCol w:w="1038"/>
              <w:gridCol w:w="650"/>
              <w:gridCol w:w="917"/>
            </w:tblGrid>
            <w:tr>
              <w:tblPrEx>
                <w:tblCellMar>
                  <w:top w:w="0" w:type="dxa"/>
                  <w:left w:w="108" w:type="dxa"/>
                  <w:bottom w:w="0" w:type="dxa"/>
                  <w:right w:w="108" w:type="dxa"/>
                </w:tblCellMar>
              </w:tblPrEx>
              <w:trPr>
                <w:trHeight w:val="280" w:hRule="atLeast"/>
              </w:trPr>
              <w:tc>
                <w:tcPr>
                  <w:tcW w:w="354" w:type="pct"/>
                  <w:vMerge w:val="restar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序号</w:t>
                  </w:r>
                </w:p>
              </w:tc>
              <w:tc>
                <w:tcPr>
                  <w:tcW w:w="1074" w:type="pct"/>
                  <w:vMerge w:val="restar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项     目</w:t>
                  </w:r>
                </w:p>
              </w:tc>
              <w:tc>
                <w:tcPr>
                  <w:tcW w:w="441" w:type="pct"/>
                  <w:vMerge w:val="restar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单位</w:t>
                  </w:r>
                </w:p>
              </w:tc>
              <w:tc>
                <w:tcPr>
                  <w:tcW w:w="1708" w:type="pct"/>
                  <w:gridSpan w:val="3"/>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上坝线</w:t>
                  </w:r>
                </w:p>
              </w:tc>
              <w:tc>
                <w:tcPr>
                  <w:tcW w:w="1423" w:type="pct"/>
                  <w:gridSpan w:val="3"/>
                  <w:tcBorders>
                    <w:top w:val="single" w:color="auto" w:sz="4" w:space="0"/>
                    <w:left w:val="nil"/>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下坝线</w:t>
                  </w:r>
                </w:p>
              </w:tc>
            </w:tr>
            <w:tr>
              <w:tblPrEx>
                <w:tblCellMar>
                  <w:top w:w="0" w:type="dxa"/>
                  <w:left w:w="108" w:type="dxa"/>
                  <w:bottom w:w="0" w:type="dxa"/>
                  <w:right w:w="108" w:type="dxa"/>
                </w:tblCellMar>
              </w:tblPrEx>
              <w:trPr>
                <w:trHeight w:val="326" w:hRule="atLeast"/>
              </w:trPr>
              <w:tc>
                <w:tcPr>
                  <w:tcW w:w="354" w:type="pct"/>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p>
              </w:tc>
              <w:tc>
                <w:tcPr>
                  <w:tcW w:w="1074" w:type="pct"/>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p>
              </w:tc>
              <w:tc>
                <w:tcPr>
                  <w:tcW w:w="441" w:type="pct"/>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p>
              </w:tc>
              <w:tc>
                <w:tcPr>
                  <w:tcW w:w="569" w:type="pct"/>
                  <w:vMerge w:val="restart"/>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水库淹没影响区</w:t>
                  </w:r>
                </w:p>
              </w:tc>
              <w:tc>
                <w:tcPr>
                  <w:tcW w:w="569" w:type="pct"/>
                  <w:vMerge w:val="restart"/>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枢纽区</w:t>
                  </w:r>
                </w:p>
              </w:tc>
              <w:tc>
                <w:tcPr>
                  <w:tcW w:w="570" w:type="pct"/>
                  <w:vMerge w:val="restar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小计</w:t>
                  </w:r>
                </w:p>
              </w:tc>
              <w:tc>
                <w:tcPr>
                  <w:tcW w:w="567" w:type="pct"/>
                  <w:vMerge w:val="restart"/>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水库淹没影响区</w:t>
                  </w:r>
                </w:p>
              </w:tc>
              <w:tc>
                <w:tcPr>
                  <w:tcW w:w="355" w:type="pct"/>
                  <w:vMerge w:val="restart"/>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枢纽区</w:t>
                  </w:r>
                </w:p>
              </w:tc>
              <w:tc>
                <w:tcPr>
                  <w:tcW w:w="501" w:type="pct"/>
                  <w:vMerge w:val="restar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小计</w:t>
                  </w:r>
                </w:p>
              </w:tc>
            </w:tr>
            <w:tr>
              <w:tblPrEx>
                <w:tblCellMar>
                  <w:top w:w="0" w:type="dxa"/>
                  <w:left w:w="108" w:type="dxa"/>
                  <w:bottom w:w="0" w:type="dxa"/>
                  <w:right w:w="108" w:type="dxa"/>
                </w:tblCellMar>
              </w:tblPrEx>
              <w:trPr>
                <w:trHeight w:val="326" w:hRule="atLeast"/>
              </w:trPr>
              <w:tc>
                <w:tcPr>
                  <w:tcW w:w="354" w:type="pct"/>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p>
              </w:tc>
              <w:tc>
                <w:tcPr>
                  <w:tcW w:w="1074" w:type="pct"/>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p>
              </w:tc>
              <w:tc>
                <w:tcPr>
                  <w:tcW w:w="441" w:type="pct"/>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p>
              </w:tc>
              <w:tc>
                <w:tcPr>
                  <w:tcW w:w="569" w:type="pct"/>
                  <w:vMerge w:val="continue"/>
                  <w:tcBorders>
                    <w:top w:val="nil"/>
                    <w:left w:val="single" w:color="auto" w:sz="4" w:space="0"/>
                    <w:bottom w:val="single" w:color="auto" w:sz="4" w:space="0"/>
                    <w:right w:val="single" w:color="auto" w:sz="4" w:space="0"/>
                  </w:tcBorders>
                  <w:tcMar>
                    <w:left w:w="28" w:type="dxa"/>
                    <w:right w:w="28" w:type="dxa"/>
                  </w:tcMar>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p>
              </w:tc>
              <w:tc>
                <w:tcPr>
                  <w:tcW w:w="569" w:type="pct"/>
                  <w:vMerge w:val="continue"/>
                  <w:tcBorders>
                    <w:top w:val="nil"/>
                    <w:left w:val="single" w:color="auto" w:sz="4" w:space="0"/>
                    <w:bottom w:val="single" w:color="auto" w:sz="4" w:space="0"/>
                    <w:right w:val="single" w:color="auto" w:sz="4" w:space="0"/>
                  </w:tcBorders>
                  <w:tcMar>
                    <w:left w:w="28" w:type="dxa"/>
                    <w:right w:w="28" w:type="dxa"/>
                  </w:tcMar>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p>
              </w:tc>
              <w:tc>
                <w:tcPr>
                  <w:tcW w:w="570" w:type="pct"/>
                  <w:vMerge w:val="continue"/>
                  <w:tcBorders>
                    <w:top w:val="nil"/>
                    <w:left w:val="single" w:color="auto" w:sz="4" w:space="0"/>
                    <w:bottom w:val="single" w:color="auto" w:sz="4" w:space="0"/>
                    <w:right w:val="single" w:color="auto" w:sz="4" w:space="0"/>
                  </w:tcBorders>
                  <w:tcMar>
                    <w:left w:w="28" w:type="dxa"/>
                    <w:right w:w="28" w:type="dxa"/>
                  </w:tcMar>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p>
              </w:tc>
              <w:tc>
                <w:tcPr>
                  <w:tcW w:w="567" w:type="pct"/>
                  <w:vMerge w:val="continue"/>
                  <w:tcBorders>
                    <w:top w:val="nil"/>
                    <w:left w:val="single" w:color="auto" w:sz="4" w:space="0"/>
                    <w:bottom w:val="single" w:color="auto" w:sz="4" w:space="0"/>
                    <w:right w:val="single" w:color="auto" w:sz="4" w:space="0"/>
                  </w:tcBorders>
                  <w:tcMar>
                    <w:left w:w="28" w:type="dxa"/>
                    <w:right w:w="28" w:type="dxa"/>
                  </w:tcMar>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p>
              </w:tc>
              <w:tc>
                <w:tcPr>
                  <w:tcW w:w="355" w:type="pct"/>
                  <w:vMerge w:val="continue"/>
                  <w:tcBorders>
                    <w:top w:val="nil"/>
                    <w:left w:val="single" w:color="auto" w:sz="4" w:space="0"/>
                    <w:bottom w:val="single" w:color="auto" w:sz="4" w:space="0"/>
                    <w:right w:val="single" w:color="auto" w:sz="4" w:space="0"/>
                  </w:tcBorders>
                  <w:tcMar>
                    <w:left w:w="28" w:type="dxa"/>
                    <w:right w:w="28" w:type="dxa"/>
                  </w:tcMar>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p>
              </w:tc>
              <w:tc>
                <w:tcPr>
                  <w:tcW w:w="501" w:type="pct"/>
                  <w:vMerge w:val="continue"/>
                  <w:tcBorders>
                    <w:top w:val="nil"/>
                    <w:left w:val="single" w:color="auto" w:sz="4" w:space="0"/>
                    <w:bottom w:val="single" w:color="auto" w:sz="4" w:space="0"/>
                    <w:right w:val="single" w:color="auto" w:sz="4" w:space="0"/>
                  </w:tcBorders>
                  <w:tcMar>
                    <w:left w:w="28" w:type="dxa"/>
                    <w:right w:w="28" w:type="dxa"/>
                  </w:tcMar>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p>
              </w:tc>
            </w:tr>
            <w:tr>
              <w:tblPrEx>
                <w:tblCellMar>
                  <w:top w:w="0" w:type="dxa"/>
                  <w:left w:w="108" w:type="dxa"/>
                  <w:bottom w:w="0" w:type="dxa"/>
                  <w:right w:w="108" w:type="dxa"/>
                </w:tblCellMar>
              </w:tblPrEx>
              <w:trPr>
                <w:trHeight w:val="280" w:hRule="atLeast"/>
              </w:trPr>
              <w:tc>
                <w:tcPr>
                  <w:tcW w:w="354" w:type="pct"/>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一</w:t>
                  </w:r>
                </w:p>
              </w:tc>
              <w:tc>
                <w:tcPr>
                  <w:tcW w:w="1074" w:type="pct"/>
                  <w:tcBorders>
                    <w:top w:val="nil"/>
                    <w:left w:val="nil"/>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实物指标</w:t>
                  </w:r>
                </w:p>
              </w:tc>
              <w:tc>
                <w:tcPr>
                  <w:tcW w:w="441" w:type="pct"/>
                  <w:tcBorders>
                    <w:top w:val="nil"/>
                    <w:left w:val="nil"/>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569" w:type="pct"/>
                  <w:tcBorders>
                    <w:top w:val="nil"/>
                    <w:left w:val="nil"/>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569" w:type="pct"/>
                  <w:tcBorders>
                    <w:top w:val="nil"/>
                    <w:left w:val="nil"/>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570"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567" w:type="pct"/>
                  <w:tcBorders>
                    <w:top w:val="nil"/>
                    <w:left w:val="nil"/>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355" w:type="pct"/>
                  <w:tcBorders>
                    <w:top w:val="nil"/>
                    <w:left w:val="nil"/>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501"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80" w:hRule="atLeast"/>
              </w:trPr>
              <w:tc>
                <w:tcPr>
                  <w:tcW w:w="354" w:type="pct"/>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1</w:t>
                  </w:r>
                </w:p>
              </w:tc>
              <w:tc>
                <w:tcPr>
                  <w:tcW w:w="1074" w:type="pct"/>
                  <w:tcBorders>
                    <w:top w:val="nil"/>
                    <w:left w:val="nil"/>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永久占地</w:t>
                  </w:r>
                </w:p>
              </w:tc>
              <w:tc>
                <w:tcPr>
                  <w:tcW w:w="441" w:type="pct"/>
                  <w:tcBorders>
                    <w:top w:val="nil"/>
                    <w:left w:val="nil"/>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亩</w:t>
                  </w:r>
                </w:p>
              </w:tc>
              <w:tc>
                <w:tcPr>
                  <w:tcW w:w="569"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295.26 </w:t>
                  </w:r>
                </w:p>
              </w:tc>
              <w:tc>
                <w:tcPr>
                  <w:tcW w:w="569"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51.41 </w:t>
                  </w:r>
                </w:p>
              </w:tc>
              <w:tc>
                <w:tcPr>
                  <w:tcW w:w="570"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346.67 </w:t>
                  </w:r>
                </w:p>
              </w:tc>
              <w:tc>
                <w:tcPr>
                  <w:tcW w:w="567"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295.91 </w:t>
                  </w:r>
                </w:p>
              </w:tc>
              <w:tc>
                <w:tcPr>
                  <w:tcW w:w="355"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51.61 </w:t>
                  </w:r>
                </w:p>
              </w:tc>
              <w:tc>
                <w:tcPr>
                  <w:tcW w:w="501"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347.52 </w:t>
                  </w:r>
                </w:p>
              </w:tc>
            </w:tr>
            <w:tr>
              <w:tblPrEx>
                <w:tblCellMar>
                  <w:top w:w="0" w:type="dxa"/>
                  <w:left w:w="108" w:type="dxa"/>
                  <w:bottom w:w="0" w:type="dxa"/>
                  <w:right w:w="108" w:type="dxa"/>
                </w:tblCellMar>
              </w:tblPrEx>
              <w:trPr>
                <w:trHeight w:val="280" w:hRule="atLeast"/>
              </w:trPr>
              <w:tc>
                <w:tcPr>
                  <w:tcW w:w="354" w:type="pc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（1）</w:t>
                  </w:r>
                </w:p>
              </w:tc>
              <w:tc>
                <w:tcPr>
                  <w:tcW w:w="1074" w:type="pct"/>
                  <w:tcBorders>
                    <w:top w:val="nil"/>
                    <w:left w:val="nil"/>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耕地</w:t>
                  </w:r>
                </w:p>
              </w:tc>
              <w:tc>
                <w:tcPr>
                  <w:tcW w:w="441" w:type="pct"/>
                  <w:tcBorders>
                    <w:top w:val="nil"/>
                    <w:left w:val="nil"/>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亩</w:t>
                  </w:r>
                </w:p>
              </w:tc>
              <w:tc>
                <w:tcPr>
                  <w:tcW w:w="569"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194.70 </w:t>
                  </w:r>
                </w:p>
              </w:tc>
              <w:tc>
                <w:tcPr>
                  <w:tcW w:w="569"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20.68 </w:t>
                  </w:r>
                </w:p>
              </w:tc>
              <w:tc>
                <w:tcPr>
                  <w:tcW w:w="570"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215.38 </w:t>
                  </w:r>
                </w:p>
              </w:tc>
              <w:tc>
                <w:tcPr>
                  <w:tcW w:w="567"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194.11 </w:t>
                  </w:r>
                </w:p>
              </w:tc>
              <w:tc>
                <w:tcPr>
                  <w:tcW w:w="355"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24.82 </w:t>
                  </w:r>
                </w:p>
              </w:tc>
              <w:tc>
                <w:tcPr>
                  <w:tcW w:w="501"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218.93 </w:t>
                  </w:r>
                </w:p>
              </w:tc>
            </w:tr>
            <w:tr>
              <w:tblPrEx>
                <w:tblCellMar>
                  <w:top w:w="0" w:type="dxa"/>
                  <w:left w:w="108" w:type="dxa"/>
                  <w:bottom w:w="0" w:type="dxa"/>
                  <w:right w:w="108" w:type="dxa"/>
                </w:tblCellMar>
              </w:tblPrEx>
              <w:trPr>
                <w:trHeight w:val="280" w:hRule="atLeast"/>
              </w:trPr>
              <w:tc>
                <w:tcPr>
                  <w:tcW w:w="354" w:type="pc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（2）</w:t>
                  </w:r>
                </w:p>
              </w:tc>
              <w:tc>
                <w:tcPr>
                  <w:tcW w:w="1074"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林地</w:t>
                  </w:r>
                </w:p>
              </w:tc>
              <w:tc>
                <w:tcPr>
                  <w:tcW w:w="441" w:type="pct"/>
                  <w:tcBorders>
                    <w:top w:val="nil"/>
                    <w:left w:val="nil"/>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亩</w:t>
                  </w:r>
                </w:p>
              </w:tc>
              <w:tc>
                <w:tcPr>
                  <w:tcW w:w="569"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83.93 </w:t>
                  </w:r>
                </w:p>
              </w:tc>
              <w:tc>
                <w:tcPr>
                  <w:tcW w:w="569"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27.49 </w:t>
                  </w:r>
                </w:p>
              </w:tc>
              <w:tc>
                <w:tcPr>
                  <w:tcW w:w="570"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111.42 </w:t>
                  </w:r>
                </w:p>
              </w:tc>
              <w:tc>
                <w:tcPr>
                  <w:tcW w:w="567"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84.63 </w:t>
                  </w:r>
                </w:p>
              </w:tc>
              <w:tc>
                <w:tcPr>
                  <w:tcW w:w="355"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24.95 </w:t>
                  </w:r>
                </w:p>
              </w:tc>
              <w:tc>
                <w:tcPr>
                  <w:tcW w:w="501"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109.58 </w:t>
                  </w:r>
                </w:p>
              </w:tc>
            </w:tr>
            <w:tr>
              <w:tblPrEx>
                <w:tblCellMar>
                  <w:top w:w="0" w:type="dxa"/>
                  <w:left w:w="108" w:type="dxa"/>
                  <w:bottom w:w="0" w:type="dxa"/>
                  <w:right w:w="108" w:type="dxa"/>
                </w:tblCellMar>
              </w:tblPrEx>
              <w:trPr>
                <w:trHeight w:val="280" w:hRule="atLeast"/>
              </w:trPr>
              <w:tc>
                <w:tcPr>
                  <w:tcW w:w="354" w:type="pc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（3）</w:t>
                  </w:r>
                </w:p>
              </w:tc>
              <w:tc>
                <w:tcPr>
                  <w:tcW w:w="1074"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住宅用地</w:t>
                  </w:r>
                </w:p>
              </w:tc>
              <w:tc>
                <w:tcPr>
                  <w:tcW w:w="441" w:type="pct"/>
                  <w:tcBorders>
                    <w:top w:val="nil"/>
                    <w:left w:val="nil"/>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亩</w:t>
                  </w:r>
                </w:p>
              </w:tc>
              <w:tc>
                <w:tcPr>
                  <w:tcW w:w="569"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8.49 </w:t>
                  </w:r>
                </w:p>
              </w:tc>
              <w:tc>
                <w:tcPr>
                  <w:tcW w:w="569"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0.00 </w:t>
                  </w:r>
                </w:p>
              </w:tc>
              <w:tc>
                <w:tcPr>
                  <w:tcW w:w="570"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8.49 </w:t>
                  </w:r>
                </w:p>
              </w:tc>
              <w:tc>
                <w:tcPr>
                  <w:tcW w:w="567"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7.80 </w:t>
                  </w:r>
                </w:p>
              </w:tc>
              <w:tc>
                <w:tcPr>
                  <w:tcW w:w="355"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0.00 </w:t>
                  </w:r>
                </w:p>
              </w:tc>
              <w:tc>
                <w:tcPr>
                  <w:tcW w:w="501"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7.80 </w:t>
                  </w:r>
                </w:p>
              </w:tc>
            </w:tr>
            <w:tr>
              <w:tblPrEx>
                <w:tblCellMar>
                  <w:top w:w="0" w:type="dxa"/>
                  <w:left w:w="108" w:type="dxa"/>
                  <w:bottom w:w="0" w:type="dxa"/>
                  <w:right w:w="108" w:type="dxa"/>
                </w:tblCellMar>
              </w:tblPrEx>
              <w:trPr>
                <w:trHeight w:val="280" w:hRule="atLeast"/>
              </w:trPr>
              <w:tc>
                <w:tcPr>
                  <w:tcW w:w="354" w:type="pc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（4）</w:t>
                  </w:r>
                </w:p>
              </w:tc>
              <w:tc>
                <w:tcPr>
                  <w:tcW w:w="1074"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交通运输用地</w:t>
                  </w:r>
                </w:p>
              </w:tc>
              <w:tc>
                <w:tcPr>
                  <w:tcW w:w="441" w:type="pct"/>
                  <w:tcBorders>
                    <w:top w:val="nil"/>
                    <w:left w:val="nil"/>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亩</w:t>
                  </w:r>
                </w:p>
              </w:tc>
              <w:tc>
                <w:tcPr>
                  <w:tcW w:w="569"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5.24 </w:t>
                  </w:r>
                </w:p>
              </w:tc>
              <w:tc>
                <w:tcPr>
                  <w:tcW w:w="569"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0.79 </w:t>
                  </w:r>
                </w:p>
              </w:tc>
              <w:tc>
                <w:tcPr>
                  <w:tcW w:w="570"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6.03 </w:t>
                  </w:r>
                </w:p>
              </w:tc>
              <w:tc>
                <w:tcPr>
                  <w:tcW w:w="567"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5.34 </w:t>
                  </w:r>
                </w:p>
              </w:tc>
              <w:tc>
                <w:tcPr>
                  <w:tcW w:w="355"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0.32 </w:t>
                  </w:r>
                </w:p>
              </w:tc>
              <w:tc>
                <w:tcPr>
                  <w:tcW w:w="501"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5.67 </w:t>
                  </w:r>
                </w:p>
              </w:tc>
            </w:tr>
            <w:tr>
              <w:tblPrEx>
                <w:tblCellMar>
                  <w:top w:w="0" w:type="dxa"/>
                  <w:left w:w="108" w:type="dxa"/>
                  <w:bottom w:w="0" w:type="dxa"/>
                  <w:right w:w="108" w:type="dxa"/>
                </w:tblCellMar>
              </w:tblPrEx>
              <w:trPr>
                <w:trHeight w:val="280" w:hRule="atLeast"/>
              </w:trPr>
              <w:tc>
                <w:tcPr>
                  <w:tcW w:w="354" w:type="pc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（5）</w:t>
                  </w:r>
                </w:p>
              </w:tc>
              <w:tc>
                <w:tcPr>
                  <w:tcW w:w="1074"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水域及水利设施用地</w:t>
                  </w:r>
                </w:p>
              </w:tc>
              <w:tc>
                <w:tcPr>
                  <w:tcW w:w="441" w:type="pct"/>
                  <w:tcBorders>
                    <w:top w:val="nil"/>
                    <w:left w:val="nil"/>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亩</w:t>
                  </w:r>
                </w:p>
              </w:tc>
              <w:tc>
                <w:tcPr>
                  <w:tcW w:w="569"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2.90 </w:t>
                  </w:r>
                </w:p>
              </w:tc>
              <w:tc>
                <w:tcPr>
                  <w:tcW w:w="569"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2.44 </w:t>
                  </w:r>
                </w:p>
              </w:tc>
              <w:tc>
                <w:tcPr>
                  <w:tcW w:w="570"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5.35 </w:t>
                  </w:r>
                </w:p>
              </w:tc>
              <w:tc>
                <w:tcPr>
                  <w:tcW w:w="567"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4.03 </w:t>
                  </w:r>
                </w:p>
              </w:tc>
              <w:tc>
                <w:tcPr>
                  <w:tcW w:w="355"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1.52 </w:t>
                  </w:r>
                </w:p>
              </w:tc>
              <w:tc>
                <w:tcPr>
                  <w:tcW w:w="501"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5.55 </w:t>
                  </w:r>
                </w:p>
              </w:tc>
            </w:tr>
            <w:tr>
              <w:tblPrEx>
                <w:tblCellMar>
                  <w:top w:w="0" w:type="dxa"/>
                  <w:left w:w="108" w:type="dxa"/>
                  <w:bottom w:w="0" w:type="dxa"/>
                  <w:right w:w="108" w:type="dxa"/>
                </w:tblCellMar>
              </w:tblPrEx>
              <w:trPr>
                <w:trHeight w:val="280" w:hRule="atLeast"/>
              </w:trPr>
              <w:tc>
                <w:tcPr>
                  <w:tcW w:w="354" w:type="pct"/>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2</w:t>
                  </w:r>
                </w:p>
              </w:tc>
              <w:tc>
                <w:tcPr>
                  <w:tcW w:w="1074"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搬迁</w:t>
                  </w:r>
                </w:p>
              </w:tc>
              <w:tc>
                <w:tcPr>
                  <w:tcW w:w="441" w:type="pct"/>
                  <w:tcBorders>
                    <w:top w:val="nil"/>
                    <w:left w:val="nil"/>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569" w:type="pct"/>
                  <w:tcBorders>
                    <w:top w:val="nil"/>
                    <w:left w:val="nil"/>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569" w:type="pct"/>
                  <w:tcBorders>
                    <w:top w:val="nil"/>
                    <w:left w:val="nil"/>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570"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567" w:type="pct"/>
                  <w:tcBorders>
                    <w:top w:val="nil"/>
                    <w:left w:val="nil"/>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355" w:type="pct"/>
                  <w:tcBorders>
                    <w:top w:val="nil"/>
                    <w:left w:val="nil"/>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501"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80" w:hRule="atLeast"/>
              </w:trPr>
              <w:tc>
                <w:tcPr>
                  <w:tcW w:w="354" w:type="pc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（1）</w:t>
                  </w:r>
                </w:p>
              </w:tc>
              <w:tc>
                <w:tcPr>
                  <w:tcW w:w="1074"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搬迁人口</w:t>
                  </w:r>
                </w:p>
              </w:tc>
              <w:tc>
                <w:tcPr>
                  <w:tcW w:w="441" w:type="pct"/>
                  <w:tcBorders>
                    <w:top w:val="nil"/>
                    <w:left w:val="nil"/>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人</w:t>
                  </w:r>
                </w:p>
              </w:tc>
              <w:tc>
                <w:tcPr>
                  <w:tcW w:w="569" w:type="pct"/>
                  <w:tcBorders>
                    <w:top w:val="nil"/>
                    <w:left w:val="nil"/>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90 </w:t>
                  </w:r>
                </w:p>
              </w:tc>
              <w:tc>
                <w:tcPr>
                  <w:tcW w:w="569" w:type="pct"/>
                  <w:tcBorders>
                    <w:top w:val="nil"/>
                    <w:left w:val="nil"/>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570"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90 </w:t>
                  </w:r>
                </w:p>
              </w:tc>
              <w:tc>
                <w:tcPr>
                  <w:tcW w:w="567"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90 </w:t>
                  </w:r>
                </w:p>
              </w:tc>
              <w:tc>
                <w:tcPr>
                  <w:tcW w:w="355" w:type="pct"/>
                  <w:tcBorders>
                    <w:top w:val="nil"/>
                    <w:left w:val="nil"/>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501"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90 </w:t>
                  </w:r>
                </w:p>
              </w:tc>
            </w:tr>
            <w:tr>
              <w:tblPrEx>
                <w:tblCellMar>
                  <w:top w:w="0" w:type="dxa"/>
                  <w:left w:w="108" w:type="dxa"/>
                  <w:bottom w:w="0" w:type="dxa"/>
                  <w:right w:w="108" w:type="dxa"/>
                </w:tblCellMar>
              </w:tblPrEx>
              <w:trPr>
                <w:trHeight w:val="320" w:hRule="atLeast"/>
              </w:trPr>
              <w:tc>
                <w:tcPr>
                  <w:tcW w:w="354" w:type="pc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（2）</w:t>
                  </w:r>
                </w:p>
              </w:tc>
              <w:tc>
                <w:tcPr>
                  <w:tcW w:w="1074" w:type="pct"/>
                  <w:tcBorders>
                    <w:top w:val="nil"/>
                    <w:left w:val="nil"/>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搬迁房屋</w:t>
                  </w:r>
                </w:p>
              </w:tc>
              <w:tc>
                <w:tcPr>
                  <w:tcW w:w="441" w:type="pct"/>
                  <w:tcBorders>
                    <w:top w:val="nil"/>
                    <w:left w:val="nil"/>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r>
                    <w:rPr>
                      <w:rFonts w:hint="default" w:ascii="Times New Roman" w:hAnsi="Times New Roman" w:eastAsia="宋体" w:cs="Times New Roman"/>
                      <w:b w:val="0"/>
                      <w:bCs/>
                      <w:color w:val="auto"/>
                      <w:kern w:val="0"/>
                      <w:sz w:val="21"/>
                      <w:szCs w:val="21"/>
                      <w:highlight w:val="none"/>
                      <w:vertAlign w:val="superscript"/>
                    </w:rPr>
                    <w:t>2</w:t>
                  </w:r>
                </w:p>
              </w:tc>
              <w:tc>
                <w:tcPr>
                  <w:tcW w:w="569" w:type="pct"/>
                  <w:tcBorders>
                    <w:top w:val="nil"/>
                    <w:left w:val="nil"/>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7222 </w:t>
                  </w:r>
                </w:p>
              </w:tc>
              <w:tc>
                <w:tcPr>
                  <w:tcW w:w="569" w:type="pct"/>
                  <w:tcBorders>
                    <w:top w:val="nil"/>
                    <w:left w:val="nil"/>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570"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7222 </w:t>
                  </w:r>
                </w:p>
              </w:tc>
              <w:tc>
                <w:tcPr>
                  <w:tcW w:w="567"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7222 </w:t>
                  </w:r>
                </w:p>
              </w:tc>
              <w:tc>
                <w:tcPr>
                  <w:tcW w:w="355" w:type="pct"/>
                  <w:tcBorders>
                    <w:top w:val="nil"/>
                    <w:left w:val="nil"/>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501"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7222 </w:t>
                  </w:r>
                </w:p>
              </w:tc>
            </w:tr>
            <w:tr>
              <w:tblPrEx>
                <w:tblCellMar>
                  <w:top w:w="0" w:type="dxa"/>
                  <w:left w:w="108" w:type="dxa"/>
                  <w:bottom w:w="0" w:type="dxa"/>
                  <w:right w:w="108" w:type="dxa"/>
                </w:tblCellMar>
              </w:tblPrEx>
              <w:trPr>
                <w:trHeight w:val="280" w:hRule="atLeast"/>
              </w:trPr>
              <w:tc>
                <w:tcPr>
                  <w:tcW w:w="354" w:type="pct"/>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3</w:t>
                  </w:r>
                </w:p>
              </w:tc>
              <w:tc>
                <w:tcPr>
                  <w:tcW w:w="1074" w:type="pct"/>
                  <w:tcBorders>
                    <w:top w:val="nil"/>
                    <w:left w:val="nil"/>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专业项目</w:t>
                  </w:r>
                </w:p>
              </w:tc>
              <w:tc>
                <w:tcPr>
                  <w:tcW w:w="441" w:type="pct"/>
                  <w:tcBorders>
                    <w:top w:val="nil"/>
                    <w:left w:val="nil"/>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569" w:type="pct"/>
                  <w:tcBorders>
                    <w:top w:val="nil"/>
                    <w:left w:val="nil"/>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569" w:type="pct"/>
                  <w:tcBorders>
                    <w:top w:val="nil"/>
                    <w:left w:val="nil"/>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570"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567" w:type="pct"/>
                  <w:tcBorders>
                    <w:top w:val="nil"/>
                    <w:left w:val="nil"/>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355" w:type="pct"/>
                  <w:tcBorders>
                    <w:top w:val="nil"/>
                    <w:left w:val="nil"/>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501"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80" w:hRule="atLeast"/>
              </w:trPr>
              <w:tc>
                <w:tcPr>
                  <w:tcW w:w="354" w:type="pc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（1）</w:t>
                  </w:r>
                </w:p>
              </w:tc>
              <w:tc>
                <w:tcPr>
                  <w:tcW w:w="1074" w:type="pct"/>
                  <w:tcBorders>
                    <w:top w:val="nil"/>
                    <w:left w:val="nil"/>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机耕道</w:t>
                  </w:r>
                </w:p>
              </w:tc>
              <w:tc>
                <w:tcPr>
                  <w:tcW w:w="441" w:type="pct"/>
                  <w:tcBorders>
                    <w:top w:val="nil"/>
                    <w:left w:val="nil"/>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km</w:t>
                  </w:r>
                </w:p>
              </w:tc>
              <w:tc>
                <w:tcPr>
                  <w:tcW w:w="569"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1.59 </w:t>
                  </w:r>
                </w:p>
              </w:tc>
              <w:tc>
                <w:tcPr>
                  <w:tcW w:w="569"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0.24 </w:t>
                  </w:r>
                </w:p>
              </w:tc>
              <w:tc>
                <w:tcPr>
                  <w:tcW w:w="570"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1.83 </w:t>
                  </w:r>
                </w:p>
              </w:tc>
              <w:tc>
                <w:tcPr>
                  <w:tcW w:w="567"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1.75 </w:t>
                  </w:r>
                </w:p>
              </w:tc>
              <w:tc>
                <w:tcPr>
                  <w:tcW w:w="355"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0.23 </w:t>
                  </w:r>
                </w:p>
              </w:tc>
              <w:tc>
                <w:tcPr>
                  <w:tcW w:w="501"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1.98 </w:t>
                  </w:r>
                </w:p>
              </w:tc>
            </w:tr>
            <w:tr>
              <w:tblPrEx>
                <w:tblCellMar>
                  <w:top w:w="0" w:type="dxa"/>
                  <w:left w:w="108" w:type="dxa"/>
                  <w:bottom w:w="0" w:type="dxa"/>
                  <w:right w:w="108" w:type="dxa"/>
                </w:tblCellMar>
              </w:tblPrEx>
              <w:trPr>
                <w:trHeight w:val="280" w:hRule="atLeast"/>
              </w:trPr>
              <w:tc>
                <w:tcPr>
                  <w:tcW w:w="354" w:type="pc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（2）</w:t>
                  </w:r>
                </w:p>
              </w:tc>
              <w:tc>
                <w:tcPr>
                  <w:tcW w:w="1074" w:type="pct"/>
                  <w:tcBorders>
                    <w:top w:val="nil"/>
                    <w:left w:val="nil"/>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10KV输电线路</w:t>
                  </w:r>
                </w:p>
              </w:tc>
              <w:tc>
                <w:tcPr>
                  <w:tcW w:w="441" w:type="pct"/>
                  <w:tcBorders>
                    <w:top w:val="nil"/>
                    <w:left w:val="nil"/>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杆km</w:t>
                  </w:r>
                </w:p>
              </w:tc>
              <w:tc>
                <w:tcPr>
                  <w:tcW w:w="569"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0.92 </w:t>
                  </w:r>
                </w:p>
              </w:tc>
              <w:tc>
                <w:tcPr>
                  <w:tcW w:w="569"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0.39 </w:t>
                  </w:r>
                </w:p>
              </w:tc>
              <w:tc>
                <w:tcPr>
                  <w:tcW w:w="570"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1.31 </w:t>
                  </w:r>
                </w:p>
              </w:tc>
              <w:tc>
                <w:tcPr>
                  <w:tcW w:w="567"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0.95 </w:t>
                  </w:r>
                </w:p>
              </w:tc>
              <w:tc>
                <w:tcPr>
                  <w:tcW w:w="355"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0.37 </w:t>
                  </w:r>
                </w:p>
              </w:tc>
              <w:tc>
                <w:tcPr>
                  <w:tcW w:w="501"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1.32 </w:t>
                  </w:r>
                </w:p>
              </w:tc>
            </w:tr>
            <w:tr>
              <w:tblPrEx>
                <w:tblCellMar>
                  <w:top w:w="0" w:type="dxa"/>
                  <w:left w:w="108" w:type="dxa"/>
                  <w:bottom w:w="0" w:type="dxa"/>
                  <w:right w:w="108" w:type="dxa"/>
                </w:tblCellMar>
              </w:tblPrEx>
              <w:trPr>
                <w:trHeight w:val="280" w:hRule="atLeast"/>
              </w:trPr>
              <w:tc>
                <w:tcPr>
                  <w:tcW w:w="354" w:type="pc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（3）</w:t>
                  </w:r>
                </w:p>
              </w:tc>
              <w:tc>
                <w:tcPr>
                  <w:tcW w:w="1074" w:type="pct"/>
                  <w:tcBorders>
                    <w:top w:val="nil"/>
                    <w:left w:val="nil"/>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通信光缆</w:t>
                  </w:r>
                </w:p>
              </w:tc>
              <w:tc>
                <w:tcPr>
                  <w:tcW w:w="441" w:type="pct"/>
                  <w:tcBorders>
                    <w:top w:val="nil"/>
                    <w:left w:val="nil"/>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杆km</w:t>
                  </w:r>
                </w:p>
              </w:tc>
              <w:tc>
                <w:tcPr>
                  <w:tcW w:w="569"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0.66 </w:t>
                  </w:r>
                </w:p>
              </w:tc>
              <w:tc>
                <w:tcPr>
                  <w:tcW w:w="569"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0.35 </w:t>
                  </w:r>
                </w:p>
              </w:tc>
              <w:tc>
                <w:tcPr>
                  <w:tcW w:w="570"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1.01 </w:t>
                  </w:r>
                </w:p>
              </w:tc>
              <w:tc>
                <w:tcPr>
                  <w:tcW w:w="567"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0.68 </w:t>
                  </w:r>
                </w:p>
              </w:tc>
              <w:tc>
                <w:tcPr>
                  <w:tcW w:w="355"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0.34 </w:t>
                  </w:r>
                </w:p>
              </w:tc>
              <w:tc>
                <w:tcPr>
                  <w:tcW w:w="501"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1.02 </w:t>
                  </w:r>
                </w:p>
              </w:tc>
            </w:tr>
            <w:tr>
              <w:tblPrEx>
                <w:tblCellMar>
                  <w:top w:w="0" w:type="dxa"/>
                  <w:left w:w="108" w:type="dxa"/>
                  <w:bottom w:w="0" w:type="dxa"/>
                  <w:right w:w="108" w:type="dxa"/>
                </w:tblCellMar>
              </w:tblPrEx>
              <w:trPr>
                <w:trHeight w:val="280" w:hRule="atLeast"/>
              </w:trPr>
              <w:tc>
                <w:tcPr>
                  <w:tcW w:w="354" w:type="pct"/>
                  <w:tcBorders>
                    <w:top w:val="nil"/>
                    <w:left w:val="single" w:color="auto" w:sz="4" w:space="0"/>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（4）</w:t>
                  </w:r>
                </w:p>
              </w:tc>
              <w:tc>
                <w:tcPr>
                  <w:tcW w:w="1074" w:type="pct"/>
                  <w:tcBorders>
                    <w:top w:val="nil"/>
                    <w:left w:val="nil"/>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广电光缆</w:t>
                  </w:r>
                </w:p>
              </w:tc>
              <w:tc>
                <w:tcPr>
                  <w:tcW w:w="441" w:type="pct"/>
                  <w:tcBorders>
                    <w:top w:val="nil"/>
                    <w:left w:val="nil"/>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杆km</w:t>
                  </w:r>
                </w:p>
              </w:tc>
              <w:tc>
                <w:tcPr>
                  <w:tcW w:w="569"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1.34 </w:t>
                  </w:r>
                </w:p>
              </w:tc>
              <w:tc>
                <w:tcPr>
                  <w:tcW w:w="569"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0.40 </w:t>
                  </w:r>
                </w:p>
              </w:tc>
              <w:tc>
                <w:tcPr>
                  <w:tcW w:w="570"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1.74 </w:t>
                  </w:r>
                </w:p>
              </w:tc>
              <w:tc>
                <w:tcPr>
                  <w:tcW w:w="567"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1.51 </w:t>
                  </w:r>
                </w:p>
              </w:tc>
              <w:tc>
                <w:tcPr>
                  <w:tcW w:w="355"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0.39 </w:t>
                  </w:r>
                </w:p>
              </w:tc>
              <w:tc>
                <w:tcPr>
                  <w:tcW w:w="501"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1.90 </w:t>
                  </w:r>
                </w:p>
              </w:tc>
            </w:tr>
            <w:tr>
              <w:tblPrEx>
                <w:tblCellMar>
                  <w:top w:w="0" w:type="dxa"/>
                  <w:left w:w="108" w:type="dxa"/>
                  <w:bottom w:w="0" w:type="dxa"/>
                  <w:right w:w="108" w:type="dxa"/>
                </w:tblCellMar>
              </w:tblPrEx>
              <w:trPr>
                <w:trHeight w:val="280" w:hRule="atLeast"/>
              </w:trPr>
              <w:tc>
                <w:tcPr>
                  <w:tcW w:w="354" w:type="pct"/>
                  <w:tcBorders>
                    <w:top w:val="nil"/>
                    <w:left w:val="single" w:color="auto" w:sz="4" w:space="0"/>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二</w:t>
                  </w:r>
                </w:p>
              </w:tc>
              <w:tc>
                <w:tcPr>
                  <w:tcW w:w="1074" w:type="pct"/>
                  <w:tcBorders>
                    <w:top w:val="nil"/>
                    <w:left w:val="nil"/>
                    <w:bottom w:val="single" w:color="auto" w:sz="4" w:space="0"/>
                    <w:right w:val="single" w:color="auto" w:sz="4" w:space="0"/>
                  </w:tcBorders>
                  <w:shd w:val="clear" w:color="auto" w:fill="auto"/>
                  <w:tcMar>
                    <w:left w:w="28" w:type="dxa"/>
                    <w:right w:w="28" w:type="dxa"/>
                  </w:tcMar>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征地及移民费用</w:t>
                  </w:r>
                </w:p>
              </w:tc>
              <w:tc>
                <w:tcPr>
                  <w:tcW w:w="441"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万元</w:t>
                  </w:r>
                </w:p>
              </w:tc>
              <w:tc>
                <w:tcPr>
                  <w:tcW w:w="569"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3849.70 </w:t>
                  </w:r>
                </w:p>
              </w:tc>
              <w:tc>
                <w:tcPr>
                  <w:tcW w:w="569"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639.32 </w:t>
                  </w:r>
                </w:p>
              </w:tc>
              <w:tc>
                <w:tcPr>
                  <w:tcW w:w="570"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4489.02 </w:t>
                  </w:r>
                </w:p>
              </w:tc>
              <w:tc>
                <w:tcPr>
                  <w:tcW w:w="567"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3845.83 </w:t>
                  </w:r>
                </w:p>
              </w:tc>
              <w:tc>
                <w:tcPr>
                  <w:tcW w:w="355"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656.62 </w:t>
                  </w:r>
                </w:p>
              </w:tc>
              <w:tc>
                <w:tcPr>
                  <w:tcW w:w="501" w:type="pct"/>
                  <w:tcBorders>
                    <w:top w:val="nil"/>
                    <w:left w:val="nil"/>
                    <w:bottom w:val="single" w:color="auto" w:sz="4" w:space="0"/>
                    <w:right w:val="single" w:color="auto" w:sz="4" w:space="0"/>
                  </w:tcBorders>
                  <w:shd w:val="clear" w:color="auto" w:fill="auto"/>
                  <w:noWrap/>
                  <w:tcMar>
                    <w:left w:w="28" w:type="dxa"/>
                    <w:right w:w="28" w:type="dxa"/>
                  </w:tcMar>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4502.45 </w:t>
                  </w:r>
                </w:p>
              </w:tc>
            </w:tr>
          </w:tbl>
          <w:p>
            <w:pPr>
              <w:spacing w:line="360" w:lineRule="auto"/>
              <w:ind w:firstLine="480"/>
              <w:rPr>
                <w:rFonts w:hint="default" w:ascii="Times New Roman" w:hAnsi="Times New Roman" w:eastAsia="宋体" w:cs="Times New Roman"/>
                <w:b w:val="0"/>
                <w:bCs/>
                <w:color w:val="auto"/>
                <w:sz w:val="21"/>
                <w:szCs w:val="21"/>
                <w:highlight w:val="none"/>
                <w:lang w:bidi="en-US"/>
              </w:rPr>
            </w:pPr>
            <w:r>
              <w:rPr>
                <w:rFonts w:hint="default" w:ascii="Times New Roman" w:hAnsi="Times New Roman" w:eastAsia="宋体" w:cs="Times New Roman"/>
                <w:b w:val="0"/>
                <w:bCs/>
                <w:color w:val="auto"/>
                <w:sz w:val="21"/>
                <w:szCs w:val="21"/>
                <w:highlight w:val="none"/>
              </w:rPr>
              <w:t>由上表可知</w:t>
            </w:r>
            <w:r>
              <w:rPr>
                <w:rFonts w:hint="default" w:ascii="Times New Roman" w:hAnsi="Times New Roman" w:eastAsia="宋体" w:cs="Times New Roman"/>
                <w:b w:val="0"/>
                <w:bCs/>
                <w:color w:val="auto"/>
                <w:sz w:val="21"/>
                <w:szCs w:val="21"/>
                <w:highlight w:val="none"/>
                <w:lang w:bidi="en-US"/>
              </w:rPr>
              <w:t>，上、下坝线永久占地指标差别不大，水库淹没影响区及枢纽区总的征地及移民费用差别不大，上坝线费用较下坝线略低13.43万元。因此，从占地及移民指标来看，上坝线略优。</w:t>
            </w:r>
          </w:p>
          <w:p>
            <w:pPr>
              <w:pStyle w:val="99"/>
              <w:spacing w:line="360" w:lineRule="auto"/>
              <w:ind w:firstLine="482"/>
              <w:rPr>
                <w:rFonts w:hint="default"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eastAsia="zh-CN"/>
              </w:rPr>
              <w:t>（</w:t>
            </w:r>
            <w:r>
              <w:rPr>
                <w:rFonts w:hint="eastAsia" w:ascii="Times New Roman" w:hAnsi="Times New Roman" w:eastAsia="宋体" w:cs="Times New Roman"/>
                <w:b w:val="0"/>
                <w:bCs/>
                <w:color w:val="auto"/>
                <w:sz w:val="21"/>
                <w:szCs w:val="21"/>
                <w:highlight w:val="none"/>
                <w:lang w:val="en-US" w:eastAsia="zh-CN"/>
              </w:rPr>
              <w:t>6</w:t>
            </w:r>
            <w:r>
              <w:rPr>
                <w:rFonts w:hint="eastAsia"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坝线综合比较</w:t>
            </w:r>
          </w:p>
          <w:p>
            <w:pPr>
              <w:spacing w:line="360" w:lineRule="auto"/>
              <w:ind w:firstLine="480"/>
              <w:rPr>
                <w:rFonts w:hint="default" w:ascii="Times New Roman" w:hAnsi="Times New Roman" w:eastAsia="宋体" w:cs="Times New Roman"/>
                <w:b w:val="0"/>
                <w:bCs/>
                <w:color w:val="auto"/>
                <w:sz w:val="21"/>
                <w:szCs w:val="21"/>
                <w:highlight w:val="none"/>
                <w:lang w:bidi="en-US"/>
              </w:rPr>
            </w:pPr>
            <w:r>
              <w:rPr>
                <w:rFonts w:hint="default" w:ascii="Times New Roman" w:hAnsi="Times New Roman" w:eastAsia="宋体" w:cs="Times New Roman"/>
                <w:b w:val="0"/>
                <w:bCs/>
                <w:color w:val="auto"/>
                <w:sz w:val="21"/>
                <w:szCs w:val="21"/>
                <w:highlight w:val="none"/>
                <w:lang w:bidi="en-US"/>
              </w:rPr>
              <w:t>综合上、下坝线各技术经济指标，见表</w:t>
            </w:r>
            <w:r>
              <w:rPr>
                <w:rFonts w:hint="eastAsia" w:ascii="Times New Roman" w:hAnsi="Times New Roman" w:eastAsia="宋体" w:cs="Times New Roman"/>
                <w:b w:val="0"/>
                <w:bCs/>
                <w:color w:val="auto"/>
                <w:sz w:val="21"/>
                <w:szCs w:val="21"/>
                <w:highlight w:val="none"/>
                <w:lang w:val="en-US" w:eastAsia="zh-CN" w:bidi="en-US"/>
              </w:rPr>
              <w:t>4</w:t>
            </w:r>
            <w:r>
              <w:rPr>
                <w:rFonts w:hint="default" w:ascii="Times New Roman" w:hAnsi="Times New Roman" w:eastAsia="宋体" w:cs="Times New Roman"/>
                <w:b w:val="0"/>
                <w:bCs/>
                <w:color w:val="auto"/>
                <w:sz w:val="21"/>
                <w:szCs w:val="21"/>
                <w:highlight w:val="none"/>
                <w:lang w:bidi="en-US"/>
              </w:rPr>
              <w:t>-6。</w:t>
            </w:r>
          </w:p>
          <w:p>
            <w:pPr>
              <w:suppressAutoHyphens/>
              <w:spacing w:line="360" w:lineRule="auto"/>
              <w:ind w:firstLine="422"/>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表</w:t>
            </w:r>
            <w:r>
              <w:rPr>
                <w:rFonts w:hint="eastAsia" w:ascii="Times New Roman" w:hAnsi="Times New Roman" w:eastAsia="宋体" w:cs="Times New Roman"/>
                <w:b w:val="0"/>
                <w:bCs/>
                <w:color w:val="auto"/>
                <w:sz w:val="21"/>
                <w:szCs w:val="21"/>
                <w:highlight w:val="none"/>
                <w:lang w:val="en-US" w:eastAsia="zh-CN"/>
              </w:rPr>
              <w:t>4</w:t>
            </w:r>
            <w:r>
              <w:rPr>
                <w:rFonts w:hint="default" w:ascii="Times New Roman" w:hAnsi="Times New Roman" w:eastAsia="宋体" w:cs="Times New Roman"/>
                <w:b w:val="0"/>
                <w:bCs/>
                <w:color w:val="auto"/>
                <w:sz w:val="21"/>
                <w:szCs w:val="21"/>
                <w:highlight w:val="none"/>
              </w:rPr>
              <w:t>-6   各坝线技术经济指标综合比较表</w:t>
            </w:r>
          </w:p>
          <w:tbl>
            <w:tblPr>
              <w:tblStyle w:val="29"/>
              <w:tblW w:w="5000" w:type="pct"/>
              <w:tblInd w:w="0" w:type="dxa"/>
              <w:tblLayout w:type="autofit"/>
              <w:tblCellMar>
                <w:top w:w="0" w:type="dxa"/>
                <w:left w:w="108" w:type="dxa"/>
                <w:bottom w:w="0" w:type="dxa"/>
                <w:right w:w="108" w:type="dxa"/>
              </w:tblCellMar>
            </w:tblPr>
            <w:tblGrid>
              <w:gridCol w:w="854"/>
              <w:gridCol w:w="2891"/>
              <w:gridCol w:w="758"/>
              <w:gridCol w:w="1792"/>
              <w:gridCol w:w="1792"/>
              <w:gridCol w:w="1063"/>
            </w:tblGrid>
            <w:tr>
              <w:tblPrEx>
                <w:tblCellMar>
                  <w:top w:w="0" w:type="dxa"/>
                  <w:left w:w="108" w:type="dxa"/>
                  <w:bottom w:w="0" w:type="dxa"/>
                  <w:right w:w="108" w:type="dxa"/>
                </w:tblCellMar>
              </w:tblPrEx>
              <w:trPr>
                <w:trHeight w:val="20" w:hRule="atLeast"/>
                <w:tblHeader/>
              </w:trPr>
              <w:tc>
                <w:tcPr>
                  <w:tcW w:w="2047" w:type="pct"/>
                  <w:gridSpan w:val="2"/>
                  <w:tcBorders>
                    <w:top w:val="single" w:color="auto" w:sz="4" w:space="0"/>
                    <w:left w:val="single" w:color="auto"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项目</w:t>
                  </w:r>
                </w:p>
              </w:tc>
              <w:tc>
                <w:tcPr>
                  <w:tcW w:w="414" w:type="pct"/>
                  <w:tcBorders>
                    <w:top w:val="single" w:color="auto" w:sz="4" w:space="0"/>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单位</w:t>
                  </w:r>
                </w:p>
              </w:tc>
              <w:tc>
                <w:tcPr>
                  <w:tcW w:w="979" w:type="pct"/>
                  <w:tcBorders>
                    <w:top w:val="single" w:color="auto" w:sz="4" w:space="0"/>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上坝线</w:t>
                  </w:r>
                </w:p>
              </w:tc>
              <w:tc>
                <w:tcPr>
                  <w:tcW w:w="979" w:type="pct"/>
                  <w:tcBorders>
                    <w:top w:val="single" w:color="auto" w:sz="4" w:space="0"/>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下坝线</w:t>
                  </w:r>
                </w:p>
              </w:tc>
              <w:tc>
                <w:tcPr>
                  <w:tcW w:w="581" w:type="pct"/>
                  <w:tcBorders>
                    <w:top w:val="single" w:color="auto" w:sz="4" w:space="0"/>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备注</w:t>
                  </w:r>
                </w:p>
              </w:tc>
            </w:tr>
            <w:tr>
              <w:tblPrEx>
                <w:tblCellMar>
                  <w:top w:w="0" w:type="dxa"/>
                  <w:left w:w="108" w:type="dxa"/>
                  <w:bottom w:w="0" w:type="dxa"/>
                  <w:right w:w="108" w:type="dxa"/>
                </w:tblCellMar>
              </w:tblPrEx>
              <w:trPr>
                <w:trHeight w:val="20" w:hRule="atLeast"/>
              </w:trPr>
              <w:tc>
                <w:tcPr>
                  <w:tcW w:w="2047" w:type="pct"/>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一、水库条件</w:t>
                  </w:r>
                </w:p>
              </w:tc>
              <w:tc>
                <w:tcPr>
                  <w:tcW w:w="41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9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9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58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1</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坝址以上集雨面积</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km</w:t>
                  </w:r>
                  <w:r>
                    <w:rPr>
                      <w:rFonts w:hint="default" w:ascii="Times New Roman" w:hAnsi="Times New Roman" w:eastAsia="宋体" w:cs="Times New Roman"/>
                      <w:b w:val="0"/>
                      <w:bCs/>
                      <w:color w:val="auto"/>
                      <w:kern w:val="0"/>
                      <w:sz w:val="21"/>
                      <w:szCs w:val="21"/>
                      <w:highlight w:val="none"/>
                      <w:vertAlign w:val="superscript"/>
                    </w:rPr>
                    <w:t>2</w:t>
                  </w:r>
                </w:p>
              </w:tc>
              <w:tc>
                <w:tcPr>
                  <w:tcW w:w="9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1.57</w:t>
                  </w:r>
                </w:p>
              </w:tc>
              <w:tc>
                <w:tcPr>
                  <w:tcW w:w="9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1.57</w:t>
                  </w:r>
                </w:p>
              </w:tc>
              <w:tc>
                <w:tcPr>
                  <w:tcW w:w="58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2</w:t>
                  </w:r>
                </w:p>
              </w:tc>
              <w:tc>
                <w:tcPr>
                  <w:tcW w:w="158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多年平均径流量</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万m</w:t>
                  </w:r>
                  <w:r>
                    <w:rPr>
                      <w:rFonts w:hint="default" w:ascii="Times New Roman" w:hAnsi="Times New Roman" w:eastAsia="宋体" w:cs="Times New Roman"/>
                      <w:b w:val="0"/>
                      <w:bCs/>
                      <w:color w:val="auto"/>
                      <w:kern w:val="0"/>
                      <w:sz w:val="21"/>
                      <w:szCs w:val="21"/>
                      <w:highlight w:val="none"/>
                      <w:vertAlign w:val="superscript"/>
                    </w:rPr>
                    <w:t>3</w:t>
                  </w:r>
                </w:p>
              </w:tc>
              <w:tc>
                <w:tcPr>
                  <w:tcW w:w="9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89.4</w:t>
                  </w:r>
                </w:p>
              </w:tc>
              <w:tc>
                <w:tcPr>
                  <w:tcW w:w="9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89</w:t>
                  </w:r>
                </w:p>
              </w:tc>
              <w:tc>
                <w:tcPr>
                  <w:tcW w:w="58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3</w:t>
                  </w:r>
                </w:p>
              </w:tc>
              <w:tc>
                <w:tcPr>
                  <w:tcW w:w="158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年借水量</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万m</w:t>
                  </w:r>
                  <w:r>
                    <w:rPr>
                      <w:rFonts w:hint="default" w:ascii="Times New Roman" w:hAnsi="Times New Roman" w:eastAsia="宋体" w:cs="Times New Roman"/>
                      <w:b w:val="0"/>
                      <w:bCs/>
                      <w:color w:val="auto"/>
                      <w:kern w:val="0"/>
                      <w:sz w:val="21"/>
                      <w:szCs w:val="21"/>
                      <w:highlight w:val="none"/>
                      <w:vertAlign w:val="superscript"/>
                    </w:rPr>
                    <w:t>3</w:t>
                  </w:r>
                </w:p>
              </w:tc>
              <w:tc>
                <w:tcPr>
                  <w:tcW w:w="9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147 </w:t>
                  </w:r>
                </w:p>
              </w:tc>
              <w:tc>
                <w:tcPr>
                  <w:tcW w:w="9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147 </w:t>
                  </w:r>
                </w:p>
              </w:tc>
              <w:tc>
                <w:tcPr>
                  <w:tcW w:w="58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4</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设计洪峰流量（P=3.33%）</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r>
                    <w:rPr>
                      <w:rFonts w:hint="default" w:ascii="Times New Roman" w:hAnsi="Times New Roman" w:eastAsia="宋体" w:cs="Times New Roman"/>
                      <w:b w:val="0"/>
                      <w:bCs/>
                      <w:color w:val="auto"/>
                      <w:kern w:val="0"/>
                      <w:sz w:val="21"/>
                      <w:szCs w:val="21"/>
                      <w:highlight w:val="none"/>
                      <w:vertAlign w:val="superscript"/>
                    </w:rPr>
                    <w:t>3</w:t>
                  </w:r>
                  <w:r>
                    <w:rPr>
                      <w:rFonts w:hint="default" w:ascii="Times New Roman" w:hAnsi="Times New Roman" w:eastAsia="宋体" w:cs="Times New Roman"/>
                      <w:b w:val="0"/>
                      <w:bCs/>
                      <w:color w:val="auto"/>
                      <w:kern w:val="0"/>
                      <w:sz w:val="21"/>
                      <w:szCs w:val="21"/>
                      <w:highlight w:val="none"/>
                    </w:rPr>
                    <w:t>/s</w:t>
                  </w:r>
                </w:p>
              </w:tc>
              <w:tc>
                <w:tcPr>
                  <w:tcW w:w="9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27.0 </w:t>
                  </w:r>
                </w:p>
              </w:tc>
              <w:tc>
                <w:tcPr>
                  <w:tcW w:w="9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27.0 </w:t>
                  </w:r>
                </w:p>
              </w:tc>
              <w:tc>
                <w:tcPr>
                  <w:tcW w:w="58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5</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校核洪峰流量（P=0.5%）</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r>
                    <w:rPr>
                      <w:rFonts w:hint="default" w:ascii="Times New Roman" w:hAnsi="Times New Roman" w:eastAsia="宋体" w:cs="Times New Roman"/>
                      <w:b w:val="0"/>
                      <w:bCs/>
                      <w:color w:val="auto"/>
                      <w:kern w:val="0"/>
                      <w:sz w:val="21"/>
                      <w:szCs w:val="21"/>
                      <w:highlight w:val="none"/>
                      <w:vertAlign w:val="superscript"/>
                    </w:rPr>
                    <w:t>3</w:t>
                  </w:r>
                  <w:r>
                    <w:rPr>
                      <w:rFonts w:hint="default" w:ascii="Times New Roman" w:hAnsi="Times New Roman" w:eastAsia="宋体" w:cs="Times New Roman"/>
                      <w:b w:val="0"/>
                      <w:bCs/>
                      <w:color w:val="auto"/>
                      <w:kern w:val="0"/>
                      <w:sz w:val="21"/>
                      <w:szCs w:val="21"/>
                      <w:highlight w:val="none"/>
                    </w:rPr>
                    <w:t>/s</w:t>
                  </w:r>
                </w:p>
              </w:tc>
              <w:tc>
                <w:tcPr>
                  <w:tcW w:w="9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37.2 </w:t>
                  </w:r>
                </w:p>
              </w:tc>
              <w:tc>
                <w:tcPr>
                  <w:tcW w:w="9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37.2 </w:t>
                  </w:r>
                </w:p>
              </w:tc>
              <w:tc>
                <w:tcPr>
                  <w:tcW w:w="58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6</w:t>
                  </w:r>
                </w:p>
              </w:tc>
              <w:tc>
                <w:tcPr>
                  <w:tcW w:w="158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正常蓄水位</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609.00 </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6.00 </w:t>
                  </w:r>
                </w:p>
              </w:tc>
              <w:tc>
                <w:tcPr>
                  <w:tcW w:w="58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7</w:t>
                  </w:r>
                </w:p>
              </w:tc>
              <w:tc>
                <w:tcPr>
                  <w:tcW w:w="158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正常水位对应库容</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万m</w:t>
                  </w:r>
                  <w:r>
                    <w:rPr>
                      <w:rFonts w:hint="default" w:ascii="Times New Roman" w:hAnsi="Times New Roman" w:eastAsia="宋体" w:cs="Times New Roman"/>
                      <w:b w:val="0"/>
                      <w:bCs/>
                      <w:color w:val="auto"/>
                      <w:kern w:val="0"/>
                      <w:sz w:val="21"/>
                      <w:szCs w:val="21"/>
                      <w:highlight w:val="none"/>
                      <w:vertAlign w:val="superscript"/>
                    </w:rPr>
                    <w:t>3</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193.74 </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197.25 </w:t>
                  </w:r>
                </w:p>
              </w:tc>
              <w:tc>
                <w:tcPr>
                  <w:tcW w:w="58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8</w:t>
                  </w:r>
                </w:p>
              </w:tc>
              <w:tc>
                <w:tcPr>
                  <w:tcW w:w="158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死水位</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591.00 </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591.00 </w:t>
                  </w:r>
                </w:p>
              </w:tc>
              <w:tc>
                <w:tcPr>
                  <w:tcW w:w="58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9</w:t>
                  </w:r>
                </w:p>
              </w:tc>
              <w:tc>
                <w:tcPr>
                  <w:tcW w:w="158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死库容</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万m</w:t>
                  </w:r>
                  <w:r>
                    <w:rPr>
                      <w:rFonts w:hint="default" w:ascii="Times New Roman" w:hAnsi="Times New Roman" w:eastAsia="宋体" w:cs="Times New Roman"/>
                      <w:b w:val="0"/>
                      <w:bCs/>
                      <w:color w:val="auto"/>
                      <w:kern w:val="0"/>
                      <w:sz w:val="21"/>
                      <w:szCs w:val="21"/>
                      <w:highlight w:val="none"/>
                      <w:vertAlign w:val="superscript"/>
                    </w:rPr>
                    <w:t>3</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5.44 </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6.90 </w:t>
                  </w:r>
                </w:p>
              </w:tc>
              <w:tc>
                <w:tcPr>
                  <w:tcW w:w="58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10</w:t>
                  </w:r>
                </w:p>
              </w:tc>
              <w:tc>
                <w:tcPr>
                  <w:tcW w:w="158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兴利库容</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万m</w:t>
                  </w:r>
                  <w:r>
                    <w:rPr>
                      <w:rFonts w:hint="default" w:ascii="Times New Roman" w:hAnsi="Times New Roman" w:eastAsia="宋体" w:cs="Times New Roman"/>
                      <w:b w:val="0"/>
                      <w:bCs/>
                      <w:color w:val="auto"/>
                      <w:kern w:val="0"/>
                      <w:sz w:val="21"/>
                      <w:szCs w:val="21"/>
                      <w:highlight w:val="none"/>
                      <w:vertAlign w:val="superscript"/>
                    </w:rPr>
                    <w:t>3</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188.30 </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190.35 </w:t>
                  </w:r>
                </w:p>
              </w:tc>
              <w:tc>
                <w:tcPr>
                  <w:tcW w:w="58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2047" w:type="pct"/>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二、地形地质条件</w:t>
                  </w:r>
                </w:p>
              </w:tc>
              <w:tc>
                <w:tcPr>
                  <w:tcW w:w="41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9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9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58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1</w:t>
                  </w:r>
                </w:p>
              </w:tc>
              <w:tc>
                <w:tcPr>
                  <w:tcW w:w="158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河床地形</w:t>
                  </w:r>
                </w:p>
              </w:tc>
              <w:tc>
                <w:tcPr>
                  <w:tcW w:w="41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9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9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58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河床沟谷宽度 </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50~60</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50~60</w:t>
                  </w:r>
                </w:p>
              </w:tc>
              <w:tc>
                <w:tcPr>
                  <w:tcW w:w="58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正常蓄水位时谷宽</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p>
              </w:tc>
              <w:tc>
                <w:tcPr>
                  <w:tcW w:w="9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123</w:t>
                  </w:r>
                </w:p>
              </w:tc>
              <w:tc>
                <w:tcPr>
                  <w:tcW w:w="9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140</w:t>
                  </w:r>
                </w:p>
              </w:tc>
              <w:tc>
                <w:tcPr>
                  <w:tcW w:w="58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2</w:t>
                  </w:r>
                </w:p>
              </w:tc>
              <w:tc>
                <w:tcPr>
                  <w:tcW w:w="158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河床坝基地质条件</w:t>
                  </w:r>
                </w:p>
              </w:tc>
              <w:tc>
                <w:tcPr>
                  <w:tcW w:w="41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9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9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58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基岩特性</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w:t>
                  </w:r>
                </w:p>
              </w:tc>
              <w:tc>
                <w:tcPr>
                  <w:tcW w:w="1958" w:type="pct"/>
                  <w:gridSpan w:val="2"/>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砂质泥岩、泥岩</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覆盖层厚度</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p>
              </w:tc>
              <w:tc>
                <w:tcPr>
                  <w:tcW w:w="9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3</w:t>
                  </w:r>
                  <w:r>
                    <w:rPr>
                      <w:rFonts w:hint="eastAsia" w:cs="Times New Roman"/>
                      <w:b w:val="0"/>
                      <w:bCs/>
                      <w:color w:val="auto"/>
                      <w:kern w:val="0"/>
                      <w:sz w:val="21"/>
                      <w:szCs w:val="21"/>
                      <w:highlight w:val="none"/>
                      <w:lang w:eastAsia="zh-CN"/>
                    </w:rPr>
                    <w:t>～</w:t>
                  </w:r>
                  <w:r>
                    <w:rPr>
                      <w:rFonts w:hint="default" w:ascii="Times New Roman" w:hAnsi="Times New Roman" w:eastAsia="宋体" w:cs="Times New Roman"/>
                      <w:b w:val="0"/>
                      <w:bCs/>
                      <w:color w:val="auto"/>
                      <w:kern w:val="0"/>
                      <w:sz w:val="21"/>
                      <w:szCs w:val="21"/>
                      <w:highlight w:val="none"/>
                    </w:rPr>
                    <w:t>4.5m</w:t>
                  </w:r>
                </w:p>
              </w:tc>
              <w:tc>
                <w:tcPr>
                  <w:tcW w:w="9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3</w:t>
                  </w:r>
                  <w:r>
                    <w:rPr>
                      <w:rFonts w:hint="eastAsia" w:cs="Times New Roman"/>
                      <w:b w:val="0"/>
                      <w:bCs/>
                      <w:color w:val="auto"/>
                      <w:kern w:val="0"/>
                      <w:sz w:val="21"/>
                      <w:szCs w:val="21"/>
                      <w:highlight w:val="none"/>
                      <w:lang w:eastAsia="zh-CN"/>
                    </w:rPr>
                    <w:t>～</w:t>
                  </w:r>
                  <w:r>
                    <w:rPr>
                      <w:rFonts w:hint="default" w:ascii="Times New Roman" w:hAnsi="Times New Roman" w:eastAsia="宋体" w:cs="Times New Roman"/>
                      <w:b w:val="0"/>
                      <w:bCs/>
                      <w:color w:val="auto"/>
                      <w:kern w:val="0"/>
                      <w:sz w:val="21"/>
                      <w:szCs w:val="21"/>
                      <w:highlight w:val="none"/>
                    </w:rPr>
                    <w:t>4m</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坝基主要持力层</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w:t>
                  </w:r>
                </w:p>
              </w:tc>
              <w:tc>
                <w:tcPr>
                  <w:tcW w:w="1958" w:type="pct"/>
                  <w:gridSpan w:val="2"/>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弱风化砂质泥岩中下部</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3</w:t>
                  </w:r>
                </w:p>
              </w:tc>
              <w:tc>
                <w:tcPr>
                  <w:tcW w:w="158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两岸坝基地质条件</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979"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979" w:type="pct"/>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岩体特性</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w:t>
                  </w:r>
                </w:p>
              </w:tc>
              <w:tc>
                <w:tcPr>
                  <w:tcW w:w="1958" w:type="pct"/>
                  <w:gridSpan w:val="2"/>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砂质泥岩、砂岩</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稳定评价</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w:t>
                  </w:r>
                </w:p>
              </w:tc>
              <w:tc>
                <w:tcPr>
                  <w:tcW w:w="9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稳定性较好</w:t>
                  </w:r>
                </w:p>
              </w:tc>
              <w:tc>
                <w:tcPr>
                  <w:tcW w:w="9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稳定性较好</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4</w:t>
                  </w:r>
                </w:p>
              </w:tc>
              <w:tc>
                <w:tcPr>
                  <w:tcW w:w="158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帷幕线平面长度</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p>
              </w:tc>
              <w:tc>
                <w:tcPr>
                  <w:tcW w:w="9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280</w:t>
                  </w:r>
                </w:p>
              </w:tc>
              <w:tc>
                <w:tcPr>
                  <w:tcW w:w="9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275</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2047" w:type="pct"/>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三、建筑物布置</w:t>
                  </w:r>
                </w:p>
              </w:tc>
              <w:tc>
                <w:tcPr>
                  <w:tcW w:w="41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9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9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58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1</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大坝</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坝型</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1958" w:type="pct"/>
                  <w:gridSpan w:val="2"/>
                  <w:tcBorders>
                    <w:top w:val="single" w:color="auto" w:sz="4" w:space="0"/>
                    <w:left w:val="nil"/>
                    <w:bottom w:val="single" w:color="auto" w:sz="4" w:space="0"/>
                    <w:right w:val="single" w:color="000000"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埋石混凝土重力坝</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坝顶高程</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611.00 </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610.50 </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最大坝高</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33.00 </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33.50 </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坝顶轴线长</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150.00 </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162.00 </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（1）</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溢流坝段</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9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9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溢流坝段长度</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6</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6</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堰顶高程</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609.00</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608.50</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溢流坝段高度</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31.00</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31.50</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（2）</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非溢流坝段</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非溢流坝段长度</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144.00 </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156.00 </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坝顶高程</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611.00 </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610.50 </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坝顶宽度</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6.5</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6.5</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（3）</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取水管</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设计取水流量</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r>
                    <w:rPr>
                      <w:rFonts w:hint="default" w:ascii="Times New Roman" w:hAnsi="Times New Roman" w:eastAsia="宋体" w:cs="Times New Roman"/>
                      <w:b w:val="0"/>
                      <w:bCs/>
                      <w:color w:val="auto"/>
                      <w:kern w:val="0"/>
                      <w:sz w:val="21"/>
                      <w:szCs w:val="21"/>
                      <w:highlight w:val="none"/>
                      <w:vertAlign w:val="superscript"/>
                    </w:rPr>
                    <w:t>3</w:t>
                  </w:r>
                  <w:r>
                    <w:rPr>
                      <w:rFonts w:hint="default" w:ascii="Times New Roman" w:hAnsi="Times New Roman" w:eastAsia="宋体" w:cs="Times New Roman"/>
                      <w:b w:val="0"/>
                      <w:bCs/>
                      <w:color w:val="auto"/>
                      <w:kern w:val="0"/>
                      <w:sz w:val="21"/>
                      <w:szCs w:val="21"/>
                      <w:highlight w:val="none"/>
                    </w:rPr>
                    <w:t>/s</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0.24</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0.24</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取水管中心高程</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589.50</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589.50</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管长</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32</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32</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取水管径</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mm</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DN500</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DN500</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（4）</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放空管</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最大放空流量</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r>
                    <w:rPr>
                      <w:rFonts w:hint="default" w:ascii="Times New Roman" w:hAnsi="Times New Roman" w:eastAsia="宋体" w:cs="Times New Roman"/>
                      <w:b w:val="0"/>
                      <w:bCs/>
                      <w:color w:val="auto"/>
                      <w:kern w:val="0"/>
                      <w:sz w:val="21"/>
                      <w:szCs w:val="21"/>
                      <w:highlight w:val="none"/>
                      <w:vertAlign w:val="superscript"/>
                    </w:rPr>
                    <w:t>3</w:t>
                  </w:r>
                  <w:r>
                    <w:rPr>
                      <w:rFonts w:hint="default" w:ascii="Times New Roman" w:hAnsi="Times New Roman" w:eastAsia="宋体" w:cs="Times New Roman"/>
                      <w:b w:val="0"/>
                      <w:bCs/>
                      <w:color w:val="auto"/>
                      <w:kern w:val="0"/>
                      <w:sz w:val="21"/>
                      <w:szCs w:val="21"/>
                      <w:highlight w:val="none"/>
                    </w:rPr>
                    <w:t>/s</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2.67 </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2.70 </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管长</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30 </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30 </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放空管中心高程</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588.00 </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588.00 </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放空管径</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mm</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DN600</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DN600</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2</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补水建筑物</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补水拦河堰坝长</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22.4</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22.4</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补水坝坝高</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7.5</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7.5</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补水渠长</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km</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1.435</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1.435</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204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四、主要工程量</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1</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土方开挖</w:t>
                  </w:r>
                </w:p>
              </w:tc>
              <w:tc>
                <w:tcPr>
                  <w:tcW w:w="41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r>
                    <w:rPr>
                      <w:rFonts w:hint="default" w:ascii="Times New Roman" w:hAnsi="Times New Roman" w:eastAsia="宋体" w:cs="Times New Roman"/>
                      <w:b w:val="0"/>
                      <w:bCs/>
                      <w:color w:val="auto"/>
                      <w:kern w:val="0"/>
                      <w:sz w:val="21"/>
                      <w:szCs w:val="21"/>
                      <w:highlight w:val="none"/>
                      <w:vertAlign w:val="superscript"/>
                    </w:rPr>
                    <w:t>3</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sz w:val="21"/>
                      <w:szCs w:val="21"/>
                      <w:highlight w:val="none"/>
                    </w:rPr>
                    <w:t xml:space="preserve">48123 </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sz w:val="21"/>
                      <w:szCs w:val="21"/>
                      <w:highlight w:val="none"/>
                    </w:rPr>
                    <w:t xml:space="preserve">48699 </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2</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石方开挖</w:t>
                  </w:r>
                </w:p>
              </w:tc>
              <w:tc>
                <w:tcPr>
                  <w:tcW w:w="41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r>
                    <w:rPr>
                      <w:rFonts w:hint="default" w:ascii="Times New Roman" w:hAnsi="Times New Roman" w:eastAsia="宋体" w:cs="Times New Roman"/>
                      <w:b w:val="0"/>
                      <w:bCs/>
                      <w:color w:val="auto"/>
                      <w:kern w:val="0"/>
                      <w:sz w:val="21"/>
                      <w:szCs w:val="21"/>
                      <w:highlight w:val="none"/>
                      <w:vertAlign w:val="superscript"/>
                    </w:rPr>
                    <w:t>3</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sz w:val="21"/>
                      <w:szCs w:val="21"/>
                      <w:highlight w:val="none"/>
                    </w:rPr>
                    <w:t xml:space="preserve">56632 </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sz w:val="21"/>
                      <w:szCs w:val="21"/>
                      <w:highlight w:val="none"/>
                    </w:rPr>
                    <w:t xml:space="preserve">61176 </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3</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土石方回填</w:t>
                  </w:r>
                </w:p>
              </w:tc>
              <w:tc>
                <w:tcPr>
                  <w:tcW w:w="41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r>
                    <w:rPr>
                      <w:rFonts w:hint="default" w:ascii="Times New Roman" w:hAnsi="Times New Roman" w:eastAsia="宋体" w:cs="Times New Roman"/>
                      <w:b w:val="0"/>
                      <w:bCs/>
                      <w:color w:val="auto"/>
                      <w:kern w:val="0"/>
                      <w:sz w:val="21"/>
                      <w:szCs w:val="21"/>
                      <w:highlight w:val="none"/>
                      <w:vertAlign w:val="superscript"/>
                    </w:rPr>
                    <w:t>3</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sz w:val="21"/>
                      <w:szCs w:val="21"/>
                      <w:highlight w:val="none"/>
                    </w:rPr>
                    <w:t xml:space="preserve">40829 </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sz w:val="21"/>
                      <w:szCs w:val="21"/>
                      <w:highlight w:val="none"/>
                    </w:rPr>
                    <w:t xml:space="preserve">42405 </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4</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混凝土浇筑</w:t>
                  </w:r>
                </w:p>
              </w:tc>
              <w:tc>
                <w:tcPr>
                  <w:tcW w:w="41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r>
                    <w:rPr>
                      <w:rFonts w:hint="default" w:ascii="Times New Roman" w:hAnsi="Times New Roman" w:eastAsia="宋体" w:cs="Times New Roman"/>
                      <w:b w:val="0"/>
                      <w:bCs/>
                      <w:color w:val="auto"/>
                      <w:kern w:val="0"/>
                      <w:sz w:val="21"/>
                      <w:szCs w:val="21"/>
                      <w:highlight w:val="none"/>
                      <w:vertAlign w:val="superscript"/>
                    </w:rPr>
                    <w:t>3</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sz w:val="21"/>
                      <w:szCs w:val="21"/>
                      <w:highlight w:val="none"/>
                    </w:rPr>
                    <w:t xml:space="preserve">64706 </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sz w:val="21"/>
                      <w:szCs w:val="21"/>
                      <w:highlight w:val="none"/>
                    </w:rPr>
                    <w:t xml:space="preserve">70244 </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5</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喷混凝土</w:t>
                  </w:r>
                </w:p>
              </w:tc>
              <w:tc>
                <w:tcPr>
                  <w:tcW w:w="41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r>
                    <w:rPr>
                      <w:rFonts w:hint="default" w:ascii="Times New Roman" w:hAnsi="Times New Roman" w:eastAsia="宋体" w:cs="Times New Roman"/>
                      <w:b w:val="0"/>
                      <w:bCs/>
                      <w:color w:val="auto"/>
                      <w:kern w:val="0"/>
                      <w:sz w:val="21"/>
                      <w:szCs w:val="21"/>
                      <w:highlight w:val="none"/>
                      <w:vertAlign w:val="superscript"/>
                    </w:rPr>
                    <w:t>2</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sz w:val="21"/>
                      <w:szCs w:val="21"/>
                      <w:highlight w:val="none"/>
                    </w:rPr>
                    <w:t xml:space="preserve">7508 </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sz w:val="21"/>
                      <w:szCs w:val="21"/>
                      <w:highlight w:val="none"/>
                    </w:rPr>
                    <w:t xml:space="preserve">7418 </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6</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钢筋网及钢筋制安</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t</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sz w:val="21"/>
                      <w:szCs w:val="21"/>
                      <w:highlight w:val="none"/>
                    </w:rPr>
                    <w:t>534.81</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sz w:val="21"/>
                      <w:szCs w:val="21"/>
                      <w:highlight w:val="none"/>
                    </w:rPr>
                    <w:t>578.13</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7</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固结灌浆</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sz w:val="21"/>
                      <w:szCs w:val="21"/>
                      <w:highlight w:val="none"/>
                    </w:rPr>
                    <w:t xml:space="preserve">3415 </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sz w:val="21"/>
                      <w:szCs w:val="21"/>
                      <w:highlight w:val="none"/>
                    </w:rPr>
                    <w:t xml:space="preserve">3473 </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8</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帷幕灌浆</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sz w:val="21"/>
                      <w:szCs w:val="21"/>
                      <w:highlight w:val="none"/>
                    </w:rPr>
                    <w:t xml:space="preserve">2292 </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sz w:val="21"/>
                      <w:szCs w:val="21"/>
                      <w:highlight w:val="none"/>
                    </w:rPr>
                    <w:t>2246</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9</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模板制安</w:t>
                  </w:r>
                </w:p>
              </w:tc>
              <w:tc>
                <w:tcPr>
                  <w:tcW w:w="41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m</w:t>
                  </w:r>
                  <w:r>
                    <w:rPr>
                      <w:rFonts w:hint="default" w:ascii="Times New Roman" w:hAnsi="Times New Roman" w:eastAsia="宋体" w:cs="Times New Roman"/>
                      <w:b w:val="0"/>
                      <w:bCs/>
                      <w:color w:val="auto"/>
                      <w:kern w:val="0"/>
                      <w:sz w:val="21"/>
                      <w:szCs w:val="21"/>
                      <w:highlight w:val="none"/>
                      <w:vertAlign w:val="superscript"/>
                    </w:rPr>
                    <w:t>2</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sz w:val="21"/>
                      <w:szCs w:val="21"/>
                      <w:highlight w:val="none"/>
                    </w:rPr>
                    <w:t xml:space="preserve">21166 </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sz w:val="21"/>
                      <w:szCs w:val="21"/>
                      <w:highlight w:val="none"/>
                    </w:rPr>
                    <w:t xml:space="preserve">24373 </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204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五、占地及移民</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1</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永久占地</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亩</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sz w:val="21"/>
                      <w:szCs w:val="21"/>
                      <w:highlight w:val="none"/>
                    </w:rPr>
                    <w:t xml:space="preserve">346.67 </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sz w:val="21"/>
                      <w:szCs w:val="21"/>
                      <w:highlight w:val="none"/>
                    </w:rPr>
                    <w:t xml:space="preserve">347.52 </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其中：</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耕地</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亩</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sz w:val="21"/>
                      <w:szCs w:val="21"/>
                      <w:highlight w:val="none"/>
                    </w:rPr>
                    <w:t xml:space="preserve">215.38 </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sz w:val="21"/>
                      <w:szCs w:val="21"/>
                      <w:highlight w:val="none"/>
                    </w:rPr>
                    <w:t xml:space="preserve">218.93 </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林地</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亩</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sz w:val="21"/>
                      <w:szCs w:val="21"/>
                      <w:highlight w:val="none"/>
                    </w:rPr>
                    <w:t xml:space="preserve">111.42 </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sz w:val="21"/>
                      <w:szCs w:val="21"/>
                      <w:highlight w:val="none"/>
                    </w:rPr>
                    <w:t xml:space="preserve">109.58 </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2</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搬迁人口</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人</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90 </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xml:space="preserve">90 </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204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六、施工条件</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1</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施工导流、总布置、建材</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w:t>
                  </w:r>
                </w:p>
              </w:tc>
              <w:tc>
                <w:tcPr>
                  <w:tcW w:w="1958" w:type="pct"/>
                  <w:gridSpan w:val="2"/>
                  <w:tcBorders>
                    <w:top w:val="single" w:color="auto" w:sz="4" w:space="0"/>
                    <w:left w:val="nil"/>
                    <w:bottom w:val="single" w:color="auto" w:sz="4" w:space="0"/>
                    <w:right w:val="single" w:color="000000"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相当</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2</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总工期</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月</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24</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24</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204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七、经济指标</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1</w:t>
                  </w:r>
                </w:p>
              </w:tc>
              <w:tc>
                <w:tcPr>
                  <w:tcW w:w="158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枢纽工程总投资</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万元</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sz w:val="21"/>
                      <w:szCs w:val="21"/>
                      <w:highlight w:val="none"/>
                    </w:rPr>
                    <w:t xml:space="preserve">12356.64 </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sz w:val="21"/>
                      <w:szCs w:val="21"/>
                      <w:highlight w:val="none"/>
                    </w:rPr>
                    <w:t xml:space="preserve">12867.93 </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（1）</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工程部分投资</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万元</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sz w:val="21"/>
                      <w:szCs w:val="21"/>
                      <w:highlight w:val="none"/>
                    </w:rPr>
                    <w:t xml:space="preserve">7344.06 </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sz w:val="21"/>
                      <w:szCs w:val="21"/>
                      <w:highlight w:val="none"/>
                    </w:rPr>
                    <w:t xml:space="preserve">7782.89 </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（2）</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征地移民投资</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万元</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sz w:val="21"/>
                      <w:szCs w:val="21"/>
                      <w:highlight w:val="none"/>
                    </w:rPr>
                    <w:t xml:space="preserve">4489.02 </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sz w:val="21"/>
                      <w:szCs w:val="21"/>
                      <w:highlight w:val="none"/>
                    </w:rPr>
                    <w:t xml:space="preserve">4502.46 </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467"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（3）</w:t>
                  </w:r>
                </w:p>
              </w:tc>
              <w:tc>
                <w:tcPr>
                  <w:tcW w:w="158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环保水保投资</w:t>
                  </w:r>
                </w:p>
              </w:tc>
              <w:tc>
                <w:tcPr>
                  <w:tcW w:w="41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万元</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sz w:val="21"/>
                      <w:szCs w:val="21"/>
                      <w:highlight w:val="none"/>
                    </w:rPr>
                    <w:t xml:space="preserve">523.56 </w:t>
                  </w:r>
                </w:p>
              </w:tc>
              <w:tc>
                <w:tcPr>
                  <w:tcW w:w="979"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sz w:val="21"/>
                      <w:szCs w:val="21"/>
                      <w:highlight w:val="none"/>
                    </w:rPr>
                    <w:t xml:space="preserve">582.59 </w:t>
                  </w:r>
                </w:p>
              </w:tc>
              <w:tc>
                <w:tcPr>
                  <w:tcW w:w="581"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rPr>
                    <w:t>　</w:t>
                  </w:r>
                </w:p>
              </w:tc>
            </w:tr>
          </w:tbl>
          <w:p>
            <w:pPr>
              <w:pStyle w:val="84"/>
              <w:adjustRightInd w:val="0"/>
              <w:snapToGrid w:val="0"/>
              <w:spacing w:line="360" w:lineRule="auto"/>
              <w:ind w:firstLine="48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bidi="en-US"/>
              </w:rPr>
              <w:t>经综合分析：上、下坝线水库条件、施工条件上基本相当；上坝线在地形地质条件、建筑物布置上更优，其枢纽工程总投资较下坝线少511.29万元。因此，推荐坝线为上坝线方案，即：右支沟峡口段、汇口上游0.34km处。</w:t>
            </w:r>
          </w:p>
          <w:p>
            <w:pPr>
              <w:autoSpaceDE w:val="0"/>
              <w:autoSpaceDN w:val="0"/>
              <w:adjustRightInd w:val="0"/>
              <w:snapToGrid w:val="0"/>
              <w:spacing w:line="360" w:lineRule="auto"/>
              <w:ind w:firstLine="420" w:firstLineChars="20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2、</w:t>
            </w:r>
            <w:r>
              <w:rPr>
                <w:rFonts w:hint="eastAsia"/>
                <w:bCs/>
                <w:color w:val="auto"/>
                <w:highlight w:val="none"/>
              </w:rPr>
              <w:t>补水坝轴线</w:t>
            </w:r>
            <w:r>
              <w:rPr>
                <w:rFonts w:hint="default" w:ascii="Times New Roman" w:hAnsi="Times New Roman" w:cs="Times New Roman"/>
                <w:b w:val="0"/>
                <w:bCs/>
                <w:color w:val="auto"/>
                <w:sz w:val="21"/>
                <w:szCs w:val="21"/>
                <w:highlight w:val="none"/>
                <w:lang w:val="en-US" w:eastAsia="zh-CN"/>
              </w:rPr>
              <w:t>合理性分析</w:t>
            </w:r>
          </w:p>
          <w:p>
            <w:pPr>
              <w:autoSpaceDE w:val="0"/>
              <w:autoSpaceDN w:val="0"/>
              <w:adjustRightInd w:val="0"/>
              <w:snapToGrid w:val="0"/>
              <w:spacing w:line="360" w:lineRule="auto"/>
              <w:ind w:firstLine="420" w:firstLineChars="200"/>
              <w:rPr>
                <w:rFonts w:hint="eastAsia"/>
                <w:color w:val="auto"/>
                <w:highlight w:val="none"/>
              </w:rPr>
            </w:pPr>
            <w:r>
              <w:rPr>
                <w:rFonts w:hint="eastAsia"/>
                <w:color w:val="auto"/>
                <w:highlight w:val="none"/>
                <w:lang w:eastAsia="zh-CN" w:bidi="ar-SA"/>
              </w:rPr>
              <w:t>（</w:t>
            </w:r>
            <w:r>
              <w:rPr>
                <w:rFonts w:hint="eastAsia"/>
                <w:color w:val="auto"/>
                <w:highlight w:val="none"/>
                <w:lang w:val="en-US" w:eastAsia="zh-CN" w:bidi="ar-SA"/>
              </w:rPr>
              <w:t>1</w:t>
            </w:r>
            <w:r>
              <w:rPr>
                <w:rFonts w:hint="eastAsia"/>
                <w:color w:val="auto"/>
                <w:highlight w:val="none"/>
                <w:lang w:eastAsia="zh-CN" w:bidi="ar-SA"/>
              </w:rPr>
              <w:t>）</w:t>
            </w:r>
            <w:r>
              <w:rPr>
                <w:rFonts w:hint="eastAsia"/>
                <w:color w:val="auto"/>
                <w:highlight w:val="none"/>
                <w:lang w:bidi="ar-SA"/>
              </w:rPr>
              <w:t>补水坝址选择</w:t>
            </w:r>
          </w:p>
          <w:p>
            <w:pPr>
              <w:autoSpaceDE w:val="0"/>
              <w:autoSpaceDN w:val="0"/>
              <w:adjustRightInd w:val="0"/>
              <w:snapToGrid w:val="0"/>
              <w:spacing w:line="360" w:lineRule="auto"/>
              <w:ind w:firstLine="420" w:firstLineChars="200"/>
              <w:rPr>
                <w:rFonts w:hint="default" w:ascii="Times New Roman" w:hAnsi="Times New Roman" w:cs="Times New Roman"/>
                <w:b w:val="0"/>
                <w:bCs/>
                <w:color w:val="auto"/>
                <w:sz w:val="21"/>
                <w:szCs w:val="21"/>
                <w:highlight w:val="none"/>
                <w:lang w:val="en-US" w:eastAsia="zh-CN"/>
              </w:rPr>
            </w:pPr>
            <w:r>
              <w:rPr>
                <w:rFonts w:hint="eastAsia"/>
                <w:color w:val="auto"/>
                <w:highlight w:val="none"/>
              </w:rPr>
              <w:t>可行性研究阶段</w:t>
            </w:r>
            <w:r>
              <w:rPr>
                <w:rFonts w:hint="eastAsia"/>
                <w:color w:val="auto"/>
                <w:highlight w:val="none"/>
                <w:u w:color="FF0000"/>
              </w:rPr>
              <w:t>考虑补水坝址需满足</w:t>
            </w:r>
            <w:r>
              <w:rPr>
                <w:rFonts w:hint="eastAsia"/>
                <w:color w:val="auto"/>
                <w:highlight w:val="none"/>
              </w:rPr>
              <w:t>有压重力流</w:t>
            </w:r>
            <w:r>
              <w:rPr>
                <w:rFonts w:hint="eastAsia"/>
                <w:color w:val="auto"/>
                <w:highlight w:val="none"/>
                <w:u w:color="FF0000"/>
              </w:rPr>
              <w:t>输水的条件下，在原花池水厂取水石河堰上游河段选择了上、下两个坝址进行比较。</w:t>
            </w:r>
            <w:r>
              <w:rPr>
                <w:rFonts w:hint="eastAsia"/>
                <w:color w:val="auto"/>
                <w:highlight w:val="none"/>
              </w:rPr>
              <w:t>上坝址河床高程62</w:t>
            </w:r>
            <w:r>
              <w:rPr>
                <w:color w:val="auto"/>
                <w:highlight w:val="none"/>
              </w:rPr>
              <w:t>6</w:t>
            </w:r>
            <w:r>
              <w:rPr>
                <w:rFonts w:hint="eastAsia"/>
                <w:color w:val="auto"/>
                <w:highlight w:val="none"/>
              </w:rPr>
              <w:t>.00m，下坝址河床高程6</w:t>
            </w:r>
            <w:r>
              <w:rPr>
                <w:color w:val="auto"/>
                <w:highlight w:val="none"/>
              </w:rPr>
              <w:t>16.00</w:t>
            </w:r>
            <w:r>
              <w:rPr>
                <w:rFonts w:hint="eastAsia"/>
                <w:color w:val="auto"/>
                <w:highlight w:val="none"/>
              </w:rPr>
              <w:t>m，上、下坝址相距约250m。经综合比较，下坝址补水渠自由水头较为不足，上坝址虽补水渠略长，但坝线更短，水头差更大，所需补水管道直径更小，其工程量及投资更省，推荐补水坝址为上坝址，即</w:t>
            </w:r>
            <w:r>
              <w:rPr>
                <w:rFonts w:hint="eastAsia"/>
                <w:color w:val="auto"/>
                <w:highlight w:val="none"/>
                <w:u w:color="FF0000"/>
              </w:rPr>
              <w:t>花池水厂取水石河堰上游</w:t>
            </w:r>
            <w:r>
              <w:rPr>
                <w:color w:val="auto"/>
                <w:highlight w:val="none"/>
                <w:u w:color="FF0000"/>
              </w:rPr>
              <w:t>0.4k</w:t>
            </w:r>
            <w:r>
              <w:rPr>
                <w:rFonts w:hint="eastAsia"/>
                <w:color w:val="auto"/>
                <w:highlight w:val="none"/>
                <w:u w:color="FF0000"/>
              </w:rPr>
              <w:t>m处。</w:t>
            </w:r>
          </w:p>
          <w:p>
            <w:pPr>
              <w:spacing w:line="240" w:lineRule="auto"/>
              <w:ind w:firstLine="0" w:firstLineChars="0"/>
              <w:jc w:val="center"/>
              <w:rPr>
                <w:rFonts w:eastAsia="黑体"/>
                <w:b/>
                <w:color w:val="auto"/>
                <w:sz w:val="21"/>
                <w:szCs w:val="21"/>
                <w:highlight w:val="none"/>
              </w:rPr>
            </w:pPr>
            <w:r>
              <w:rPr>
                <w:rFonts w:eastAsia="黑体"/>
                <w:b/>
                <w:color w:val="auto"/>
                <w:sz w:val="21"/>
                <w:szCs w:val="21"/>
                <w:highlight w:val="none"/>
              </w:rPr>
              <mc:AlternateContent>
                <mc:Choice Requires="wps">
                  <w:drawing>
                    <wp:anchor distT="0" distB="0" distL="114300" distR="114300" simplePos="0" relativeHeight="251664384" behindDoc="0" locked="0" layoutInCell="1" allowOverlap="1">
                      <wp:simplePos x="0" y="0"/>
                      <wp:positionH relativeFrom="column">
                        <wp:posOffset>3653790</wp:posOffset>
                      </wp:positionH>
                      <wp:positionV relativeFrom="paragraph">
                        <wp:posOffset>69215</wp:posOffset>
                      </wp:positionV>
                      <wp:extent cx="755015" cy="283210"/>
                      <wp:effectExtent l="4445" t="4445" r="116840" b="531495"/>
                      <wp:wrapNone/>
                      <wp:docPr id="13" name="AutoShape 9"/>
                      <wp:cNvGraphicFramePr/>
                      <a:graphic xmlns:a="http://schemas.openxmlformats.org/drawingml/2006/main">
                        <a:graphicData uri="http://schemas.microsoft.com/office/word/2010/wordprocessingShape">
                          <wps:wsp>
                            <wps:cNvSpPr>
                              <a:spLocks noChangeArrowheads="1"/>
                            </wps:cNvSpPr>
                            <wps:spPr bwMode="auto">
                              <a:xfrm>
                                <a:off x="0" y="0"/>
                                <a:ext cx="755015" cy="283227"/>
                              </a:xfrm>
                              <a:prstGeom prst="wedgeRectCallout">
                                <a:avLst>
                                  <a:gd name="adj1" fmla="val 62845"/>
                                  <a:gd name="adj2" fmla="val 224659"/>
                                </a:avLst>
                              </a:prstGeom>
                              <a:noFill/>
                              <a:ln w="9525">
                                <a:solidFill>
                                  <a:srgbClr val="FF0000"/>
                                </a:solidFill>
                                <a:miter lim="800000"/>
                              </a:ln>
                            </wps:spPr>
                            <wps:txbx>
                              <w:txbxContent>
                                <w:p>
                                  <w:pPr>
                                    <w:spacing w:line="240" w:lineRule="auto"/>
                                    <w:ind w:firstLine="0" w:firstLineChars="0"/>
                                    <w:jc w:val="center"/>
                                    <w:rPr>
                                      <w:color w:val="FF0000"/>
                                      <w:sz w:val="21"/>
                                      <w:szCs w:val="21"/>
                                    </w:rPr>
                                  </w:pPr>
                                  <w:r>
                                    <w:rPr>
                                      <w:rFonts w:hint="eastAsia"/>
                                      <w:color w:val="FF0000"/>
                                      <w:sz w:val="21"/>
                                      <w:szCs w:val="21"/>
                                    </w:rPr>
                                    <w:t>上坝址</w:t>
                                  </w:r>
                                </w:p>
                              </w:txbxContent>
                            </wps:txbx>
                            <wps:bodyPr rot="0" vert="horz" wrap="square" lIns="36000" tIns="36000" rIns="36000" bIns="36000" anchor="t" anchorCtr="0" upright="1">
                              <a:noAutofit/>
                            </wps:bodyPr>
                          </wps:wsp>
                        </a:graphicData>
                      </a:graphic>
                    </wp:anchor>
                  </w:drawing>
                </mc:Choice>
                <mc:Fallback>
                  <w:pict>
                    <v:shape id="AutoShape 9" o:spid="_x0000_s1026" o:spt="61" type="#_x0000_t61" style="position:absolute;left:0pt;margin-left:287.7pt;margin-top:5.45pt;height:22.3pt;width:59.45pt;z-index:251664384;mso-width-relative:page;mso-height-relative:page;" filled="f" stroked="t" coordsize="21600,21600" o:gfxdata="UEsDBAoAAAAAAIdO4kAAAAAAAAAAAAAAAAAEAAAAZHJzL1BLAwQUAAAACACHTuJA1deQ1dgAAAAJ&#10;AQAADwAAAGRycy9kb3ducmV2LnhtbE2Py07DMBBF90j8gzVI7KhdaEIb4lQCFFR1R2kllm48jVP8&#10;iGKnLX/PsILl6Fzde6ZcXpxlJxxiF7yE6UQAQ98E3flWwvajvpsDi0l5rWzwKOEbIyyr66tSFTqc&#10;/TueNqllVOJjoSSYlPqC89gYdCpOQo+e2CEMTiU6h5brQZ2p3Fl+L0TOneo8LRjV44vB5mszOgnH&#10;/NOs6+Pr6jkebJ3wbVePq52UtzdT8QQs4SX9heFXn9ShIqd9GL2OzErIHrMZRQmIBTAK5IvZA7A9&#10;kSwDXpX8/wfVD1BLAwQUAAAACACHTuJAcuvki08CAACyBAAADgAAAGRycy9lMm9Eb2MueG1srVRR&#10;b9sgEH6ftP+AeF+duHWWWnWqKlWmSd1WrdsPIIBtNuAYkDjdr9+BnS7tXvowP6A7OL6777vDV9cH&#10;o8le+qDANnR+NqNEWg5C2a6h379t3i0pCZFZwTRY2dBHGej16u2bq8HVsoQetJCeIIgN9eAa2sfo&#10;6qIIvJeGhTNw0uJhC96wiK7vCuHZgOhGF+VstigG8MJ54DIE3L0dD+mE6F8DCG2ruLwFvjPSxhHV&#10;S80iUgq9coGucrVtK3n80rZBRqIbikxjXjEJ2tu0FqsrVneeuV7xqQT2mhJecDJMWUz6BHXLIiM7&#10;r/6BMop7CNDGMw6mGIlkRZDFfPZCm4eeOZm5oNTBPYke/h8s/7y/90QJnIRzSiwz2PGbXYScmlwm&#10;fQYXagx7cPc+MQzuDvjPQCyse2Y7eeM9DL1kAquap/ji2YXkBLxKtsMnEIjOED1LdWi9SYAoAjnk&#10;jjw+dUQeIuG4+b6qZvOKEo5H5fK8LN/nDKw+XnY+xA8SDElGQwcpOvkVu75mWsMu5kRsfxdibo6Y&#10;GDLxY05JazT2es80WZTLi2qahZOY8jSmLC8WVRakYPUEidaxgIRvYaO0ziOlLRkaelmVVS4hgFYi&#10;HWYFfbdda08wc0M3mxl+E6tnYUZFfGhamYYuU8wxSNtJ4yTr2J542B6mTm1BPKLaHsZRx4eORg/+&#10;NyUDjnlDw68d85IS/dFix84XCZjEU8efOttTh1mOUA2NlIzmOo5vaee86nrMNM90LaQZalU8jsNY&#10;1VQ3jjJaz97KqZ+j/v5qV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1deQ1dgAAAAJAQAADwAA&#10;AAAAAAABACAAAAAiAAAAZHJzL2Rvd25yZXYueG1sUEsBAhQAFAAAAAgAh07iQHLr5ItPAgAAsgQA&#10;AA4AAAAAAAAAAQAgAAAAJwEAAGRycy9lMm9Eb2MueG1sUEsFBgAAAAAGAAYAWQEAAOgFAAAAAA==&#10;" adj="24375,59326">
                      <v:fill on="f" focussize="0,0"/>
                      <v:stroke color="#FF0000" miterlimit="8" joinstyle="miter"/>
                      <v:imagedata o:title=""/>
                      <o:lock v:ext="edit" aspectratio="f"/>
                      <v:textbox inset="1mm,1mm,1mm,1mm">
                        <w:txbxContent>
                          <w:p>
                            <w:pPr>
                              <w:spacing w:line="240" w:lineRule="auto"/>
                              <w:ind w:firstLine="0" w:firstLineChars="0"/>
                              <w:jc w:val="center"/>
                              <w:rPr>
                                <w:color w:val="FF0000"/>
                                <w:sz w:val="21"/>
                                <w:szCs w:val="21"/>
                              </w:rPr>
                            </w:pPr>
                            <w:r>
                              <w:rPr>
                                <w:rFonts w:hint="eastAsia"/>
                                <w:color w:val="FF0000"/>
                                <w:sz w:val="21"/>
                                <w:szCs w:val="21"/>
                              </w:rPr>
                              <w:t>上坝址</w:t>
                            </w:r>
                          </w:p>
                        </w:txbxContent>
                      </v:textbox>
                    </v:shape>
                  </w:pict>
                </mc:Fallback>
              </mc:AlternateContent>
            </w:r>
            <w:r>
              <w:rPr>
                <w:rFonts w:eastAsia="黑体"/>
                <w:b/>
                <w:color w:val="auto"/>
                <w:sz w:val="21"/>
                <w:szCs w:val="21"/>
                <w:highlight w:val="none"/>
              </w:rPr>
              <mc:AlternateContent>
                <mc:Choice Requires="wps">
                  <w:drawing>
                    <wp:anchor distT="0" distB="0" distL="114300" distR="114300" simplePos="0" relativeHeight="251665408" behindDoc="0" locked="0" layoutInCell="1" allowOverlap="1">
                      <wp:simplePos x="0" y="0"/>
                      <wp:positionH relativeFrom="column">
                        <wp:posOffset>205105</wp:posOffset>
                      </wp:positionH>
                      <wp:positionV relativeFrom="paragraph">
                        <wp:posOffset>1296670</wp:posOffset>
                      </wp:positionV>
                      <wp:extent cx="755015" cy="266065"/>
                      <wp:effectExtent l="4445" t="4445" r="364490" b="396240"/>
                      <wp:wrapNone/>
                      <wp:docPr id="14" name="AutoShape 10"/>
                      <wp:cNvGraphicFramePr/>
                      <a:graphic xmlns:a="http://schemas.openxmlformats.org/drawingml/2006/main">
                        <a:graphicData uri="http://schemas.microsoft.com/office/word/2010/wordprocessingShape">
                          <wps:wsp>
                            <wps:cNvSpPr>
                              <a:spLocks noChangeArrowheads="1"/>
                            </wps:cNvSpPr>
                            <wps:spPr bwMode="auto">
                              <a:xfrm>
                                <a:off x="0" y="0"/>
                                <a:ext cx="755015" cy="266065"/>
                              </a:xfrm>
                              <a:prstGeom prst="wedgeRectCallout">
                                <a:avLst>
                                  <a:gd name="adj1" fmla="val 93565"/>
                                  <a:gd name="adj2" fmla="val 189856"/>
                                </a:avLst>
                              </a:prstGeom>
                              <a:noFill/>
                              <a:ln w="9525">
                                <a:solidFill>
                                  <a:srgbClr val="FF0000"/>
                                </a:solidFill>
                                <a:miter lim="800000"/>
                              </a:ln>
                            </wps:spPr>
                            <wps:txbx>
                              <w:txbxContent>
                                <w:p>
                                  <w:pPr>
                                    <w:spacing w:line="240" w:lineRule="auto"/>
                                    <w:ind w:firstLine="0" w:firstLineChars="0"/>
                                    <w:jc w:val="center"/>
                                    <w:rPr>
                                      <w:color w:val="FF0000"/>
                                      <w:sz w:val="21"/>
                                      <w:szCs w:val="21"/>
                                    </w:rPr>
                                  </w:pPr>
                                  <w:r>
                                    <w:rPr>
                                      <w:rFonts w:hint="eastAsia"/>
                                      <w:color w:val="FF0000"/>
                                      <w:sz w:val="21"/>
                                      <w:szCs w:val="21"/>
                                    </w:rPr>
                                    <w:t>下坝址</w:t>
                                  </w:r>
                                </w:p>
                              </w:txbxContent>
                            </wps:txbx>
                            <wps:bodyPr rot="0" vert="horz" wrap="square" lIns="36000" tIns="36000" rIns="36000" bIns="36000" anchor="t" anchorCtr="0" upright="1">
                              <a:noAutofit/>
                            </wps:bodyPr>
                          </wps:wsp>
                        </a:graphicData>
                      </a:graphic>
                    </wp:anchor>
                  </w:drawing>
                </mc:Choice>
                <mc:Fallback>
                  <w:pict>
                    <v:shape id="AutoShape 10" o:spid="_x0000_s1026" o:spt="61" type="#_x0000_t61" style="position:absolute;left:0pt;margin-left:16.15pt;margin-top:102.1pt;height:20.95pt;width:59.45pt;z-index:251665408;mso-width-relative:page;mso-height-relative:page;" filled="f" stroked="t" coordsize="21600,21600" o:gfxdata="UEsDBAoAAAAAAIdO4kAAAAAAAAAAAAAAAAAEAAAAZHJzL1BLAwQUAAAACACHTuJAliiZL9oAAAAK&#10;AQAADwAAAGRycy9kb3ducmV2LnhtbE2PPU/DMBCGdyT+g3VIbNSOGyqUxumAxACVkGhRJTYnvsZR&#10;YzuK3Sbw67lOsN3Ho/eeKzez69kFx9gFryBbCGDom2A63yr43L88PAGLSXuj++BRwTdG2FS3N6Uu&#10;TJj8B152qWUU4mOhFdiUhoLz2Fh0Oi7CgJ52xzA6nagdW25GPVG467kUYsWd7jxdsHrAZ4vNaXd2&#10;Cpp8sq/5uz4M28P8tk9fW/lzrJW6v8vEGljCOf3BcNUndajIqQ5nbyLrFSzlkkgFUuQS2BV4zKio&#10;aZKvMuBVyf+/UP0CUEsDBBQAAAAIAIdO4kBAyoFzUAIAALMEAAAOAAAAZHJzL2Uyb0RvYy54bWyt&#10;VMFu2zAMvQ/YPwi6r7bTOUuNOEWRIMOAbivW7QMUWba1SaImKXG6ry8lO13aXXqYDwIpUe+Rj5SX&#10;10etyEE4L8HUtLjIKRGGQyNNV9Mf37fvFpT4wEzDFBhR0wfh6fXq7ZvlYCsxgx5UIxxBEOOrwda0&#10;D8FWWeZ5LzTzF2CFwcMWnGYBXddljWMDomuVzfJ8ng3gGuuAC+9xdzMe0gnRvQYQ2lZysQG+18KE&#10;EdUJxQKW5HtpPV2lbNtW8PC1bb0IRNUUKw1pRRK0d3HNVktWdY7ZXvIpBfaaFF7UpJk0SPoEtWGB&#10;kb2T/0BpyR14aMMFB52NhSRFsIoif6HNfc+sSLWg1N4+ie7/Hyz/crhzRDY4Ce8pMUxjx2/2ARI1&#10;KZJAg/UVxt3bOxdL9PYW+C9PDKx7Zjpx4xwMvWANplVEQbNnF6Lj8SrZDZ+hQXiG8EmrY+t0BEQV&#10;yDG15OGpJeIYCMfND2WZFyUlHI9m83k+LxMDq06XrfPhowBNolHTQTSd+IZtXzOlYB8SETvc+pC6&#10;00wlsuZnQUmrFTb7wBS5uixHZOzgWczsPKZYXC3K+UQ/QWasOiUQ8Q1spVJpppQhQ02vylmZUvCg&#10;ZBMPk4Ku262VI8hc0+02x2+CfRamZcCXpqSu6SLGnIKUmTSOssZJ91U47o5IG80dNA+otoNx1vGl&#10;o9GD+0PJgHNeU/97z5ygRH0y2LHLeQQm4dxx587u3GGGI1RNAyWjuQ7jY9pbJ7semYpUroE4RK0M&#10;p3EYs5ryxllG69ljOfdT1N9/zeoR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liiZL9oAAAAKAQAA&#10;DwAAAAAAAAABACAAAAAiAAAAZHJzL2Rvd25yZXYueG1sUEsBAhQAFAAAAAgAh07iQEDKgXNQAgAA&#10;swQAAA4AAAAAAAAAAQAgAAAAKQEAAGRycy9lMm9Eb2MueG1sUEsFBgAAAAAGAAYAWQEAAOsFAAAA&#10;AA==&#10;" adj="31010,51809">
                      <v:fill on="f" focussize="0,0"/>
                      <v:stroke color="#FF0000" miterlimit="8" joinstyle="miter"/>
                      <v:imagedata o:title=""/>
                      <o:lock v:ext="edit" aspectratio="f"/>
                      <v:textbox inset="1mm,1mm,1mm,1mm">
                        <w:txbxContent>
                          <w:p>
                            <w:pPr>
                              <w:spacing w:line="240" w:lineRule="auto"/>
                              <w:ind w:firstLine="0" w:firstLineChars="0"/>
                              <w:jc w:val="center"/>
                              <w:rPr>
                                <w:color w:val="FF0000"/>
                                <w:sz w:val="21"/>
                                <w:szCs w:val="21"/>
                              </w:rPr>
                            </w:pPr>
                            <w:r>
                              <w:rPr>
                                <w:rFonts w:hint="eastAsia"/>
                                <w:color w:val="FF0000"/>
                                <w:sz w:val="21"/>
                                <w:szCs w:val="21"/>
                              </w:rPr>
                              <w:t>下坝址</w:t>
                            </w:r>
                          </w:p>
                        </w:txbxContent>
                      </v:textbox>
                    </v:shape>
                  </w:pict>
                </mc:Fallback>
              </mc:AlternateContent>
            </w:r>
            <w:r>
              <w:rPr>
                <w:rFonts w:eastAsia="黑体"/>
                <w:b/>
                <w:color w:val="auto"/>
                <w:sz w:val="21"/>
                <w:szCs w:val="21"/>
                <w:highlight w:val="none"/>
              </w:rPr>
              <w:drawing>
                <wp:inline distT="0" distB="0" distL="0" distR="0">
                  <wp:extent cx="5109845" cy="3711575"/>
                  <wp:effectExtent l="0" t="0" r="14605" b="317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noChangeArrowheads="1"/>
                          </pic:cNvPicPr>
                        </pic:nvPicPr>
                        <pic:blipFill>
                          <a:blip r:embed="rId15" cstate="print">
                            <a:extLst>
                              <a:ext uri="{28A0092B-C50C-407E-A947-70E740481C1C}">
                                <a14:useLocalDpi xmlns:a14="http://schemas.microsoft.com/office/drawing/2010/main" val="0"/>
                              </a:ext>
                            </a:extLst>
                          </a:blip>
                          <a:srcRect t="8702" b="20440"/>
                          <a:stretch>
                            <a:fillRect/>
                          </a:stretch>
                        </pic:blipFill>
                        <pic:spPr>
                          <a:xfrm>
                            <a:off x="0" y="0"/>
                            <a:ext cx="5167378" cy="3753364"/>
                          </a:xfrm>
                          <a:prstGeom prst="rect">
                            <a:avLst/>
                          </a:prstGeom>
                          <a:noFill/>
                          <a:ln>
                            <a:noFill/>
                          </a:ln>
                        </pic:spPr>
                      </pic:pic>
                    </a:graphicData>
                  </a:graphic>
                </wp:inline>
              </w:drawing>
            </w:r>
          </w:p>
          <w:p>
            <w:pPr>
              <w:spacing w:line="240" w:lineRule="auto"/>
              <w:ind w:firstLine="0" w:firstLine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图</w:t>
            </w:r>
            <w:r>
              <w:rPr>
                <w:rFonts w:hint="eastAsia" w:ascii="Times New Roman" w:hAnsi="Times New Roman" w:eastAsia="宋体" w:cs="Times New Roman"/>
                <w:b w:val="0"/>
                <w:bCs/>
                <w:color w:val="auto"/>
                <w:sz w:val="21"/>
                <w:szCs w:val="21"/>
                <w:highlight w:val="none"/>
                <w:lang w:val="en-US" w:eastAsia="zh-CN"/>
              </w:rPr>
              <w:t>4</w:t>
            </w:r>
            <w:r>
              <w:rPr>
                <w:rFonts w:hint="default" w:ascii="Times New Roman" w:hAnsi="Times New Roman" w:eastAsia="宋体" w:cs="Times New Roman"/>
                <w:b w:val="0"/>
                <w:bCs/>
                <w:color w:val="auto"/>
                <w:sz w:val="21"/>
                <w:szCs w:val="21"/>
                <w:highlight w:val="none"/>
              </w:rPr>
              <w:t>-</w:t>
            </w:r>
            <w:r>
              <w:rPr>
                <w:rFonts w:hint="eastAsia" w:ascii="Times New Roman" w:hAnsi="Times New Roman" w:eastAsia="宋体" w:cs="Times New Roman"/>
                <w:b w:val="0"/>
                <w:bCs/>
                <w:color w:val="auto"/>
                <w:sz w:val="21"/>
                <w:szCs w:val="21"/>
                <w:highlight w:val="none"/>
                <w:lang w:val="en-US" w:eastAsia="zh-CN"/>
              </w:rPr>
              <w:t>2</w:t>
            </w:r>
            <w:r>
              <w:rPr>
                <w:rFonts w:hint="default" w:ascii="Times New Roman" w:hAnsi="Times New Roman" w:eastAsia="宋体" w:cs="Times New Roman"/>
                <w:b w:val="0"/>
                <w:bCs/>
                <w:color w:val="auto"/>
                <w:sz w:val="21"/>
                <w:szCs w:val="21"/>
                <w:highlight w:val="none"/>
              </w:rPr>
              <w:t xml:space="preserve">   可研阶段补水工程坝址比选平面布置图</w:t>
            </w:r>
          </w:p>
          <w:p>
            <w:pPr>
              <w:autoSpaceDE w:val="0"/>
              <w:autoSpaceDN w:val="0"/>
              <w:adjustRightInd w:val="0"/>
              <w:snapToGrid w:val="0"/>
              <w:spacing w:line="360" w:lineRule="auto"/>
              <w:ind w:firstLine="420" w:firstLineChars="200"/>
              <w:rPr>
                <w:rFonts w:hint="default" w:ascii="Times New Roman" w:hAnsi="Times New Roman"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w:t>
            </w:r>
            <w:r>
              <w:rPr>
                <w:rFonts w:hint="eastAsia"/>
                <w:color w:val="auto"/>
                <w:highlight w:val="none"/>
                <w:lang w:bidi="ar-SA"/>
              </w:rPr>
              <w:t>补水坝</w:t>
            </w:r>
            <w:r>
              <w:rPr>
                <w:rFonts w:hint="eastAsia"/>
                <w:color w:val="auto"/>
                <w:highlight w:val="none"/>
              </w:rPr>
              <w:t>轴线选择</w:t>
            </w:r>
          </w:p>
          <w:p>
            <w:pPr>
              <w:autoSpaceDE w:val="0"/>
              <w:autoSpaceDN w:val="0"/>
              <w:adjustRightInd w:val="0"/>
              <w:snapToGrid w:val="0"/>
              <w:spacing w:line="360" w:lineRule="auto"/>
              <w:ind w:firstLine="420" w:firstLineChars="20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补水坝址河段堰沟主沟河道呈“S”弯道分布、河床比降较大，约50‰；可研坝址河段河床高程624.00</w:t>
            </w:r>
            <w:r>
              <w:rPr>
                <w:rFonts w:hint="eastAsia"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628.00m，左、右岸均有冲沟汇入，根据本阶段现场调查及钻探提示，两岸均为崩坡积层孤块碎石土，河床覆盖层为漂卵砾石夹砂，厚6.0</w:t>
            </w:r>
            <w:r>
              <w:rPr>
                <w:rFonts w:hint="eastAsia"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7.5m，因覆盖层较厚，故研究坝线上移或下移的可能性。</w:t>
            </w:r>
          </w:p>
          <w:p>
            <w:pPr>
              <w:autoSpaceDE w:val="0"/>
              <w:autoSpaceDN w:val="0"/>
              <w:adjustRightInd w:val="0"/>
              <w:snapToGrid w:val="0"/>
              <w:spacing w:line="360" w:lineRule="auto"/>
              <w:ind w:firstLine="420" w:firstLineChars="20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结合实地勘测，从可研坝址坝线往上游，河床地形逐渐变窄、建筑物布置困难，且河床广泛分布大孤块石，建坝条件逐渐变差；从可研坝址坝线往下游，左岸逐渐可见基岩出露，建坝条件逐渐变好，但河床高程降低，在下游150m处河床高程降至616.00m，已不能满足补水渠有压输水条件。同时，本阶段与宣汉县三区三线成果对接，补水坝址河段基本农田分布较为密集，在可研坝址坝线上游300m</w:t>
            </w:r>
            <w:r>
              <w:rPr>
                <w:rFonts w:hint="eastAsia" w:cs="Times New Roman"/>
                <w:b w:val="0"/>
                <w:bCs/>
                <w:color w:val="auto"/>
                <w:sz w:val="21"/>
                <w:szCs w:val="21"/>
                <w:highlight w:val="none"/>
                <w:lang w:val="en-US" w:eastAsia="zh-CN"/>
              </w:rPr>
              <w:t>～</w:t>
            </w:r>
            <w:r>
              <w:rPr>
                <w:rFonts w:hint="default" w:ascii="Times New Roman" w:hAnsi="Times New Roman" w:cs="Times New Roman"/>
                <w:b w:val="0"/>
                <w:bCs/>
                <w:color w:val="auto"/>
                <w:sz w:val="21"/>
                <w:szCs w:val="21"/>
                <w:highlight w:val="none"/>
                <w:lang w:val="en-US" w:eastAsia="zh-CN"/>
              </w:rPr>
              <w:t>下游150m范围内，均无更适宜的建坝位置。</w:t>
            </w:r>
          </w:p>
          <w:p>
            <w:pPr>
              <w:pStyle w:val="99"/>
              <w:ind w:firstLine="0" w:firstLineChars="0"/>
              <w:jc w:val="center"/>
              <w:rPr>
                <w:color w:val="auto"/>
                <w:highlight w:val="none"/>
              </w:rPr>
            </w:pPr>
            <w:r>
              <w:rPr>
                <w:color w:val="auto"/>
                <w:highlight w:val="none"/>
              </w:rPr>
              <w:drawing>
                <wp:inline distT="0" distB="0" distL="0" distR="0">
                  <wp:extent cx="5596890" cy="4266565"/>
                  <wp:effectExtent l="0" t="0" r="3810" b="63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6"/>
                          <a:srcRect l="6410" t="4371" r="5845" b="451"/>
                          <a:stretch>
                            <a:fillRect/>
                          </a:stretch>
                        </pic:blipFill>
                        <pic:spPr>
                          <a:xfrm>
                            <a:off x="0" y="0"/>
                            <a:ext cx="5657197" cy="4312376"/>
                          </a:xfrm>
                          <a:prstGeom prst="rect">
                            <a:avLst/>
                          </a:prstGeom>
                          <a:ln>
                            <a:noFill/>
                          </a:ln>
                        </pic:spPr>
                      </pic:pic>
                    </a:graphicData>
                  </a:graphic>
                </wp:inline>
              </w:drawing>
            </w:r>
          </w:p>
          <w:p>
            <w:pPr>
              <w:autoSpaceDE w:val="0"/>
              <w:autoSpaceDN w:val="0"/>
              <w:adjustRightInd w:val="0"/>
              <w:snapToGrid w:val="0"/>
              <w:spacing w:line="360" w:lineRule="auto"/>
              <w:ind w:firstLine="420" w:firstLineChars="200"/>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图4-</w:t>
            </w:r>
            <w:r>
              <w:rPr>
                <w:rFonts w:hint="eastAsia" w:cs="Times New Roman"/>
                <w:b w:val="0"/>
                <w:bCs/>
                <w:color w:val="auto"/>
                <w:sz w:val="21"/>
                <w:szCs w:val="21"/>
                <w:highlight w:val="none"/>
                <w:lang w:val="en-US" w:eastAsia="zh-CN"/>
              </w:rPr>
              <w:t>3</w:t>
            </w:r>
            <w:r>
              <w:rPr>
                <w:rFonts w:hint="default" w:ascii="Times New Roman" w:hAnsi="Times New Roman" w:cs="Times New Roman"/>
                <w:b w:val="0"/>
                <w:bCs/>
                <w:color w:val="auto"/>
                <w:sz w:val="21"/>
                <w:szCs w:val="21"/>
                <w:highlight w:val="none"/>
                <w:lang w:val="en-US" w:eastAsia="zh-CN"/>
              </w:rPr>
              <w:t xml:space="preserve">  补水坝址河段基本情况图</w:t>
            </w:r>
          </w:p>
          <w:p>
            <w:pPr>
              <w:autoSpaceDE w:val="0"/>
              <w:autoSpaceDN w:val="0"/>
              <w:adjustRightInd w:val="0"/>
              <w:snapToGrid w:val="0"/>
              <w:spacing w:line="360" w:lineRule="auto"/>
              <w:ind w:firstLine="420" w:firstLineChars="20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因此，受基本农田、地形地质条件限制，补水坝无有价值的比较坝线，本阶段推荐坝线避开左、右岸冲沟及基本农田，在可研阶段坝址坝线下游20m，为唯一坝线，即：花池水厂石河堰上游0.4km、左岸冲沟下游15m处。</w:t>
            </w:r>
          </w:p>
          <w:p>
            <w:pPr>
              <w:autoSpaceDE w:val="0"/>
              <w:autoSpaceDN w:val="0"/>
              <w:adjustRightInd w:val="0"/>
              <w:snapToGrid w:val="0"/>
              <w:spacing w:line="360" w:lineRule="auto"/>
              <w:ind w:firstLine="420" w:firstLineChars="200"/>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（3）</w:t>
            </w:r>
            <w:r>
              <w:rPr>
                <w:rFonts w:hint="eastAsia"/>
                <w:bCs/>
                <w:color w:val="auto"/>
                <w:highlight w:val="none"/>
              </w:rPr>
              <w:t>补水渠线路及输水方案选择</w:t>
            </w:r>
          </w:p>
          <w:p>
            <w:pPr>
              <w:suppressAutoHyphens/>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补水渠设计最大输水流量4m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s，管道进口底高程625.00m，出口设计水位即水库正常蓄水位609.00m，高差16m，满足重力流输水条件。根据取水口与堰沟水库库尾间的位置关系，补水渠自北东向南西流入堰沟水库库尾。根据现场地形，水库库尾位于主沟右岸位置，且主沟右岸地势缓于左岸，故补水渠在</w:t>
            </w:r>
            <w:r>
              <w:rPr>
                <w:rFonts w:hint="default" w:ascii="Times New Roman" w:hAnsi="Times New Roman" w:eastAsia="宋体" w:cs="Times New Roman"/>
                <w:color w:val="auto"/>
                <w:highlight w:val="none"/>
                <w:u w:color="FF0000"/>
              </w:rPr>
              <w:t>拦河堰取水闸取水后，选择适宜位置跨沟，</w:t>
            </w:r>
            <w:r>
              <w:rPr>
                <w:rFonts w:hint="default" w:ascii="Times New Roman" w:hAnsi="Times New Roman" w:eastAsia="宋体" w:cs="Times New Roman"/>
                <w:color w:val="auto"/>
                <w:highlight w:val="none"/>
              </w:rPr>
              <w:t>整体沿主沟右岸布置。</w:t>
            </w:r>
          </w:p>
          <w:p>
            <w:pPr>
              <w:autoSpaceDE w:val="0"/>
              <w:autoSpaceDN w:val="0"/>
              <w:adjustRightInd w:val="0"/>
              <w:snapToGrid w:val="0"/>
              <w:spacing w:line="360" w:lineRule="auto"/>
              <w:ind w:firstLine="420" w:firstLineChars="20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color w:val="auto"/>
                <w:highlight w:val="none"/>
              </w:rPr>
              <w:t>根据综合踏勘，主沟右岸公路上方为斜坡地形、边坡较陡，公路下方为农田、地势较为平坦，拟定高线、低线两个补水渠线路方案进行技术经济比较：高线方案补水渠主要沿主沟右岸公路上方布置，渠道高程随等高线均匀下降，采用无压输水方案；低线方案沿主沟右岸公路下方农田布置，渠道高程起伏较大，采用有压输水方案。</w:t>
            </w:r>
          </w:p>
          <w:p>
            <w:pPr>
              <w:pStyle w:val="99"/>
              <w:spacing w:line="360" w:lineRule="auto"/>
              <w:ind w:firstLine="482"/>
              <w:rPr>
                <w:rFonts w:hint="default" w:ascii="Times New Roman" w:hAnsi="Times New Roman" w:eastAsia="宋体" w:cs="Times New Roman"/>
                <w:b w:val="0"/>
                <w:bCs w:val="0"/>
                <w:color w:val="auto"/>
                <w:sz w:val="21"/>
                <w:szCs w:val="21"/>
                <w:highlight w:val="none"/>
              </w:rPr>
            </w:pPr>
            <w:r>
              <w:rPr>
                <w:rFonts w:hint="eastAsia" w:ascii="宋体" w:hAnsi="宋体" w:eastAsia="宋体" w:cs="宋体"/>
                <w:b w:val="0"/>
                <w:bCs w:val="0"/>
                <w:color w:val="auto"/>
                <w:sz w:val="21"/>
                <w:szCs w:val="21"/>
                <w:highlight w:val="none"/>
              </w:rPr>
              <w:t>①</w:t>
            </w:r>
            <w:r>
              <w:rPr>
                <w:rFonts w:hint="default" w:ascii="Times New Roman" w:hAnsi="Times New Roman" w:eastAsia="宋体" w:cs="Times New Roman"/>
                <w:b w:val="0"/>
                <w:bCs w:val="0"/>
                <w:color w:val="auto"/>
                <w:sz w:val="21"/>
                <w:szCs w:val="21"/>
                <w:highlight w:val="none"/>
              </w:rPr>
              <w:t>地形地质条件</w:t>
            </w:r>
          </w:p>
          <w:p>
            <w:pPr>
              <w:suppressAutoHyphens/>
              <w:autoSpaceDE w:val="0"/>
              <w:autoSpaceDN w:val="0"/>
              <w:spacing w:line="360" w:lineRule="auto"/>
              <w:ind w:firstLine="480"/>
              <w:rPr>
                <w:rFonts w:hint="default" w:ascii="Times New Roman" w:hAnsi="Times New Roman" w:eastAsia="宋体" w:cs="Times New Roman"/>
                <w:b w:val="0"/>
                <w:bCs w:val="0"/>
                <w:color w:val="auto"/>
                <w:highlight w:val="none"/>
                <w:u w:color="FF0000"/>
              </w:rPr>
            </w:pPr>
            <w:r>
              <w:rPr>
                <w:rFonts w:hint="default" w:ascii="Times New Roman" w:hAnsi="Times New Roman" w:eastAsia="宋体" w:cs="Times New Roman"/>
                <w:b w:val="0"/>
                <w:bCs w:val="0"/>
                <w:color w:val="auto"/>
                <w:highlight w:val="none"/>
              </w:rPr>
              <w:t>两种渠线</w:t>
            </w:r>
            <w:r>
              <w:rPr>
                <w:rFonts w:hint="default" w:ascii="Times New Roman" w:hAnsi="Times New Roman" w:eastAsia="宋体" w:cs="Times New Roman"/>
                <w:b w:val="0"/>
                <w:bCs w:val="0"/>
                <w:color w:val="auto"/>
                <w:highlight w:val="none"/>
                <w:u w:color="FF0000"/>
              </w:rPr>
              <w:t>在跨主沟之前</w:t>
            </w:r>
            <w:r>
              <w:rPr>
                <w:rFonts w:hint="default" w:ascii="Times New Roman" w:hAnsi="Times New Roman" w:eastAsia="宋体" w:cs="Times New Roman"/>
                <w:b w:val="0"/>
                <w:bCs w:val="0"/>
                <w:color w:val="auto"/>
                <w:highlight w:val="none"/>
              </w:rPr>
              <w:t>走向基本一致。高线方案中后段主要沿斜坡布置，局部地形较陡且穿越居民区，存在一定的边坡稳定问题及施工安全问题，且需新建隧洞，存在进出口边坡稳定及洞身稳定问题；低线方案为浅埋式管道，对地基要求不高，主要沿斜坡、公路坡脚、冲沟布置，地形相对平缓，不存在大的边坡稳定问题。地质方面认为低线方案较优。</w:t>
            </w:r>
          </w:p>
          <w:p>
            <w:pPr>
              <w:pStyle w:val="99"/>
              <w:spacing w:line="360" w:lineRule="auto"/>
              <w:ind w:firstLine="482"/>
              <w:rPr>
                <w:rFonts w:hint="default" w:ascii="Times New Roman" w:hAnsi="Times New Roman" w:eastAsia="宋体" w:cs="Times New Roman"/>
                <w:b w:val="0"/>
                <w:bCs w:val="0"/>
                <w:color w:val="auto"/>
                <w:sz w:val="21"/>
                <w:szCs w:val="21"/>
                <w:highlight w:val="none"/>
              </w:rPr>
            </w:pPr>
            <w:r>
              <w:rPr>
                <w:rFonts w:hint="eastAsia" w:ascii="宋体" w:hAnsi="宋体" w:eastAsia="宋体" w:cs="宋体"/>
                <w:b w:val="0"/>
                <w:bCs w:val="0"/>
                <w:color w:val="auto"/>
                <w:sz w:val="21"/>
                <w:szCs w:val="21"/>
                <w:highlight w:val="none"/>
              </w:rPr>
              <w:t>②</w:t>
            </w:r>
            <w:r>
              <w:rPr>
                <w:rFonts w:hint="default" w:ascii="Times New Roman" w:hAnsi="Times New Roman" w:eastAsia="宋体" w:cs="Times New Roman"/>
                <w:b w:val="0"/>
                <w:bCs w:val="0"/>
                <w:color w:val="auto"/>
                <w:sz w:val="21"/>
                <w:szCs w:val="21"/>
                <w:highlight w:val="none"/>
              </w:rPr>
              <w:t>工程布置及施工条件</w:t>
            </w:r>
          </w:p>
          <w:p>
            <w:pPr>
              <w:suppressAutoHyphens/>
              <w:spacing w:line="360" w:lineRule="auto"/>
              <w:ind w:firstLine="420" w:firstLineChars="20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u w:color="FF0000"/>
              </w:rPr>
              <w:t>高线、低线方案渠线总长分别为1348m、</w:t>
            </w:r>
            <w:r>
              <w:rPr>
                <w:rFonts w:hint="default" w:ascii="Times New Roman" w:hAnsi="Times New Roman" w:eastAsia="宋体" w:cs="Times New Roman"/>
                <w:b w:val="0"/>
                <w:bCs w:val="0"/>
                <w:color w:val="auto"/>
                <w:highlight w:val="none"/>
              </w:rPr>
              <w:t>1435m。</w:t>
            </w:r>
          </w:p>
          <w:p>
            <w:pPr>
              <w:suppressAutoHyphens/>
              <w:spacing w:line="360" w:lineRule="auto"/>
              <w:ind w:firstLine="420" w:firstLineChars="20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高线方案受地形、水头及基本农田等因素制约，布线难度较大，涉及暗渠、隧洞、倒虹管等建筑物，且桩号0+075~0+260、0+360~0+650段均涉及高陡边坡施工，最大开挖高度达</w:t>
            </w:r>
            <w:r>
              <w:rPr>
                <w:rFonts w:hint="default" w:ascii="Times New Roman" w:hAnsi="Times New Roman" w:eastAsia="宋体" w:cs="Times New Roman"/>
                <w:b w:val="0"/>
                <w:bCs w:val="0"/>
                <w:color w:val="auto"/>
                <w:highlight w:val="none"/>
              </w:rPr>
              <w:tab/>
            </w:r>
            <w:r>
              <w:rPr>
                <w:rFonts w:hint="default" w:ascii="Times New Roman" w:hAnsi="Times New Roman" w:eastAsia="宋体" w:cs="Times New Roman"/>
                <w:b w:val="0"/>
                <w:bCs w:val="0"/>
                <w:color w:val="auto"/>
                <w:highlight w:val="none"/>
              </w:rPr>
              <w:t>20m，施工对周边居民的干扰也较大，总体施工难度较大。</w:t>
            </w:r>
          </w:p>
          <w:p>
            <w:pPr>
              <w:suppressAutoHyphens/>
              <w:spacing w:line="360" w:lineRule="auto"/>
              <w:ind w:firstLine="48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低线方案基本沿斜坡、公路坡脚布置，采用有压管道充分利用水头使线路布置更为灵活，能适应地形的起伏，挖填量较小，施工难度相对较小。</w:t>
            </w:r>
          </w:p>
          <w:p>
            <w:pPr>
              <w:suppressAutoHyphens/>
              <w:spacing w:line="360" w:lineRule="auto"/>
              <w:ind w:firstLine="48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故从工程布置及施工条件来看，低线方案较优。</w:t>
            </w:r>
          </w:p>
          <w:p>
            <w:pPr>
              <w:pStyle w:val="99"/>
              <w:spacing w:line="360" w:lineRule="auto"/>
              <w:ind w:left="0" w:leftChars="0" w:firstLine="420" w:firstLineChars="200"/>
              <w:rPr>
                <w:rFonts w:hint="default" w:ascii="Times New Roman" w:hAnsi="Times New Roman" w:eastAsia="宋体" w:cs="Times New Roman"/>
                <w:b w:val="0"/>
                <w:bCs w:val="0"/>
                <w:color w:val="auto"/>
                <w:sz w:val="21"/>
                <w:szCs w:val="21"/>
                <w:highlight w:val="none"/>
              </w:rPr>
            </w:pPr>
            <w:r>
              <w:rPr>
                <w:rFonts w:hint="eastAsia" w:ascii="宋体" w:hAnsi="宋体" w:eastAsia="宋体" w:cs="宋体"/>
                <w:b w:val="0"/>
                <w:bCs w:val="0"/>
                <w:color w:val="auto"/>
                <w:sz w:val="21"/>
                <w:szCs w:val="21"/>
                <w:highlight w:val="none"/>
              </w:rPr>
              <w:t>③</w:t>
            </w:r>
            <w:r>
              <w:rPr>
                <w:rFonts w:hint="default" w:ascii="Times New Roman" w:hAnsi="Times New Roman" w:eastAsia="宋体" w:cs="Times New Roman"/>
                <w:b w:val="0"/>
                <w:bCs w:val="0"/>
                <w:color w:val="auto"/>
                <w:sz w:val="21"/>
                <w:szCs w:val="21"/>
                <w:highlight w:val="none"/>
              </w:rPr>
              <w:t>工程占地</w:t>
            </w:r>
          </w:p>
          <w:p>
            <w:pPr>
              <w:suppressAutoHyphens/>
              <w:spacing w:line="360" w:lineRule="auto"/>
              <w:ind w:firstLine="420" w:firstLineChars="20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高线方案永久占地6.92亩（明渠、倒虹管进出口、隧洞进出口），临时占地29.57亩；低线方案永久占地0.50亩，临时占地18.48亩，对沿途农田的干扰也较小。故从工程占地来看，低线方案较优。</w:t>
            </w:r>
          </w:p>
          <w:p>
            <w:pPr>
              <w:pStyle w:val="99"/>
              <w:spacing w:line="360" w:lineRule="auto"/>
              <w:ind w:firstLine="482"/>
              <w:rPr>
                <w:rFonts w:hint="default" w:ascii="Times New Roman" w:hAnsi="Times New Roman" w:eastAsia="宋体" w:cs="Times New Roman"/>
                <w:b w:val="0"/>
                <w:bCs w:val="0"/>
                <w:color w:val="auto"/>
                <w:sz w:val="21"/>
                <w:szCs w:val="21"/>
                <w:highlight w:val="none"/>
              </w:rPr>
            </w:pPr>
            <w:r>
              <w:rPr>
                <w:rFonts w:hint="eastAsia" w:ascii="宋体" w:hAnsi="宋体" w:eastAsia="宋体" w:cs="宋体"/>
                <w:b w:val="0"/>
                <w:bCs w:val="0"/>
                <w:color w:val="auto"/>
                <w:sz w:val="21"/>
                <w:szCs w:val="21"/>
                <w:highlight w:val="none"/>
              </w:rPr>
              <w:t>④</w:t>
            </w:r>
            <w:r>
              <w:rPr>
                <w:rFonts w:hint="default" w:ascii="Times New Roman" w:hAnsi="Times New Roman" w:eastAsia="宋体" w:cs="Times New Roman"/>
                <w:b w:val="0"/>
                <w:bCs w:val="0"/>
                <w:color w:val="auto"/>
                <w:sz w:val="21"/>
                <w:szCs w:val="21"/>
                <w:highlight w:val="none"/>
              </w:rPr>
              <w:t>运行管理条件</w:t>
            </w:r>
          </w:p>
          <w:p>
            <w:pPr>
              <w:suppressAutoHyphens/>
              <w:spacing w:line="360" w:lineRule="auto"/>
              <w:ind w:firstLine="420" w:firstLineChars="20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高线方案采用无压渠道输水，运行期清淤、检修相对方便；低线方案采用有压管道输水，运行期清淤、检修相对复杂。</w:t>
            </w:r>
          </w:p>
          <w:p>
            <w:pPr>
              <w:pStyle w:val="99"/>
              <w:spacing w:line="360" w:lineRule="auto"/>
              <w:ind w:firstLine="482"/>
              <w:rPr>
                <w:rFonts w:hint="default" w:ascii="Times New Roman" w:hAnsi="Times New Roman" w:eastAsia="宋体" w:cs="Times New Roman"/>
                <w:b w:val="0"/>
                <w:bCs w:val="0"/>
                <w:color w:val="auto"/>
                <w:sz w:val="21"/>
                <w:szCs w:val="21"/>
                <w:highlight w:val="none"/>
              </w:rPr>
            </w:pPr>
            <w:r>
              <w:rPr>
                <w:rFonts w:hint="eastAsia" w:ascii="宋体" w:hAnsi="宋体" w:eastAsia="宋体" w:cs="宋体"/>
                <w:b w:val="0"/>
                <w:bCs w:val="0"/>
                <w:color w:val="auto"/>
                <w:sz w:val="21"/>
                <w:szCs w:val="21"/>
                <w:highlight w:val="none"/>
              </w:rPr>
              <w:t>⑤</w:t>
            </w:r>
            <w:r>
              <w:rPr>
                <w:rFonts w:hint="default" w:ascii="Times New Roman" w:hAnsi="Times New Roman" w:eastAsia="宋体" w:cs="Times New Roman"/>
                <w:b w:val="0"/>
                <w:bCs w:val="0"/>
                <w:color w:val="auto"/>
                <w:sz w:val="21"/>
                <w:szCs w:val="21"/>
                <w:highlight w:val="none"/>
              </w:rPr>
              <w:t>经济指标</w:t>
            </w:r>
          </w:p>
          <w:p>
            <w:pPr>
              <w:suppressAutoHyphens/>
              <w:spacing w:line="360" w:lineRule="auto"/>
              <w:ind w:firstLine="420" w:firstLineChars="20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统计补水渠两个线路方案各特性参数及工程量、投资，见表</w:t>
            </w:r>
            <w:r>
              <w:rPr>
                <w:rFonts w:hint="eastAsia" w:ascii="Times New Roman" w:hAnsi="Times New Roman" w:eastAsia="宋体" w:cs="Times New Roman"/>
                <w:b w:val="0"/>
                <w:bCs w:val="0"/>
                <w:color w:val="auto"/>
                <w:highlight w:val="none"/>
                <w:lang w:val="en-US" w:eastAsia="zh-CN"/>
              </w:rPr>
              <w:t>4-7</w:t>
            </w:r>
            <w:r>
              <w:rPr>
                <w:rFonts w:hint="default" w:ascii="Times New Roman" w:hAnsi="Times New Roman" w:eastAsia="宋体" w:cs="Times New Roman"/>
                <w:b w:val="0"/>
                <w:bCs w:val="0"/>
                <w:color w:val="auto"/>
                <w:highlight w:val="none"/>
              </w:rPr>
              <w:t>。</w:t>
            </w:r>
          </w:p>
          <w:p>
            <w:pPr>
              <w:spacing w:line="360" w:lineRule="auto"/>
              <w:ind w:firstLine="0" w:firstLineChars="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表</w:t>
            </w:r>
            <w:r>
              <w:rPr>
                <w:rFonts w:hint="eastAsia" w:ascii="Times New Roman" w:hAnsi="Times New Roman" w:eastAsia="宋体" w:cs="Times New Roman"/>
                <w:b w:val="0"/>
                <w:bCs w:val="0"/>
                <w:color w:val="auto"/>
                <w:sz w:val="21"/>
                <w:szCs w:val="21"/>
                <w:highlight w:val="none"/>
                <w:lang w:val="en-US" w:eastAsia="zh-CN"/>
              </w:rPr>
              <w:t>4-7</w:t>
            </w:r>
            <w:r>
              <w:rPr>
                <w:rFonts w:hint="default" w:ascii="Times New Roman" w:hAnsi="Times New Roman" w:eastAsia="宋体" w:cs="Times New Roman"/>
                <w:b w:val="0"/>
                <w:bCs w:val="0"/>
                <w:color w:val="auto"/>
                <w:sz w:val="21"/>
                <w:szCs w:val="21"/>
                <w:highlight w:val="none"/>
              </w:rPr>
              <w:t xml:space="preserve">   补水渠线路比选成果表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3283"/>
              <w:gridCol w:w="739"/>
              <w:gridCol w:w="1457"/>
              <w:gridCol w:w="1477"/>
              <w:gridCol w:w="1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序号</w:t>
                  </w:r>
                </w:p>
              </w:tc>
              <w:tc>
                <w:tcPr>
                  <w:tcW w:w="1796"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项目</w:t>
                  </w:r>
                </w:p>
              </w:tc>
              <w:tc>
                <w:tcPr>
                  <w:tcW w:w="404"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单位</w:t>
                  </w:r>
                </w:p>
              </w:tc>
              <w:tc>
                <w:tcPr>
                  <w:tcW w:w="797"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高线方案</w:t>
                  </w:r>
                </w:p>
              </w:tc>
              <w:tc>
                <w:tcPr>
                  <w:tcW w:w="808"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低线方案</w:t>
                  </w:r>
                </w:p>
              </w:tc>
              <w:tc>
                <w:tcPr>
                  <w:tcW w:w="805"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一</w:t>
                  </w:r>
                </w:p>
              </w:tc>
              <w:tc>
                <w:tcPr>
                  <w:tcW w:w="1796" w:type="pct"/>
                  <w:shd w:val="clear" w:color="auto" w:fill="auto"/>
                  <w:vAlign w:val="center"/>
                </w:tcPr>
                <w:p>
                  <w:pPr>
                    <w:widowControl/>
                    <w:spacing w:line="240" w:lineRule="auto"/>
                    <w:ind w:firstLine="0" w:firstLineChars="0"/>
                    <w:jc w:val="left"/>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建筑物参数</w:t>
                  </w:r>
                </w:p>
              </w:tc>
              <w:tc>
                <w:tcPr>
                  <w:tcW w:w="404"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　</w:t>
                  </w:r>
                </w:p>
              </w:tc>
              <w:tc>
                <w:tcPr>
                  <w:tcW w:w="797"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　</w:t>
                  </w:r>
                </w:p>
              </w:tc>
              <w:tc>
                <w:tcPr>
                  <w:tcW w:w="808"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　</w:t>
                  </w:r>
                </w:p>
              </w:tc>
              <w:tc>
                <w:tcPr>
                  <w:tcW w:w="805"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1</w:t>
                  </w:r>
                </w:p>
              </w:tc>
              <w:tc>
                <w:tcPr>
                  <w:tcW w:w="1796" w:type="pct"/>
                  <w:shd w:val="clear" w:color="auto" w:fill="auto"/>
                  <w:vAlign w:val="center"/>
                </w:tcPr>
                <w:p>
                  <w:pPr>
                    <w:widowControl/>
                    <w:spacing w:line="240" w:lineRule="auto"/>
                    <w:ind w:firstLine="0" w:firstLineChars="0"/>
                    <w:jc w:val="left"/>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输水方式</w:t>
                  </w:r>
                </w:p>
              </w:tc>
              <w:tc>
                <w:tcPr>
                  <w:tcW w:w="404"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m</w:t>
                  </w:r>
                  <w:r>
                    <w:rPr>
                      <w:rFonts w:hint="default" w:ascii="Times New Roman" w:hAnsi="Times New Roman" w:eastAsia="宋体" w:cs="Times New Roman"/>
                      <w:b w:val="0"/>
                      <w:bCs w:val="0"/>
                      <w:color w:val="auto"/>
                      <w:kern w:val="0"/>
                      <w:sz w:val="21"/>
                      <w:szCs w:val="21"/>
                      <w:highlight w:val="none"/>
                      <w:vertAlign w:val="superscript"/>
                    </w:rPr>
                    <w:t>3</w:t>
                  </w:r>
                  <w:r>
                    <w:rPr>
                      <w:rFonts w:hint="default" w:ascii="Times New Roman" w:hAnsi="Times New Roman" w:eastAsia="宋体" w:cs="Times New Roman"/>
                      <w:b w:val="0"/>
                      <w:bCs w:val="0"/>
                      <w:color w:val="auto"/>
                      <w:kern w:val="0"/>
                      <w:sz w:val="21"/>
                      <w:szCs w:val="21"/>
                      <w:highlight w:val="none"/>
                    </w:rPr>
                    <w:t>/s</w:t>
                  </w:r>
                </w:p>
              </w:tc>
              <w:tc>
                <w:tcPr>
                  <w:tcW w:w="797"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无压渠道</w:t>
                  </w:r>
                </w:p>
              </w:tc>
              <w:tc>
                <w:tcPr>
                  <w:tcW w:w="808"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有压管道</w:t>
                  </w:r>
                </w:p>
              </w:tc>
              <w:tc>
                <w:tcPr>
                  <w:tcW w:w="805"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2</w:t>
                  </w:r>
                </w:p>
              </w:tc>
              <w:tc>
                <w:tcPr>
                  <w:tcW w:w="1796" w:type="pct"/>
                  <w:shd w:val="clear" w:color="auto" w:fill="auto"/>
                  <w:vAlign w:val="center"/>
                </w:tcPr>
                <w:p>
                  <w:pPr>
                    <w:widowControl/>
                    <w:spacing w:line="240" w:lineRule="auto"/>
                    <w:ind w:firstLine="0" w:firstLineChars="0"/>
                    <w:jc w:val="left"/>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设计流量</w:t>
                  </w:r>
                </w:p>
              </w:tc>
              <w:tc>
                <w:tcPr>
                  <w:tcW w:w="404"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m</w:t>
                  </w:r>
                  <w:r>
                    <w:rPr>
                      <w:rFonts w:hint="default" w:ascii="Times New Roman" w:hAnsi="Times New Roman" w:eastAsia="宋体" w:cs="Times New Roman"/>
                      <w:b w:val="0"/>
                      <w:bCs w:val="0"/>
                      <w:color w:val="auto"/>
                      <w:kern w:val="0"/>
                      <w:sz w:val="21"/>
                      <w:szCs w:val="21"/>
                      <w:highlight w:val="none"/>
                      <w:vertAlign w:val="superscript"/>
                    </w:rPr>
                    <w:t>3</w:t>
                  </w:r>
                  <w:r>
                    <w:rPr>
                      <w:rFonts w:hint="default" w:ascii="Times New Roman" w:hAnsi="Times New Roman" w:eastAsia="宋体" w:cs="Times New Roman"/>
                      <w:b w:val="0"/>
                      <w:bCs w:val="0"/>
                      <w:color w:val="auto"/>
                      <w:kern w:val="0"/>
                      <w:sz w:val="21"/>
                      <w:szCs w:val="21"/>
                      <w:highlight w:val="none"/>
                    </w:rPr>
                    <w:t>/s</w:t>
                  </w:r>
                </w:p>
              </w:tc>
              <w:tc>
                <w:tcPr>
                  <w:tcW w:w="797"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4.00</w:t>
                  </w:r>
                </w:p>
              </w:tc>
              <w:tc>
                <w:tcPr>
                  <w:tcW w:w="808"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4.00</w:t>
                  </w:r>
                </w:p>
              </w:tc>
              <w:tc>
                <w:tcPr>
                  <w:tcW w:w="805"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3</w:t>
                  </w:r>
                </w:p>
              </w:tc>
              <w:tc>
                <w:tcPr>
                  <w:tcW w:w="1796" w:type="pct"/>
                  <w:shd w:val="clear" w:color="auto" w:fill="auto"/>
                  <w:vAlign w:val="center"/>
                </w:tcPr>
                <w:p>
                  <w:pPr>
                    <w:widowControl/>
                    <w:spacing w:line="240" w:lineRule="auto"/>
                    <w:ind w:firstLine="0" w:firstLineChars="0"/>
                    <w:jc w:val="left"/>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长度</w:t>
                  </w:r>
                </w:p>
              </w:tc>
              <w:tc>
                <w:tcPr>
                  <w:tcW w:w="404"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m</w:t>
                  </w:r>
                </w:p>
              </w:tc>
              <w:tc>
                <w:tcPr>
                  <w:tcW w:w="797"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1348</w:t>
                  </w:r>
                </w:p>
              </w:tc>
              <w:tc>
                <w:tcPr>
                  <w:tcW w:w="808"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1435</w:t>
                  </w:r>
                </w:p>
              </w:tc>
              <w:tc>
                <w:tcPr>
                  <w:tcW w:w="805"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其中</w:t>
                  </w:r>
                </w:p>
              </w:tc>
              <w:tc>
                <w:tcPr>
                  <w:tcW w:w="1796" w:type="pct"/>
                  <w:shd w:val="clear" w:color="auto" w:fill="auto"/>
                  <w:vAlign w:val="center"/>
                </w:tcPr>
                <w:p>
                  <w:pPr>
                    <w:widowControl/>
                    <w:spacing w:line="240" w:lineRule="auto"/>
                    <w:ind w:firstLine="0" w:firstLineChars="0"/>
                    <w:jc w:val="left"/>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明渠</w:t>
                  </w:r>
                </w:p>
              </w:tc>
              <w:tc>
                <w:tcPr>
                  <w:tcW w:w="404"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m</w:t>
                  </w:r>
                </w:p>
              </w:tc>
              <w:tc>
                <w:tcPr>
                  <w:tcW w:w="797"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518</w:t>
                  </w:r>
                </w:p>
              </w:tc>
              <w:tc>
                <w:tcPr>
                  <w:tcW w:w="808"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w:t>
                  </w:r>
                </w:p>
              </w:tc>
              <w:tc>
                <w:tcPr>
                  <w:tcW w:w="805" w:type="pct"/>
                  <w:shd w:val="clear" w:color="auto" w:fill="auto"/>
                  <w:vAlign w:val="center"/>
                </w:tcPr>
                <w:p>
                  <w:pPr>
                    <w:widowControl/>
                    <w:spacing w:line="240" w:lineRule="auto"/>
                    <w:ind w:firstLine="0" w:firstLineChars="0"/>
                    <w:jc w:val="left"/>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　</w:t>
                  </w:r>
                </w:p>
              </w:tc>
              <w:tc>
                <w:tcPr>
                  <w:tcW w:w="1796" w:type="pct"/>
                  <w:shd w:val="clear" w:color="auto" w:fill="auto"/>
                  <w:vAlign w:val="center"/>
                </w:tcPr>
                <w:p>
                  <w:pPr>
                    <w:widowControl/>
                    <w:spacing w:line="240" w:lineRule="auto"/>
                    <w:ind w:firstLine="0" w:firstLineChars="0"/>
                    <w:jc w:val="left"/>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暗渠</w:t>
                  </w:r>
                </w:p>
              </w:tc>
              <w:tc>
                <w:tcPr>
                  <w:tcW w:w="404"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m</w:t>
                  </w:r>
                </w:p>
              </w:tc>
              <w:tc>
                <w:tcPr>
                  <w:tcW w:w="797"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525</w:t>
                  </w:r>
                </w:p>
              </w:tc>
              <w:tc>
                <w:tcPr>
                  <w:tcW w:w="808"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w:t>
                  </w:r>
                </w:p>
              </w:tc>
              <w:tc>
                <w:tcPr>
                  <w:tcW w:w="805"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　</w:t>
                  </w:r>
                </w:p>
              </w:tc>
              <w:tc>
                <w:tcPr>
                  <w:tcW w:w="1796" w:type="pct"/>
                  <w:shd w:val="clear" w:color="auto" w:fill="auto"/>
                  <w:vAlign w:val="center"/>
                </w:tcPr>
                <w:p>
                  <w:pPr>
                    <w:widowControl/>
                    <w:spacing w:line="240" w:lineRule="auto"/>
                    <w:ind w:firstLine="0" w:firstLineChars="0"/>
                    <w:jc w:val="left"/>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隧洞</w:t>
                  </w:r>
                </w:p>
              </w:tc>
              <w:tc>
                <w:tcPr>
                  <w:tcW w:w="404"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m</w:t>
                  </w:r>
                </w:p>
              </w:tc>
              <w:tc>
                <w:tcPr>
                  <w:tcW w:w="797"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110</w:t>
                  </w:r>
                </w:p>
              </w:tc>
              <w:tc>
                <w:tcPr>
                  <w:tcW w:w="808"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w:t>
                  </w:r>
                </w:p>
              </w:tc>
              <w:tc>
                <w:tcPr>
                  <w:tcW w:w="805"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　</w:t>
                  </w:r>
                </w:p>
              </w:tc>
              <w:tc>
                <w:tcPr>
                  <w:tcW w:w="1796" w:type="pct"/>
                  <w:shd w:val="clear" w:color="auto" w:fill="auto"/>
                  <w:vAlign w:val="center"/>
                </w:tcPr>
                <w:p>
                  <w:pPr>
                    <w:widowControl/>
                    <w:spacing w:line="240" w:lineRule="auto"/>
                    <w:ind w:firstLine="0" w:firstLineChars="0"/>
                    <w:jc w:val="left"/>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管道</w:t>
                  </w:r>
                </w:p>
              </w:tc>
              <w:tc>
                <w:tcPr>
                  <w:tcW w:w="404"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m</w:t>
                  </w:r>
                </w:p>
              </w:tc>
              <w:tc>
                <w:tcPr>
                  <w:tcW w:w="797"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195</w:t>
                  </w:r>
                </w:p>
              </w:tc>
              <w:tc>
                <w:tcPr>
                  <w:tcW w:w="808"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1435</w:t>
                  </w:r>
                </w:p>
              </w:tc>
              <w:tc>
                <w:tcPr>
                  <w:tcW w:w="805"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8</w:t>
                  </w:r>
                </w:p>
              </w:tc>
              <w:tc>
                <w:tcPr>
                  <w:tcW w:w="1796" w:type="pct"/>
                  <w:shd w:val="clear" w:color="auto" w:fill="auto"/>
                  <w:vAlign w:val="center"/>
                </w:tcPr>
                <w:p>
                  <w:pPr>
                    <w:widowControl/>
                    <w:spacing w:line="240" w:lineRule="auto"/>
                    <w:ind w:firstLine="0" w:firstLineChars="0"/>
                    <w:jc w:val="left"/>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断面尺寸</w:t>
                  </w:r>
                </w:p>
              </w:tc>
              <w:tc>
                <w:tcPr>
                  <w:tcW w:w="404"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mm</w:t>
                  </w:r>
                </w:p>
              </w:tc>
              <w:tc>
                <w:tcPr>
                  <w:tcW w:w="797"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1.5×1.8</w:t>
                  </w:r>
                </w:p>
              </w:tc>
              <w:tc>
                <w:tcPr>
                  <w:tcW w:w="808"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DN1400</w:t>
                  </w:r>
                </w:p>
              </w:tc>
              <w:tc>
                <w:tcPr>
                  <w:tcW w:w="805" w:type="pct"/>
                  <w:shd w:val="clear" w:color="auto" w:fill="auto"/>
                  <w:vAlign w:val="center"/>
                </w:tcPr>
                <w:p>
                  <w:pPr>
                    <w:widowControl/>
                    <w:spacing w:line="240" w:lineRule="auto"/>
                    <w:ind w:firstLine="0" w:firstLineChars="0"/>
                    <w:jc w:val="left"/>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二</w:t>
                  </w:r>
                </w:p>
              </w:tc>
              <w:tc>
                <w:tcPr>
                  <w:tcW w:w="1796" w:type="pct"/>
                  <w:shd w:val="clear" w:color="auto" w:fill="auto"/>
                  <w:vAlign w:val="center"/>
                </w:tcPr>
                <w:p>
                  <w:pPr>
                    <w:widowControl/>
                    <w:spacing w:line="240" w:lineRule="auto"/>
                    <w:ind w:firstLine="0" w:firstLineChars="0"/>
                    <w:jc w:val="left"/>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主要工程量</w:t>
                  </w:r>
                </w:p>
              </w:tc>
              <w:tc>
                <w:tcPr>
                  <w:tcW w:w="404"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　</w:t>
                  </w:r>
                </w:p>
              </w:tc>
              <w:tc>
                <w:tcPr>
                  <w:tcW w:w="797"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　</w:t>
                  </w:r>
                </w:p>
              </w:tc>
              <w:tc>
                <w:tcPr>
                  <w:tcW w:w="808"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　</w:t>
                  </w:r>
                </w:p>
              </w:tc>
              <w:tc>
                <w:tcPr>
                  <w:tcW w:w="805"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1</w:t>
                  </w:r>
                </w:p>
              </w:tc>
              <w:tc>
                <w:tcPr>
                  <w:tcW w:w="1796" w:type="pct"/>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土方开挖</w:t>
                  </w:r>
                </w:p>
              </w:tc>
              <w:tc>
                <w:tcPr>
                  <w:tcW w:w="404"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m</w:t>
                  </w:r>
                  <w:r>
                    <w:rPr>
                      <w:rFonts w:hint="default" w:ascii="Times New Roman" w:hAnsi="Times New Roman" w:eastAsia="宋体" w:cs="Times New Roman"/>
                      <w:b w:val="0"/>
                      <w:bCs w:val="0"/>
                      <w:color w:val="auto"/>
                      <w:kern w:val="0"/>
                      <w:sz w:val="21"/>
                      <w:szCs w:val="21"/>
                      <w:highlight w:val="none"/>
                      <w:vertAlign w:val="superscript"/>
                    </w:rPr>
                    <w:t>3</w:t>
                  </w:r>
                </w:p>
              </w:tc>
              <w:tc>
                <w:tcPr>
                  <w:tcW w:w="797"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6900</w:t>
                  </w:r>
                </w:p>
              </w:tc>
              <w:tc>
                <w:tcPr>
                  <w:tcW w:w="808"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28108</w:t>
                  </w:r>
                </w:p>
              </w:tc>
              <w:tc>
                <w:tcPr>
                  <w:tcW w:w="805"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2</w:t>
                  </w:r>
                </w:p>
              </w:tc>
              <w:tc>
                <w:tcPr>
                  <w:tcW w:w="1796" w:type="pct"/>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石方开挖</w:t>
                  </w:r>
                </w:p>
              </w:tc>
              <w:tc>
                <w:tcPr>
                  <w:tcW w:w="404"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m</w:t>
                  </w:r>
                  <w:r>
                    <w:rPr>
                      <w:rFonts w:hint="default" w:ascii="Times New Roman" w:hAnsi="Times New Roman" w:eastAsia="宋体" w:cs="Times New Roman"/>
                      <w:b w:val="0"/>
                      <w:bCs w:val="0"/>
                      <w:color w:val="auto"/>
                      <w:kern w:val="0"/>
                      <w:sz w:val="21"/>
                      <w:szCs w:val="21"/>
                      <w:highlight w:val="none"/>
                      <w:vertAlign w:val="superscript"/>
                    </w:rPr>
                    <w:t>3</w:t>
                  </w:r>
                </w:p>
              </w:tc>
              <w:tc>
                <w:tcPr>
                  <w:tcW w:w="797"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30765</w:t>
                  </w:r>
                </w:p>
              </w:tc>
              <w:tc>
                <w:tcPr>
                  <w:tcW w:w="808"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7027</w:t>
                  </w:r>
                </w:p>
              </w:tc>
              <w:tc>
                <w:tcPr>
                  <w:tcW w:w="805"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3</w:t>
                  </w:r>
                </w:p>
              </w:tc>
              <w:tc>
                <w:tcPr>
                  <w:tcW w:w="1796" w:type="pct"/>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土石方回填</w:t>
                  </w:r>
                </w:p>
              </w:tc>
              <w:tc>
                <w:tcPr>
                  <w:tcW w:w="404"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m</w:t>
                  </w:r>
                  <w:r>
                    <w:rPr>
                      <w:rFonts w:hint="default" w:ascii="Times New Roman" w:hAnsi="Times New Roman" w:eastAsia="宋体" w:cs="Times New Roman"/>
                      <w:b w:val="0"/>
                      <w:bCs w:val="0"/>
                      <w:color w:val="auto"/>
                      <w:kern w:val="0"/>
                      <w:sz w:val="21"/>
                      <w:szCs w:val="21"/>
                      <w:highlight w:val="none"/>
                      <w:vertAlign w:val="superscript"/>
                    </w:rPr>
                    <w:t>3</w:t>
                  </w:r>
                </w:p>
              </w:tc>
              <w:tc>
                <w:tcPr>
                  <w:tcW w:w="797"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3575</w:t>
                  </w:r>
                </w:p>
              </w:tc>
              <w:tc>
                <w:tcPr>
                  <w:tcW w:w="808"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25521</w:t>
                  </w:r>
                </w:p>
              </w:tc>
              <w:tc>
                <w:tcPr>
                  <w:tcW w:w="805"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4</w:t>
                  </w:r>
                </w:p>
              </w:tc>
              <w:tc>
                <w:tcPr>
                  <w:tcW w:w="1796" w:type="pct"/>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混凝土浇筑</w:t>
                  </w:r>
                </w:p>
              </w:tc>
              <w:tc>
                <w:tcPr>
                  <w:tcW w:w="404"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m</w:t>
                  </w:r>
                  <w:r>
                    <w:rPr>
                      <w:rFonts w:hint="default" w:ascii="Times New Roman" w:hAnsi="Times New Roman" w:eastAsia="宋体" w:cs="Times New Roman"/>
                      <w:b w:val="0"/>
                      <w:bCs w:val="0"/>
                      <w:color w:val="auto"/>
                      <w:kern w:val="0"/>
                      <w:sz w:val="21"/>
                      <w:szCs w:val="21"/>
                      <w:highlight w:val="none"/>
                      <w:vertAlign w:val="superscript"/>
                    </w:rPr>
                    <w:t>3</w:t>
                  </w:r>
                </w:p>
              </w:tc>
              <w:tc>
                <w:tcPr>
                  <w:tcW w:w="797"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5221</w:t>
                  </w:r>
                </w:p>
              </w:tc>
              <w:tc>
                <w:tcPr>
                  <w:tcW w:w="808"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1214</w:t>
                  </w:r>
                </w:p>
              </w:tc>
              <w:tc>
                <w:tcPr>
                  <w:tcW w:w="805"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5</w:t>
                  </w:r>
                </w:p>
              </w:tc>
              <w:tc>
                <w:tcPr>
                  <w:tcW w:w="1796" w:type="pct"/>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喷混凝土</w:t>
                  </w:r>
                </w:p>
              </w:tc>
              <w:tc>
                <w:tcPr>
                  <w:tcW w:w="404"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m</w:t>
                  </w:r>
                  <w:r>
                    <w:rPr>
                      <w:rFonts w:hint="default" w:ascii="Times New Roman" w:hAnsi="Times New Roman" w:eastAsia="宋体" w:cs="Times New Roman"/>
                      <w:b w:val="0"/>
                      <w:bCs w:val="0"/>
                      <w:color w:val="auto"/>
                      <w:kern w:val="0"/>
                      <w:sz w:val="21"/>
                      <w:szCs w:val="21"/>
                      <w:highlight w:val="none"/>
                      <w:vertAlign w:val="superscript"/>
                    </w:rPr>
                    <w:t>2</w:t>
                  </w:r>
                </w:p>
              </w:tc>
              <w:tc>
                <w:tcPr>
                  <w:tcW w:w="797"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7140</w:t>
                  </w:r>
                </w:p>
              </w:tc>
              <w:tc>
                <w:tcPr>
                  <w:tcW w:w="808"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1440</w:t>
                  </w:r>
                </w:p>
              </w:tc>
              <w:tc>
                <w:tcPr>
                  <w:tcW w:w="805"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6</w:t>
                  </w:r>
                </w:p>
              </w:tc>
              <w:tc>
                <w:tcPr>
                  <w:tcW w:w="1796" w:type="pct"/>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钢筋网及钢筋制安</w:t>
                  </w:r>
                </w:p>
              </w:tc>
              <w:tc>
                <w:tcPr>
                  <w:tcW w:w="404"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t</w:t>
                  </w:r>
                </w:p>
              </w:tc>
              <w:tc>
                <w:tcPr>
                  <w:tcW w:w="797"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506.80</w:t>
                  </w:r>
                </w:p>
              </w:tc>
              <w:tc>
                <w:tcPr>
                  <w:tcW w:w="808"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25.46</w:t>
                  </w:r>
                </w:p>
              </w:tc>
              <w:tc>
                <w:tcPr>
                  <w:tcW w:w="805"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7</w:t>
                  </w:r>
                </w:p>
              </w:tc>
              <w:tc>
                <w:tcPr>
                  <w:tcW w:w="1796" w:type="pct"/>
                  <w:shd w:val="clear" w:color="auto" w:fill="auto"/>
                  <w:vAlign w:val="center"/>
                </w:tcPr>
                <w:p>
                  <w:pPr>
                    <w:widowControl/>
                    <w:spacing w:line="240" w:lineRule="auto"/>
                    <w:ind w:firstLine="0" w:firstLineChars="0"/>
                    <w:jc w:val="left"/>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模板制安</w:t>
                  </w:r>
                </w:p>
              </w:tc>
              <w:tc>
                <w:tcPr>
                  <w:tcW w:w="404"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m</w:t>
                  </w:r>
                  <w:r>
                    <w:rPr>
                      <w:rFonts w:hint="default" w:ascii="Times New Roman" w:hAnsi="Times New Roman" w:eastAsia="宋体" w:cs="Times New Roman"/>
                      <w:b w:val="0"/>
                      <w:bCs w:val="0"/>
                      <w:color w:val="auto"/>
                      <w:kern w:val="0"/>
                      <w:sz w:val="21"/>
                      <w:szCs w:val="21"/>
                      <w:highlight w:val="none"/>
                      <w:vertAlign w:val="superscript"/>
                    </w:rPr>
                    <w:t>2</w:t>
                  </w:r>
                </w:p>
              </w:tc>
              <w:tc>
                <w:tcPr>
                  <w:tcW w:w="797"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10200</w:t>
                  </w:r>
                </w:p>
              </w:tc>
              <w:tc>
                <w:tcPr>
                  <w:tcW w:w="808"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1839</w:t>
                  </w:r>
                </w:p>
              </w:tc>
              <w:tc>
                <w:tcPr>
                  <w:tcW w:w="805"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8</w:t>
                  </w:r>
                </w:p>
              </w:tc>
              <w:tc>
                <w:tcPr>
                  <w:tcW w:w="1796" w:type="pct"/>
                  <w:shd w:val="clear" w:color="auto" w:fill="auto"/>
                  <w:noWrap/>
                  <w:vAlign w:val="center"/>
                </w:tcPr>
                <w:p>
                  <w:pPr>
                    <w:widowControl/>
                    <w:spacing w:line="240" w:lineRule="auto"/>
                    <w:ind w:firstLine="0" w:firstLineChars="0"/>
                    <w:jc w:val="left"/>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DN1400焊接不锈钢管</w:t>
                  </w:r>
                </w:p>
              </w:tc>
              <w:tc>
                <w:tcPr>
                  <w:tcW w:w="404" w:type="pct"/>
                  <w:shd w:val="clear" w:color="auto" w:fill="auto"/>
                  <w:noWrap/>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m</w:t>
                  </w:r>
                </w:p>
              </w:tc>
              <w:tc>
                <w:tcPr>
                  <w:tcW w:w="797"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107</w:t>
                  </w:r>
                </w:p>
              </w:tc>
              <w:tc>
                <w:tcPr>
                  <w:tcW w:w="808"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1507</w:t>
                  </w:r>
                </w:p>
              </w:tc>
              <w:tc>
                <w:tcPr>
                  <w:tcW w:w="805"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三</w:t>
                  </w:r>
                </w:p>
              </w:tc>
              <w:tc>
                <w:tcPr>
                  <w:tcW w:w="1796" w:type="pct"/>
                  <w:shd w:val="clear" w:color="auto" w:fill="auto"/>
                  <w:vAlign w:val="center"/>
                </w:tcPr>
                <w:p>
                  <w:pPr>
                    <w:widowControl/>
                    <w:spacing w:line="240" w:lineRule="auto"/>
                    <w:ind w:firstLine="0" w:firstLineChars="0"/>
                    <w:jc w:val="left"/>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工程投资</w:t>
                  </w:r>
                </w:p>
              </w:tc>
              <w:tc>
                <w:tcPr>
                  <w:tcW w:w="404"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万元</w:t>
                  </w:r>
                </w:p>
              </w:tc>
              <w:tc>
                <w:tcPr>
                  <w:tcW w:w="797"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1253.03</w:t>
                  </w:r>
                </w:p>
              </w:tc>
              <w:tc>
                <w:tcPr>
                  <w:tcW w:w="808"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820.71</w:t>
                  </w:r>
                </w:p>
              </w:tc>
              <w:tc>
                <w:tcPr>
                  <w:tcW w:w="805"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四</w:t>
                  </w:r>
                </w:p>
              </w:tc>
              <w:tc>
                <w:tcPr>
                  <w:tcW w:w="1796" w:type="pct"/>
                  <w:shd w:val="clear" w:color="auto" w:fill="auto"/>
                  <w:vAlign w:val="center"/>
                </w:tcPr>
                <w:p>
                  <w:pPr>
                    <w:widowControl/>
                    <w:spacing w:line="240" w:lineRule="auto"/>
                    <w:ind w:firstLine="0" w:firstLineChars="0"/>
                    <w:jc w:val="left"/>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工程占地</w:t>
                  </w:r>
                </w:p>
              </w:tc>
              <w:tc>
                <w:tcPr>
                  <w:tcW w:w="404"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p>
              </w:tc>
              <w:tc>
                <w:tcPr>
                  <w:tcW w:w="797"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p>
              </w:tc>
              <w:tc>
                <w:tcPr>
                  <w:tcW w:w="808"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p>
              </w:tc>
              <w:tc>
                <w:tcPr>
                  <w:tcW w:w="805"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p>
              </w:tc>
              <w:tc>
                <w:tcPr>
                  <w:tcW w:w="1796" w:type="pct"/>
                  <w:shd w:val="clear" w:color="auto" w:fill="auto"/>
                  <w:vAlign w:val="center"/>
                </w:tcPr>
                <w:p>
                  <w:pPr>
                    <w:widowControl/>
                    <w:spacing w:line="240" w:lineRule="auto"/>
                    <w:ind w:firstLine="0" w:firstLineChars="0"/>
                    <w:jc w:val="left"/>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永久占地</w:t>
                  </w:r>
                </w:p>
              </w:tc>
              <w:tc>
                <w:tcPr>
                  <w:tcW w:w="404"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亩</w:t>
                  </w:r>
                </w:p>
              </w:tc>
              <w:tc>
                <w:tcPr>
                  <w:tcW w:w="797"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sz w:val="21"/>
                      <w:szCs w:val="21"/>
                      <w:highlight w:val="none"/>
                    </w:rPr>
                    <w:t>6.92</w:t>
                  </w:r>
                </w:p>
              </w:tc>
              <w:tc>
                <w:tcPr>
                  <w:tcW w:w="808"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sz w:val="21"/>
                      <w:szCs w:val="21"/>
                      <w:highlight w:val="none"/>
                    </w:rPr>
                    <w:t>0.50</w:t>
                  </w:r>
                </w:p>
              </w:tc>
              <w:tc>
                <w:tcPr>
                  <w:tcW w:w="805"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0"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p>
              </w:tc>
              <w:tc>
                <w:tcPr>
                  <w:tcW w:w="1796" w:type="pct"/>
                  <w:shd w:val="clear" w:color="auto" w:fill="auto"/>
                  <w:vAlign w:val="center"/>
                </w:tcPr>
                <w:p>
                  <w:pPr>
                    <w:widowControl/>
                    <w:spacing w:line="240" w:lineRule="auto"/>
                    <w:ind w:firstLine="0" w:firstLineChars="0"/>
                    <w:jc w:val="left"/>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临时占地</w:t>
                  </w:r>
                </w:p>
              </w:tc>
              <w:tc>
                <w:tcPr>
                  <w:tcW w:w="404"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亩</w:t>
                  </w:r>
                </w:p>
              </w:tc>
              <w:tc>
                <w:tcPr>
                  <w:tcW w:w="797"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sz w:val="21"/>
                      <w:szCs w:val="21"/>
                      <w:highlight w:val="none"/>
                    </w:rPr>
                    <w:t>29.57</w:t>
                  </w:r>
                </w:p>
              </w:tc>
              <w:tc>
                <w:tcPr>
                  <w:tcW w:w="808"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sz w:val="21"/>
                      <w:szCs w:val="21"/>
                      <w:highlight w:val="none"/>
                    </w:rPr>
                    <w:t>18.48</w:t>
                  </w:r>
                </w:p>
              </w:tc>
              <w:tc>
                <w:tcPr>
                  <w:tcW w:w="805" w:type="pct"/>
                  <w:shd w:val="clear" w:color="auto" w:fill="auto"/>
                  <w:vAlign w:val="center"/>
                </w:tcPr>
                <w:p>
                  <w:pPr>
                    <w:widowControl/>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rPr>
                  </w:pPr>
                </w:p>
              </w:tc>
            </w:tr>
          </w:tbl>
          <w:p>
            <w:pPr>
              <w:autoSpaceDE w:val="0"/>
              <w:autoSpaceDN w:val="0"/>
              <w:adjustRightInd w:val="0"/>
              <w:snapToGrid w:val="0"/>
              <w:spacing w:line="360" w:lineRule="auto"/>
              <w:ind w:firstLine="420" w:firstLineChars="200"/>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highlight w:val="none"/>
                <w:lang w:val="en-US" w:eastAsia="zh-CN"/>
              </w:rPr>
              <w:t>根据上表</w:t>
            </w:r>
            <w:r>
              <w:rPr>
                <w:rFonts w:hint="default" w:ascii="Times New Roman" w:hAnsi="Times New Roman" w:eastAsia="宋体" w:cs="Times New Roman"/>
                <w:b w:val="0"/>
                <w:bCs w:val="0"/>
                <w:color w:val="auto"/>
                <w:highlight w:val="none"/>
              </w:rPr>
              <w:t>，高线无压渠道方案较低线有压管道方案工程投资多432.32万元。考虑低线有压管道方案线路布置更为灵活，能适应地形的起伏，挖填量较小，施工难度小，占地少，更适应本工程山区地形因素，推荐补水渠线路采用低线有压管道输水方案，补水渠全长1435m。</w:t>
            </w:r>
          </w:p>
          <w:p>
            <w:pPr>
              <w:autoSpaceDE w:val="0"/>
              <w:autoSpaceDN w:val="0"/>
              <w:adjustRightInd w:val="0"/>
              <w:snapToGrid w:val="0"/>
              <w:spacing w:line="360" w:lineRule="auto"/>
              <w:ind w:firstLine="420" w:firstLineChars="20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3、</w:t>
            </w:r>
            <w:r>
              <w:rPr>
                <w:rFonts w:hint="eastAsia"/>
                <w:bCs/>
                <w:color w:val="auto"/>
                <w:highlight w:val="none"/>
              </w:rPr>
              <w:t>灌区输水线路</w:t>
            </w:r>
            <w:r>
              <w:rPr>
                <w:rFonts w:hint="default" w:ascii="Times New Roman" w:hAnsi="Times New Roman" w:cs="Times New Roman"/>
                <w:b w:val="0"/>
                <w:bCs/>
                <w:color w:val="auto"/>
                <w:sz w:val="21"/>
                <w:szCs w:val="21"/>
                <w:highlight w:val="none"/>
                <w:lang w:val="en-US" w:eastAsia="zh-CN"/>
              </w:rPr>
              <w:t>合理性分析</w:t>
            </w:r>
          </w:p>
          <w:p>
            <w:pPr>
              <w:suppressAutoHyphens/>
              <w:spacing w:line="360" w:lineRule="auto"/>
              <w:ind w:firstLine="420" w:firstLineChars="200"/>
              <w:rPr>
                <w:color w:val="auto"/>
                <w:highlight w:val="none"/>
              </w:rPr>
            </w:pPr>
            <w:r>
              <w:rPr>
                <w:rFonts w:hint="eastAsia"/>
                <w:color w:val="auto"/>
                <w:highlight w:val="none"/>
              </w:rPr>
              <w:t>堰沟水库灌区工程向胡家场镇、花池社区供水，并兼顾灌溉沿程5600亩耕园地。</w:t>
            </w:r>
          </w:p>
          <w:p>
            <w:pPr>
              <w:adjustRightInd w:val="0"/>
              <w:spacing w:line="360" w:lineRule="auto"/>
              <w:ind w:firstLine="420" w:firstLineChars="200"/>
              <w:rPr>
                <w:rFonts w:hint="eastAsia"/>
                <w:color w:val="auto"/>
                <w:szCs w:val="28"/>
                <w:highlight w:val="none"/>
                <w:u w:color="000000"/>
                <w:lang w:eastAsia="zh-CN"/>
              </w:rPr>
            </w:pPr>
            <w:r>
              <w:rPr>
                <w:rFonts w:hint="eastAsia"/>
                <w:color w:val="auto"/>
                <w:highlight w:val="none"/>
              </w:rPr>
              <w:t>可行性研究阶段确定的输水线路布置如下：输水干管自取水洞出口取水，设计流量0.24m</w:t>
            </w:r>
            <w:r>
              <w:rPr>
                <w:rFonts w:hint="eastAsia"/>
                <w:color w:val="auto"/>
                <w:szCs w:val="28"/>
                <w:highlight w:val="none"/>
                <w:u w:color="000000"/>
                <w:vertAlign w:val="superscript"/>
              </w:rPr>
              <w:t>3</w:t>
            </w:r>
            <w:r>
              <w:rPr>
                <w:rFonts w:hint="eastAsia"/>
                <w:color w:val="auto"/>
                <w:szCs w:val="28"/>
                <w:highlight w:val="none"/>
                <w:u w:color="000000"/>
              </w:rPr>
              <w:t>/s，</w:t>
            </w:r>
            <w:r>
              <w:rPr>
                <w:rFonts w:hint="eastAsia"/>
                <w:color w:val="auto"/>
                <w:highlight w:val="none"/>
              </w:rPr>
              <w:t>自北向南沿</w:t>
            </w:r>
            <w:r>
              <w:rPr>
                <w:rFonts w:hint="eastAsia"/>
                <w:color w:val="auto"/>
                <w:szCs w:val="28"/>
                <w:highlight w:val="none"/>
                <w:u w:color="000000"/>
              </w:rPr>
              <w:t>XS19</w:t>
            </w:r>
            <w:r>
              <w:rPr>
                <w:rFonts w:hint="eastAsia"/>
                <w:color w:val="auto"/>
                <w:highlight w:val="none"/>
              </w:rPr>
              <w:t>公路而行，于堰沟村湾湾桥分花池支管，之后</w:t>
            </w:r>
            <w:r>
              <w:rPr>
                <w:rFonts w:hint="eastAsia"/>
                <w:color w:val="auto"/>
                <w:szCs w:val="28"/>
                <w:highlight w:val="none"/>
                <w:u w:color="000000"/>
              </w:rPr>
              <w:t>自西向东</w:t>
            </w:r>
            <w:r>
              <w:rPr>
                <w:rFonts w:hint="eastAsia"/>
                <w:color w:val="auto"/>
                <w:highlight w:val="none"/>
              </w:rPr>
              <w:t>沿</w:t>
            </w:r>
            <w:r>
              <w:rPr>
                <w:rFonts w:hint="eastAsia"/>
                <w:color w:val="auto"/>
                <w:szCs w:val="28"/>
                <w:highlight w:val="none"/>
                <w:u w:color="000000"/>
              </w:rPr>
              <w:t>XS19</w:t>
            </w:r>
            <w:r>
              <w:rPr>
                <w:rFonts w:hint="eastAsia"/>
                <w:color w:val="auto"/>
                <w:highlight w:val="none"/>
              </w:rPr>
              <w:t>公路而行</w:t>
            </w:r>
            <w:r>
              <w:rPr>
                <w:rFonts w:hint="eastAsia"/>
                <w:color w:val="auto"/>
                <w:szCs w:val="28"/>
                <w:highlight w:val="none"/>
                <w:u w:color="000000"/>
              </w:rPr>
              <w:t>，在</w:t>
            </w:r>
            <w:r>
              <w:rPr>
                <w:rFonts w:hint="eastAsia"/>
                <w:color w:val="auto"/>
                <w:highlight w:val="none"/>
              </w:rPr>
              <w:t>瑶子石分水岭</w:t>
            </w:r>
            <w:r>
              <w:rPr>
                <w:rFonts w:hint="eastAsia"/>
                <w:color w:val="auto"/>
                <w:szCs w:val="28"/>
                <w:highlight w:val="none"/>
                <w:u w:color="000000"/>
              </w:rPr>
              <w:t>建1.4km长隧洞穿越，</w:t>
            </w:r>
            <w:r>
              <w:rPr>
                <w:rFonts w:hint="eastAsia"/>
                <w:color w:val="auto"/>
                <w:highlight w:val="none"/>
              </w:rPr>
              <w:t>之后继续东行，</w:t>
            </w:r>
            <w:r>
              <w:rPr>
                <w:rFonts w:hint="eastAsia"/>
                <w:color w:val="auto"/>
                <w:szCs w:val="28"/>
                <w:highlight w:val="none"/>
                <w:u w:color="000000"/>
              </w:rPr>
              <w:t>接入胡家场镇冯家咀水厂</w:t>
            </w:r>
            <w:r>
              <w:rPr>
                <w:rFonts w:hint="eastAsia"/>
                <w:color w:val="auto"/>
                <w:highlight w:val="none"/>
              </w:rPr>
              <w:t>；干管全长7260m。在可行性研究阶段，对</w:t>
            </w:r>
            <w:r>
              <w:rPr>
                <w:rFonts w:hint="eastAsia"/>
                <w:color w:val="auto"/>
                <w:szCs w:val="28"/>
                <w:highlight w:val="none"/>
                <w:u w:color="000000"/>
                <w:lang w:val="zh-CN"/>
              </w:rPr>
              <w:t>干管在</w:t>
            </w:r>
            <w:r>
              <w:rPr>
                <w:rFonts w:hint="eastAsia"/>
                <w:color w:val="auto"/>
                <w:highlight w:val="none"/>
              </w:rPr>
              <w:t>瑶子石分水岭（地面高程586.00</w:t>
            </w:r>
            <w:r>
              <w:rPr>
                <w:rFonts w:hint="eastAsia"/>
                <w:color w:val="auto"/>
                <w:highlight w:val="none"/>
                <w:lang w:eastAsia="zh-CN"/>
              </w:rPr>
              <w:t>～</w:t>
            </w:r>
            <w:r>
              <w:rPr>
                <w:rFonts w:hint="eastAsia"/>
                <w:color w:val="auto"/>
                <w:highlight w:val="none"/>
              </w:rPr>
              <w:t>645.00m）</w:t>
            </w:r>
            <w:r>
              <w:rPr>
                <w:rFonts w:hint="eastAsia"/>
                <w:color w:val="auto"/>
                <w:szCs w:val="28"/>
                <w:highlight w:val="none"/>
                <w:u w:color="000000"/>
              </w:rPr>
              <w:t>采用加压泵爬坡和隧洞内埋管两种方案进行了比较，考虑运行管理方便、减少后期费用，推荐采用隧洞内埋管方案。堰沟水库灌区工程总体线路较为单一，无有价值的比较方案。</w:t>
            </w:r>
            <w:r>
              <w:rPr>
                <w:rFonts w:hint="eastAsia"/>
                <w:color w:val="auto"/>
                <w:szCs w:val="28"/>
                <w:highlight w:val="none"/>
                <w:u w:color="000000"/>
                <w:lang w:val="en-US" w:eastAsia="zh-CN"/>
              </w:rPr>
              <w:t>设计</w:t>
            </w:r>
            <w:r>
              <w:rPr>
                <w:rFonts w:hint="eastAsia"/>
                <w:color w:val="auto"/>
                <w:szCs w:val="28"/>
                <w:highlight w:val="none"/>
                <w:u w:color="000000"/>
              </w:rPr>
              <w:t>在可行性研究阶段确定的线路基础上，通过对输水线路的详细勘测，结合沿途地形条件及建筑物分布等进行优化</w:t>
            </w:r>
            <w:r>
              <w:rPr>
                <w:rFonts w:hint="eastAsia"/>
                <w:color w:val="auto"/>
                <w:szCs w:val="28"/>
                <w:highlight w:val="none"/>
                <w:u w:color="000000"/>
                <w:lang w:eastAsia="zh-CN"/>
              </w:rPr>
              <w:t>。</w:t>
            </w:r>
          </w:p>
          <w:p>
            <w:pPr>
              <w:pStyle w:val="8"/>
              <w:spacing w:line="360" w:lineRule="auto"/>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rPr>
              <w:t>供水干管自</w:t>
            </w:r>
            <w:r>
              <w:rPr>
                <w:rFonts w:hint="default" w:ascii="Times New Roman" w:hAnsi="Times New Roman" w:cs="Times New Roman"/>
                <w:color w:val="auto"/>
                <w:highlight w:val="none"/>
              </w:rPr>
              <w:t>取水管出口</w:t>
            </w:r>
            <w:r>
              <w:rPr>
                <w:rFonts w:hint="default" w:ascii="Times New Roman" w:hAnsi="Times New Roman" w:cs="Times New Roman"/>
                <w:color w:val="auto"/>
                <w:highlight w:val="none"/>
                <w:lang w:val="en-US"/>
              </w:rPr>
              <w:t>取水，</w:t>
            </w:r>
            <w:r>
              <w:rPr>
                <w:rFonts w:hint="default" w:ascii="Times New Roman" w:hAnsi="Times New Roman" w:cs="Times New Roman"/>
                <w:color w:val="auto"/>
                <w:highlight w:val="none"/>
              </w:rPr>
              <w:t>设计流量0.10m</w:t>
            </w:r>
            <w:r>
              <w:rPr>
                <w:rFonts w:hint="default" w:ascii="Times New Roman" w:hAnsi="Times New Roman" w:cs="Times New Roman"/>
                <w:color w:val="auto"/>
                <w:szCs w:val="28"/>
                <w:highlight w:val="none"/>
                <w:u w:color="000000"/>
                <w:vertAlign w:val="superscript"/>
              </w:rPr>
              <w:t>3</w:t>
            </w:r>
            <w:r>
              <w:rPr>
                <w:rFonts w:hint="default" w:ascii="Times New Roman" w:hAnsi="Times New Roman" w:cs="Times New Roman"/>
                <w:color w:val="auto"/>
                <w:szCs w:val="28"/>
                <w:highlight w:val="none"/>
                <w:u w:color="000000"/>
              </w:rPr>
              <w:t>/s。</w:t>
            </w:r>
            <w:r>
              <w:rPr>
                <w:rFonts w:hint="default" w:ascii="Times New Roman" w:hAnsi="Times New Roman" w:cs="Times New Roman"/>
                <w:color w:val="auto"/>
                <w:highlight w:val="none"/>
              </w:rPr>
              <w:t>进口管道中心高程589.30m，沿</w:t>
            </w:r>
            <w:r>
              <w:rPr>
                <w:rFonts w:hint="default" w:ascii="Times New Roman" w:hAnsi="Times New Roman" w:cs="Times New Roman"/>
                <w:color w:val="auto"/>
                <w:szCs w:val="28"/>
                <w:highlight w:val="none"/>
                <w:u w:color="000000"/>
              </w:rPr>
              <w:t>XS19</w:t>
            </w:r>
            <w:r>
              <w:rPr>
                <w:rFonts w:hint="default" w:ascii="Times New Roman" w:hAnsi="Times New Roman" w:cs="Times New Roman"/>
                <w:color w:val="auto"/>
                <w:highlight w:val="none"/>
              </w:rPr>
              <w:t>公路</w:t>
            </w:r>
            <w:r>
              <w:rPr>
                <w:rFonts w:hint="default" w:ascii="Times New Roman" w:hAnsi="Times New Roman" w:cs="Times New Roman"/>
                <w:color w:val="auto"/>
                <w:szCs w:val="28"/>
                <w:highlight w:val="none"/>
                <w:u w:color="000000"/>
              </w:rPr>
              <w:t>西侧向南</w:t>
            </w:r>
            <w:r>
              <w:rPr>
                <w:rFonts w:hint="default" w:ascii="Times New Roman" w:hAnsi="Times New Roman" w:cs="Times New Roman"/>
                <w:color w:val="auto"/>
                <w:highlight w:val="none"/>
              </w:rPr>
              <w:t>而行，于堰沟村湾湾桥（桩号干1+411.00）分花池供水支管，之后沿</w:t>
            </w:r>
            <w:r>
              <w:rPr>
                <w:rFonts w:hint="default" w:ascii="Times New Roman" w:hAnsi="Times New Roman" w:cs="Times New Roman"/>
                <w:color w:val="auto"/>
                <w:szCs w:val="28"/>
                <w:highlight w:val="none"/>
                <w:u w:color="000000"/>
              </w:rPr>
              <w:t>XS19</w:t>
            </w:r>
            <w:r>
              <w:rPr>
                <w:rFonts w:hint="default" w:ascii="Times New Roman" w:hAnsi="Times New Roman" w:cs="Times New Roman"/>
                <w:color w:val="auto"/>
                <w:highlight w:val="none"/>
              </w:rPr>
              <w:t>公路</w:t>
            </w:r>
            <w:r>
              <w:rPr>
                <w:rFonts w:hint="default" w:ascii="Times New Roman" w:hAnsi="Times New Roman" w:cs="Times New Roman"/>
                <w:color w:val="auto"/>
                <w:szCs w:val="28"/>
                <w:highlight w:val="none"/>
                <w:u w:color="000000"/>
              </w:rPr>
              <w:t>转向东</w:t>
            </w:r>
            <w:r>
              <w:rPr>
                <w:rFonts w:hint="default" w:ascii="Times New Roman" w:hAnsi="Times New Roman" w:cs="Times New Roman"/>
                <w:color w:val="auto"/>
                <w:highlight w:val="none"/>
              </w:rPr>
              <w:t>行</w:t>
            </w:r>
            <w:r>
              <w:rPr>
                <w:rFonts w:hint="default" w:ascii="Times New Roman" w:hAnsi="Times New Roman" w:cs="Times New Roman"/>
                <w:color w:val="auto"/>
                <w:szCs w:val="28"/>
                <w:highlight w:val="none"/>
                <w:u w:color="000000"/>
              </w:rPr>
              <w:t>，行至桩号2+826.00~4+266.00处建1.44km长隧洞穿越</w:t>
            </w:r>
            <w:r>
              <w:rPr>
                <w:rFonts w:hint="default" w:ascii="Times New Roman" w:hAnsi="Times New Roman" w:cs="Times New Roman"/>
                <w:color w:val="auto"/>
                <w:highlight w:val="none"/>
              </w:rPr>
              <w:t>瑶子石分水岭</w:t>
            </w:r>
            <w:r>
              <w:rPr>
                <w:rFonts w:hint="default" w:ascii="Times New Roman" w:hAnsi="Times New Roman" w:cs="Times New Roman"/>
                <w:color w:val="auto"/>
                <w:szCs w:val="28"/>
                <w:highlight w:val="none"/>
                <w:u w:color="000000"/>
              </w:rPr>
              <w:t>，</w:t>
            </w:r>
            <w:r>
              <w:rPr>
                <w:rFonts w:hint="default" w:ascii="Times New Roman" w:hAnsi="Times New Roman" w:cs="Times New Roman"/>
                <w:color w:val="auto"/>
                <w:highlight w:val="none"/>
              </w:rPr>
              <w:t>之后</w:t>
            </w:r>
            <w:r>
              <w:rPr>
                <w:rFonts w:hint="default" w:ascii="Times New Roman" w:hAnsi="Times New Roman" w:cs="Times New Roman"/>
                <w:color w:val="auto"/>
                <w:szCs w:val="28"/>
                <w:highlight w:val="none"/>
                <w:u w:color="000000"/>
              </w:rPr>
              <w:t>继续</w:t>
            </w:r>
            <w:r>
              <w:rPr>
                <w:rFonts w:hint="default" w:ascii="Times New Roman" w:hAnsi="Times New Roman" w:cs="Times New Roman"/>
                <w:color w:val="auto"/>
                <w:highlight w:val="none"/>
              </w:rPr>
              <w:t>沿</w:t>
            </w:r>
            <w:r>
              <w:rPr>
                <w:rFonts w:hint="default" w:ascii="Times New Roman" w:hAnsi="Times New Roman" w:cs="Times New Roman"/>
                <w:color w:val="auto"/>
                <w:szCs w:val="28"/>
                <w:highlight w:val="none"/>
                <w:u w:color="000000"/>
              </w:rPr>
              <w:t>XS19</w:t>
            </w:r>
            <w:r>
              <w:rPr>
                <w:rFonts w:hint="default" w:ascii="Times New Roman" w:hAnsi="Times New Roman" w:cs="Times New Roman"/>
                <w:color w:val="auto"/>
                <w:highlight w:val="none"/>
              </w:rPr>
              <w:t>公路东行，</w:t>
            </w:r>
            <w:r>
              <w:rPr>
                <w:rFonts w:hint="default" w:ascii="Times New Roman" w:hAnsi="Times New Roman" w:cs="Times New Roman"/>
                <w:color w:val="auto"/>
                <w:szCs w:val="28"/>
                <w:highlight w:val="none"/>
                <w:u w:color="000000"/>
              </w:rPr>
              <w:t>接入胡家场镇冯家咀水厂，</w:t>
            </w:r>
            <w:r>
              <w:rPr>
                <w:rFonts w:hint="default" w:ascii="Times New Roman" w:hAnsi="Times New Roman" w:cs="Times New Roman"/>
                <w:color w:val="auto"/>
                <w:highlight w:val="none"/>
              </w:rPr>
              <w:t>出口管道中心高程390.30m。干管全长8222m。</w:t>
            </w:r>
          </w:p>
          <w:p>
            <w:pPr>
              <w:autoSpaceDE w:val="0"/>
              <w:autoSpaceDN w:val="0"/>
              <w:spacing w:line="360" w:lineRule="auto"/>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灌溉干管自取水管出口取水，设计流量0.14m</w:t>
            </w:r>
            <w:r>
              <w:rPr>
                <w:rFonts w:hint="default" w:ascii="Times New Roman" w:hAnsi="Times New Roman" w:cs="Times New Roman"/>
                <w:color w:val="auto"/>
                <w:szCs w:val="28"/>
                <w:highlight w:val="none"/>
                <w:u w:color="000000"/>
                <w:vertAlign w:val="superscript"/>
              </w:rPr>
              <w:t>3</w:t>
            </w:r>
            <w:r>
              <w:rPr>
                <w:rFonts w:hint="default" w:ascii="Times New Roman" w:hAnsi="Times New Roman" w:cs="Times New Roman"/>
                <w:color w:val="auto"/>
                <w:szCs w:val="28"/>
                <w:highlight w:val="none"/>
                <w:u w:color="000000"/>
              </w:rPr>
              <w:t>/s。桩号5+125之前与供水干管并排布置，桩号5+125之后转南沿等高线而行，止于黄花村新田塝，</w:t>
            </w:r>
            <w:r>
              <w:rPr>
                <w:rFonts w:hint="default" w:ascii="Times New Roman" w:hAnsi="Times New Roman" w:cs="Times New Roman"/>
                <w:color w:val="auto"/>
                <w:highlight w:val="none"/>
              </w:rPr>
              <w:t>出口管道中心高程469.44m</w:t>
            </w:r>
            <w:r>
              <w:rPr>
                <w:rFonts w:hint="default" w:ascii="Times New Roman" w:hAnsi="Times New Roman" w:cs="Times New Roman"/>
                <w:color w:val="auto"/>
                <w:szCs w:val="28"/>
                <w:highlight w:val="none"/>
                <w:u w:color="000000"/>
              </w:rPr>
              <w:t>。</w:t>
            </w:r>
            <w:r>
              <w:rPr>
                <w:rFonts w:hint="default" w:ascii="Times New Roman" w:hAnsi="Times New Roman" w:cs="Times New Roman"/>
                <w:color w:val="auto"/>
                <w:highlight w:val="none"/>
              </w:rPr>
              <w:t>灌溉干管</w:t>
            </w:r>
            <w:r>
              <w:rPr>
                <w:rFonts w:hint="default" w:ascii="Times New Roman" w:hAnsi="Times New Roman" w:cs="Times New Roman"/>
                <w:color w:val="auto"/>
                <w:szCs w:val="28"/>
                <w:highlight w:val="none"/>
                <w:u w:color="000000"/>
              </w:rPr>
              <w:t>全长7168m。灌溉</w:t>
            </w:r>
            <w:r>
              <w:rPr>
                <w:rFonts w:hint="default" w:ascii="Times New Roman" w:hAnsi="Times New Roman" w:cs="Times New Roman"/>
                <w:color w:val="auto"/>
                <w:highlight w:val="none"/>
              </w:rPr>
              <w:t>干管沿程分6处灌溉支管，支管流量0.004~0.023m</w:t>
            </w:r>
            <w:r>
              <w:rPr>
                <w:rFonts w:hint="default" w:ascii="Times New Roman" w:hAnsi="Times New Roman" w:cs="Times New Roman"/>
                <w:color w:val="auto"/>
                <w:szCs w:val="28"/>
                <w:highlight w:val="none"/>
                <w:u w:color="000000"/>
                <w:vertAlign w:val="superscript"/>
              </w:rPr>
              <w:t>3</w:t>
            </w:r>
            <w:r>
              <w:rPr>
                <w:rFonts w:hint="default" w:ascii="Times New Roman" w:hAnsi="Times New Roman" w:cs="Times New Roman"/>
                <w:color w:val="auto"/>
                <w:szCs w:val="28"/>
                <w:highlight w:val="none"/>
                <w:u w:color="000000"/>
              </w:rPr>
              <w:t>/s。</w:t>
            </w:r>
          </w:p>
          <w:p>
            <w:pPr>
              <w:adjustRightInd w:val="0"/>
              <w:spacing w:line="360" w:lineRule="auto"/>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highlight w:val="none"/>
              </w:rPr>
              <w:t>花池供水支管自供水干管桩号1+411.00处取水，设计取水流量0.01m</w:t>
            </w:r>
            <w:r>
              <w:rPr>
                <w:rFonts w:hint="default" w:ascii="Times New Roman" w:hAnsi="Times New Roman" w:cs="Times New Roman"/>
                <w:color w:val="auto"/>
                <w:szCs w:val="28"/>
                <w:highlight w:val="none"/>
                <w:u w:color="000000"/>
                <w:vertAlign w:val="superscript"/>
              </w:rPr>
              <w:t>3</w:t>
            </w:r>
            <w:r>
              <w:rPr>
                <w:rFonts w:hint="default" w:ascii="Times New Roman" w:hAnsi="Times New Roman" w:cs="Times New Roman"/>
                <w:color w:val="auto"/>
                <w:szCs w:val="28"/>
                <w:highlight w:val="none"/>
                <w:u w:color="000000"/>
              </w:rPr>
              <w:t>/s。</w:t>
            </w:r>
            <w:r>
              <w:rPr>
                <w:rFonts w:hint="default" w:ascii="Times New Roman" w:hAnsi="Times New Roman" w:cs="Times New Roman"/>
                <w:color w:val="auto"/>
                <w:highlight w:val="none"/>
              </w:rPr>
              <w:t>进口管道中心高程577.51m，</w:t>
            </w:r>
            <w:r>
              <w:rPr>
                <w:rFonts w:hint="default" w:ascii="Times New Roman" w:hAnsi="Times New Roman" w:cs="Times New Roman"/>
                <w:color w:val="auto"/>
                <w:szCs w:val="28"/>
                <w:highlight w:val="none"/>
                <w:u w:color="000000"/>
              </w:rPr>
              <w:t>自东向西行接入花池水厂，</w:t>
            </w:r>
            <w:r>
              <w:rPr>
                <w:rFonts w:hint="default" w:ascii="Times New Roman" w:hAnsi="Times New Roman" w:cs="Times New Roman"/>
                <w:color w:val="auto"/>
                <w:highlight w:val="none"/>
              </w:rPr>
              <w:t>出口管道中心高程614.00m。于桩号0+036.00处设加压泵提水。花池支管全长340m</w:t>
            </w:r>
            <w:r>
              <w:rPr>
                <w:rFonts w:hint="default" w:ascii="Times New Roman" w:hAnsi="Times New Roman" w:cs="Times New Roman"/>
                <w:color w:val="auto"/>
                <w:szCs w:val="28"/>
                <w:highlight w:val="none"/>
                <w:u w:color="000000"/>
              </w:rPr>
              <w:t>。</w:t>
            </w:r>
          </w:p>
          <w:p>
            <w:pPr>
              <w:numPr>
                <w:ilvl w:val="0"/>
                <w:numId w:val="0"/>
              </w:numPr>
              <w:adjustRightInd w:val="0"/>
              <w:spacing w:line="360" w:lineRule="auto"/>
              <w:ind w:firstLine="422" w:firstLineChars="200"/>
              <w:rPr>
                <w:rFonts w:hint="default" w:ascii="Times New Roman" w:hAnsi="Times New Roman" w:cs="Times New Roman"/>
                <w:b w:val="0"/>
                <w:bCs w:val="0"/>
                <w:color w:val="auto"/>
                <w:sz w:val="21"/>
                <w:szCs w:val="21"/>
                <w:highlight w:val="none"/>
              </w:rPr>
            </w:pPr>
            <w:r>
              <w:rPr>
                <w:rFonts w:hint="default" w:ascii="Times New Roman" w:hAnsi="Times New Roman" w:cs="Times New Roman"/>
                <w:b/>
                <w:bCs/>
                <w:color w:val="auto"/>
                <w:sz w:val="21"/>
                <w:szCs w:val="21"/>
                <w:highlight w:val="none"/>
                <w:lang w:bidi="ar-SA"/>
              </w:rPr>
              <w:t>局部输水线路比选</w:t>
            </w:r>
            <w:r>
              <w:rPr>
                <w:rFonts w:hint="eastAsia" w:ascii="Times New Roman" w:hAnsi="Times New Roman" w:cs="Times New Roman"/>
                <w:b/>
                <w:bCs/>
                <w:color w:val="auto"/>
                <w:sz w:val="21"/>
                <w:szCs w:val="21"/>
                <w:highlight w:val="none"/>
                <w:lang w:eastAsia="zh-CN" w:bidi="ar-SA"/>
              </w:rPr>
              <w:t>：</w:t>
            </w:r>
            <w:r>
              <w:rPr>
                <w:rFonts w:hint="default" w:ascii="Times New Roman" w:hAnsi="Times New Roman" w:cs="Times New Roman"/>
                <w:b w:val="0"/>
                <w:bCs w:val="0"/>
                <w:color w:val="auto"/>
                <w:sz w:val="21"/>
                <w:szCs w:val="21"/>
                <w:highlight w:val="none"/>
              </w:rPr>
              <w:t>对瑶子石隧洞轴线方案进行技术经济比选。</w:t>
            </w:r>
          </w:p>
          <w:p>
            <w:pPr>
              <w:pStyle w:val="99"/>
              <w:spacing w:line="360" w:lineRule="auto"/>
              <w:ind w:firstLine="480"/>
              <w:rPr>
                <w:rFonts w:hint="default" w:ascii="Times New Roman" w:hAnsi="Times New Roman" w:eastAsia="黑体"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u w:color="000000"/>
              </w:rPr>
              <w:t>干管行至桩号2+826.00处遇</w:t>
            </w:r>
            <w:r>
              <w:rPr>
                <w:rFonts w:hint="default" w:ascii="Times New Roman" w:hAnsi="Times New Roman" w:cs="Times New Roman"/>
                <w:b w:val="0"/>
                <w:bCs w:val="0"/>
                <w:color w:val="auto"/>
                <w:sz w:val="21"/>
                <w:szCs w:val="21"/>
                <w:highlight w:val="none"/>
              </w:rPr>
              <w:t>瑶子石分水岭</w:t>
            </w:r>
            <w:r>
              <w:rPr>
                <w:rFonts w:hint="default" w:ascii="Times New Roman" w:hAnsi="Times New Roman" w:cs="Times New Roman"/>
                <w:b w:val="0"/>
                <w:bCs w:val="0"/>
                <w:color w:val="auto"/>
                <w:sz w:val="21"/>
                <w:szCs w:val="21"/>
                <w:highlight w:val="none"/>
                <w:u w:color="000000"/>
              </w:rPr>
              <w:t>，需建隧洞穿越，出口于XS19</w:t>
            </w:r>
            <w:r>
              <w:rPr>
                <w:rFonts w:hint="default" w:ascii="Times New Roman" w:hAnsi="Times New Roman" w:cs="Times New Roman"/>
                <w:b w:val="0"/>
                <w:bCs w:val="0"/>
                <w:color w:val="auto"/>
                <w:sz w:val="21"/>
                <w:szCs w:val="21"/>
                <w:highlight w:val="none"/>
              </w:rPr>
              <w:t>公路西侧。拟定直线方案和转弯方案进行比选。</w:t>
            </w:r>
          </w:p>
          <w:p>
            <w:pPr>
              <w:spacing w:line="360" w:lineRule="auto"/>
              <w:ind w:firstLine="480"/>
              <w:rPr>
                <w:rFonts w:hint="default" w:ascii="Times New Roman" w:hAnsi="Times New Roman" w:cs="Times New Roman"/>
                <w:b w:val="0"/>
                <w:bCs w:val="0"/>
                <w:color w:val="auto"/>
                <w:sz w:val="21"/>
                <w:szCs w:val="21"/>
                <w:highlight w:val="none"/>
                <w:u w:color="000000"/>
              </w:rPr>
            </w:pPr>
            <w:r>
              <w:rPr>
                <w:rFonts w:hint="default" w:ascii="Times New Roman" w:hAnsi="Times New Roman" w:cs="Times New Roman"/>
                <w:b w:val="0"/>
                <w:bCs w:val="0"/>
                <w:color w:val="auto"/>
                <w:sz w:val="21"/>
                <w:szCs w:val="21"/>
                <w:highlight w:val="none"/>
                <w:u w:color="000000"/>
              </w:rPr>
              <w:t>方案一：直线方案</w:t>
            </w:r>
          </w:p>
          <w:p>
            <w:pPr>
              <w:pStyle w:val="99"/>
              <w:spacing w:line="360" w:lineRule="auto"/>
              <w:ind w:firstLine="48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u w:color="000000"/>
              </w:rPr>
              <w:t>隧洞进口桩号2+826.00，轴线方向</w:t>
            </w:r>
            <w:r>
              <w:rPr>
                <w:rFonts w:hint="default" w:ascii="Times New Roman" w:hAnsi="Times New Roman" w:cs="Times New Roman"/>
                <w:b w:val="0"/>
                <w:bCs w:val="0"/>
                <w:color w:val="auto"/>
                <w:sz w:val="21"/>
                <w:szCs w:val="21"/>
                <w:highlight w:val="none"/>
              </w:rPr>
              <w:t>S75°E，</w:t>
            </w:r>
            <w:r>
              <w:rPr>
                <w:rFonts w:hint="default" w:ascii="Times New Roman" w:hAnsi="Times New Roman" w:cs="Times New Roman"/>
                <w:b w:val="0"/>
                <w:bCs w:val="0"/>
                <w:color w:val="auto"/>
                <w:sz w:val="21"/>
                <w:szCs w:val="21"/>
                <w:highlight w:val="none"/>
                <w:u w:color="000000"/>
              </w:rPr>
              <w:t>出口于XS19</w:t>
            </w:r>
            <w:r>
              <w:rPr>
                <w:rFonts w:hint="default" w:ascii="Times New Roman" w:hAnsi="Times New Roman" w:cs="Times New Roman"/>
                <w:b w:val="0"/>
                <w:bCs w:val="0"/>
                <w:color w:val="auto"/>
                <w:sz w:val="21"/>
                <w:szCs w:val="21"/>
                <w:highlight w:val="none"/>
              </w:rPr>
              <w:t>公路西侧，出口桩号4+251.00，隧洞全长1425m。隧洞底坡i=0.005，进、出口底板高程分别为580.95m、573.38m。该方案桩号3+164处、3+476处从民房正下方穿过：桩号3+164处民房地面高程610.00m，隧洞底板高程579.04m；桩号3+476处民房地面高程614.00m，隧洞底板高程577.30m。</w:t>
            </w:r>
          </w:p>
          <w:p>
            <w:pPr>
              <w:suppressAutoHyphens/>
              <w:spacing w:line="360" w:lineRule="auto"/>
              <w:ind w:firstLine="480"/>
              <w:rPr>
                <w:rFonts w:hint="default" w:ascii="Times New Roman" w:hAnsi="Times New Roman" w:eastAsia="黑体"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隧洞采用无压城门洞型断面，因流量较小，设计断面尺寸主要考虑施工需求，采用孔口尺寸宽1.5m、直墙高1.05m、顶拱半径0.75m。隧洞围岩类别为Ⅲ~Ⅴ类；Ⅳ、Ⅴ类围岩全断面采用0.3m厚的W6C25钢筋混凝土衬砌，Ⅴ类围岩段进行固结灌浆处理，固结灌浆孔深入围岩2m，排距3m，梅花形布置；Ⅲ类围岩段边墙及顶拱采用挂钢筋网喷0.1m厚的C20混凝土支护，底板采用0.2m厚的W6C20混凝土衬砌；对顶拱120°范围回填灌浆，灌浆孔深入围岩0.1m，排距3m。沿洞底敷设DN400焊接不锈钢管，钢管进口中心高程581.45m、出口中心高程573.88m，钢管每隔5m设C20混凝土支墩，支墩厚0.3m，包角120°。</w:t>
            </w:r>
          </w:p>
          <w:p>
            <w:pPr>
              <w:spacing w:line="360" w:lineRule="auto"/>
              <w:ind w:firstLine="480"/>
              <w:rPr>
                <w:rFonts w:hint="default" w:ascii="Times New Roman" w:hAnsi="Times New Roman" w:cs="Times New Roman"/>
                <w:b w:val="0"/>
                <w:bCs w:val="0"/>
                <w:color w:val="auto"/>
                <w:sz w:val="21"/>
                <w:szCs w:val="21"/>
                <w:highlight w:val="none"/>
                <w:u w:color="000000"/>
              </w:rPr>
            </w:pPr>
            <w:r>
              <w:rPr>
                <w:rFonts w:hint="default" w:ascii="Times New Roman" w:hAnsi="Times New Roman" w:cs="Times New Roman"/>
                <w:b w:val="0"/>
                <w:bCs w:val="0"/>
                <w:color w:val="auto"/>
                <w:sz w:val="21"/>
                <w:szCs w:val="21"/>
                <w:highlight w:val="none"/>
                <w:u w:color="000000"/>
              </w:rPr>
              <w:t>方案二：转弯方案</w:t>
            </w:r>
          </w:p>
          <w:p>
            <w:pPr>
              <w:suppressAutoHyphens/>
              <w:spacing w:line="360" w:lineRule="auto"/>
              <w:ind w:firstLine="48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u w:color="000000"/>
                <w:lang w:val="zh-CN"/>
              </w:rPr>
              <w:t>隧洞进口桩号</w:t>
            </w:r>
            <w:r>
              <w:rPr>
                <w:rFonts w:hint="default" w:ascii="Times New Roman" w:hAnsi="Times New Roman" w:cs="Times New Roman"/>
                <w:b w:val="0"/>
                <w:bCs w:val="0"/>
                <w:color w:val="auto"/>
                <w:sz w:val="21"/>
                <w:szCs w:val="21"/>
                <w:highlight w:val="none"/>
                <w:u w:color="000000"/>
              </w:rPr>
              <w:t>2+826.00，为避开对民房的影响，</w:t>
            </w:r>
            <w:r>
              <w:rPr>
                <w:rFonts w:hint="default" w:ascii="Times New Roman" w:hAnsi="Times New Roman" w:cs="Times New Roman"/>
                <w:b w:val="0"/>
                <w:bCs w:val="0"/>
                <w:color w:val="auto"/>
                <w:sz w:val="21"/>
                <w:szCs w:val="21"/>
                <w:highlight w:val="none"/>
              </w:rPr>
              <w:t>洞轴线方向S61°E转S81°E，于桩号3+170.00~3+177.00处转弯，转角20°，出口</w:t>
            </w:r>
            <w:r>
              <w:rPr>
                <w:rFonts w:hint="default" w:ascii="Times New Roman" w:hAnsi="Times New Roman" w:cs="Times New Roman"/>
                <w:b w:val="0"/>
                <w:bCs w:val="0"/>
                <w:color w:val="auto"/>
                <w:sz w:val="21"/>
                <w:szCs w:val="21"/>
                <w:highlight w:val="none"/>
                <w:u w:color="000000"/>
              </w:rPr>
              <w:t>于XS19</w:t>
            </w:r>
            <w:r>
              <w:rPr>
                <w:rFonts w:hint="default" w:ascii="Times New Roman" w:hAnsi="Times New Roman" w:cs="Times New Roman"/>
                <w:b w:val="0"/>
                <w:bCs w:val="0"/>
                <w:color w:val="auto"/>
                <w:sz w:val="21"/>
                <w:szCs w:val="21"/>
                <w:highlight w:val="none"/>
              </w:rPr>
              <w:t>公路西侧，出口桩号</w:t>
            </w:r>
            <w:r>
              <w:rPr>
                <w:rFonts w:hint="default" w:ascii="Times New Roman" w:hAnsi="Times New Roman" w:cs="Times New Roman"/>
                <w:b w:val="0"/>
                <w:bCs w:val="0"/>
                <w:color w:val="auto"/>
                <w:sz w:val="21"/>
                <w:szCs w:val="21"/>
                <w:highlight w:val="none"/>
                <w:u w:color="000000"/>
              </w:rPr>
              <w:t>4+266.00</w:t>
            </w:r>
            <w:r>
              <w:rPr>
                <w:rFonts w:hint="default" w:ascii="Times New Roman" w:hAnsi="Times New Roman" w:cs="Times New Roman"/>
                <w:b w:val="0"/>
                <w:bCs w:val="0"/>
                <w:color w:val="auto"/>
                <w:sz w:val="21"/>
                <w:szCs w:val="21"/>
                <w:highlight w:val="none"/>
              </w:rPr>
              <w:t>，隧洞全长1440m。隧洞底坡i=0.005，进、出口底板高程分别为580.95m、573.30m。</w:t>
            </w:r>
          </w:p>
          <w:p>
            <w:pPr>
              <w:suppressAutoHyphens/>
              <w:spacing w:line="360" w:lineRule="auto"/>
              <w:ind w:firstLine="48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隧洞结构尺寸同方案一。沿洞底敷设DN450焊接不锈钢管，钢管进、出口中心高程581.45m、573.80m，钢管每隔5m设C20混凝土支墩，支墩厚0.3m，包角120°。</w:t>
            </w:r>
          </w:p>
          <w:p>
            <w:pPr>
              <w:spacing w:line="360" w:lineRule="auto"/>
              <w:ind w:firstLine="0" w:firstLineChars="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drawing>
                <wp:inline distT="0" distB="0" distL="0" distR="0">
                  <wp:extent cx="5794375" cy="2870200"/>
                  <wp:effectExtent l="0" t="0" r="15875" b="635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l="2311" t="11748" r="2526" b="4999"/>
                          <a:stretch>
                            <a:fillRect/>
                          </a:stretch>
                        </pic:blipFill>
                        <pic:spPr>
                          <a:xfrm>
                            <a:off x="0" y="0"/>
                            <a:ext cx="5825493" cy="2885859"/>
                          </a:xfrm>
                          <a:prstGeom prst="rect">
                            <a:avLst/>
                          </a:prstGeom>
                          <a:noFill/>
                          <a:ln>
                            <a:noFill/>
                          </a:ln>
                        </pic:spPr>
                      </pic:pic>
                    </a:graphicData>
                  </a:graphic>
                </wp:inline>
              </w:drawing>
            </w:r>
          </w:p>
          <w:p>
            <w:pPr>
              <w:spacing w:line="360" w:lineRule="auto"/>
              <w:ind w:firstLine="0" w:firstLineChars="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图</w:t>
            </w:r>
            <w:r>
              <w:rPr>
                <w:rFonts w:hint="default" w:ascii="Times New Roman" w:hAnsi="Times New Roman" w:eastAsia="宋体" w:cs="Times New Roman"/>
                <w:b w:val="0"/>
                <w:bCs w:val="0"/>
                <w:color w:val="auto"/>
                <w:sz w:val="21"/>
                <w:szCs w:val="21"/>
                <w:highlight w:val="none"/>
                <w:lang w:val="en-US" w:eastAsia="zh-CN"/>
              </w:rPr>
              <w:t>4-4</w:t>
            </w:r>
            <w:r>
              <w:rPr>
                <w:rFonts w:hint="default" w:ascii="Times New Roman" w:hAnsi="Times New Roman" w:eastAsia="宋体" w:cs="Times New Roman"/>
                <w:b w:val="0"/>
                <w:bCs w:val="0"/>
                <w:color w:val="auto"/>
                <w:sz w:val="21"/>
                <w:szCs w:val="21"/>
                <w:highlight w:val="none"/>
              </w:rPr>
              <w:t xml:space="preserve">   干管瑶子石隧洞线路比选图</w:t>
            </w:r>
          </w:p>
          <w:p>
            <w:pPr>
              <w:spacing w:line="360" w:lineRule="auto"/>
              <w:ind w:firstLine="480"/>
              <w:rPr>
                <w:rFonts w:hint="default" w:ascii="Times New Roman" w:hAnsi="Times New Roman" w:cs="Times New Roman"/>
                <w:b w:val="0"/>
                <w:bCs w:val="0"/>
                <w:color w:val="auto"/>
                <w:sz w:val="21"/>
                <w:szCs w:val="21"/>
                <w:highlight w:val="none"/>
                <w:u w:color="000000"/>
              </w:rPr>
            </w:pPr>
            <w:r>
              <w:rPr>
                <w:rFonts w:hint="default" w:ascii="Times New Roman" w:hAnsi="Times New Roman" w:cs="Times New Roman"/>
                <w:b w:val="0"/>
                <w:bCs w:val="0"/>
                <w:color w:val="auto"/>
                <w:sz w:val="21"/>
                <w:szCs w:val="21"/>
                <w:highlight w:val="none"/>
                <w:u w:color="000000"/>
              </w:rPr>
              <w:t>对以上两方案进行技术经济比较，见表</w:t>
            </w:r>
            <w:r>
              <w:rPr>
                <w:rFonts w:hint="eastAsia" w:ascii="Times New Roman" w:hAnsi="Times New Roman" w:cs="Times New Roman"/>
                <w:b w:val="0"/>
                <w:bCs w:val="0"/>
                <w:color w:val="auto"/>
                <w:sz w:val="21"/>
                <w:szCs w:val="21"/>
                <w:highlight w:val="none"/>
                <w:u w:color="000000"/>
                <w:lang w:val="en-US" w:eastAsia="zh-CN"/>
              </w:rPr>
              <w:t>4-8</w:t>
            </w:r>
            <w:r>
              <w:rPr>
                <w:rFonts w:hint="default" w:ascii="Times New Roman" w:hAnsi="Times New Roman" w:cs="Times New Roman"/>
                <w:b w:val="0"/>
                <w:bCs w:val="0"/>
                <w:color w:val="auto"/>
                <w:sz w:val="21"/>
                <w:szCs w:val="21"/>
                <w:highlight w:val="none"/>
                <w:u w:color="000000"/>
              </w:rPr>
              <w:t>。</w:t>
            </w:r>
          </w:p>
          <w:p>
            <w:pPr>
              <w:spacing w:line="360" w:lineRule="auto"/>
              <w:ind w:firstLine="0" w:firstLineChars="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表</w:t>
            </w:r>
            <w:r>
              <w:rPr>
                <w:rFonts w:hint="default" w:ascii="Times New Roman" w:hAnsi="Times New Roman" w:eastAsia="宋体" w:cs="Times New Roman"/>
                <w:b w:val="0"/>
                <w:bCs w:val="0"/>
                <w:color w:val="auto"/>
                <w:sz w:val="21"/>
                <w:szCs w:val="21"/>
                <w:highlight w:val="none"/>
                <w:lang w:val="en-US" w:eastAsia="zh-CN"/>
              </w:rPr>
              <w:t>4-8</w:t>
            </w:r>
            <w:r>
              <w:rPr>
                <w:rFonts w:hint="default" w:ascii="Times New Roman" w:hAnsi="Times New Roman" w:eastAsia="宋体" w:cs="Times New Roman"/>
                <w:b w:val="0"/>
                <w:bCs w:val="0"/>
                <w:color w:val="auto"/>
                <w:sz w:val="21"/>
                <w:szCs w:val="21"/>
                <w:highlight w:val="none"/>
              </w:rPr>
              <w:t xml:space="preserve">   输水干管瑶子石隧洞线路比选成果表</w:t>
            </w:r>
          </w:p>
          <w:tbl>
            <w:tblPr>
              <w:tblStyle w:val="29"/>
              <w:tblW w:w="5000" w:type="pct"/>
              <w:tblInd w:w="0" w:type="dxa"/>
              <w:tblLayout w:type="autofit"/>
              <w:tblCellMar>
                <w:top w:w="0" w:type="dxa"/>
                <w:left w:w="108" w:type="dxa"/>
                <w:bottom w:w="0" w:type="dxa"/>
                <w:right w:w="108" w:type="dxa"/>
              </w:tblCellMar>
            </w:tblPr>
            <w:tblGrid>
              <w:gridCol w:w="697"/>
              <w:gridCol w:w="2917"/>
              <w:gridCol w:w="712"/>
              <w:gridCol w:w="1835"/>
              <w:gridCol w:w="1426"/>
              <w:gridCol w:w="1563"/>
            </w:tblGrid>
            <w:tr>
              <w:tblPrEx>
                <w:tblCellMar>
                  <w:top w:w="0" w:type="dxa"/>
                  <w:left w:w="108" w:type="dxa"/>
                  <w:bottom w:w="0" w:type="dxa"/>
                  <w:right w:w="108" w:type="dxa"/>
                </w:tblCellMar>
              </w:tblPrEx>
              <w:trPr>
                <w:trHeight w:val="20" w:hRule="atLeast"/>
                <w:tblHeader/>
              </w:trPr>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序号</w:t>
                  </w:r>
                </w:p>
              </w:tc>
              <w:tc>
                <w:tcPr>
                  <w:tcW w:w="1594"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项目</w:t>
                  </w:r>
                </w:p>
              </w:tc>
              <w:tc>
                <w:tcPr>
                  <w:tcW w:w="389"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单位</w:t>
                  </w:r>
                </w:p>
              </w:tc>
              <w:tc>
                <w:tcPr>
                  <w:tcW w:w="1003"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方案一 直线</w:t>
                  </w:r>
                </w:p>
              </w:tc>
              <w:tc>
                <w:tcPr>
                  <w:tcW w:w="779"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方案二 转弯</w:t>
                  </w:r>
                </w:p>
              </w:tc>
              <w:tc>
                <w:tcPr>
                  <w:tcW w:w="854"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备注</w:t>
                  </w:r>
                </w:p>
              </w:tc>
            </w:tr>
            <w:tr>
              <w:tblPrEx>
                <w:tblCellMar>
                  <w:top w:w="0" w:type="dxa"/>
                  <w:left w:w="108" w:type="dxa"/>
                  <w:bottom w:w="0" w:type="dxa"/>
                  <w:right w:w="108" w:type="dxa"/>
                </w:tblCellMar>
              </w:tblPrEx>
              <w:trPr>
                <w:trHeight w:val="20" w:hRule="atLeast"/>
              </w:trPr>
              <w:tc>
                <w:tcPr>
                  <w:tcW w:w="38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一</w:t>
                  </w:r>
                </w:p>
              </w:tc>
              <w:tc>
                <w:tcPr>
                  <w:tcW w:w="159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建筑物参数</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　</w:t>
                  </w:r>
                </w:p>
              </w:tc>
              <w:tc>
                <w:tcPr>
                  <w:tcW w:w="100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　</w:t>
                  </w:r>
                </w:p>
              </w:tc>
              <w:tc>
                <w:tcPr>
                  <w:tcW w:w="7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　</w:t>
                  </w:r>
                </w:p>
              </w:tc>
              <w:tc>
                <w:tcPr>
                  <w:tcW w:w="85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38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1</w:t>
                  </w:r>
                </w:p>
              </w:tc>
              <w:tc>
                <w:tcPr>
                  <w:tcW w:w="159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设计流量</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m</w:t>
                  </w:r>
                  <w:r>
                    <w:rPr>
                      <w:rFonts w:hint="default" w:ascii="Times New Roman" w:hAnsi="Times New Roman" w:cs="Times New Roman"/>
                      <w:b w:val="0"/>
                      <w:bCs w:val="0"/>
                      <w:color w:val="auto"/>
                      <w:kern w:val="0"/>
                      <w:sz w:val="21"/>
                      <w:szCs w:val="21"/>
                      <w:highlight w:val="none"/>
                      <w:vertAlign w:val="superscript"/>
                    </w:rPr>
                    <w:t>3</w:t>
                  </w:r>
                  <w:r>
                    <w:rPr>
                      <w:rFonts w:hint="default" w:ascii="Times New Roman" w:hAnsi="Times New Roman" w:cs="Times New Roman"/>
                      <w:b w:val="0"/>
                      <w:bCs w:val="0"/>
                      <w:color w:val="auto"/>
                      <w:kern w:val="0"/>
                      <w:sz w:val="21"/>
                      <w:szCs w:val="21"/>
                      <w:highlight w:val="none"/>
                    </w:rPr>
                    <w:t>/s</w:t>
                  </w:r>
                </w:p>
              </w:tc>
              <w:tc>
                <w:tcPr>
                  <w:tcW w:w="100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0.09/0.08</w:t>
                  </w:r>
                </w:p>
              </w:tc>
              <w:tc>
                <w:tcPr>
                  <w:tcW w:w="7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0.09/0.08</w:t>
                  </w:r>
                </w:p>
              </w:tc>
              <w:tc>
                <w:tcPr>
                  <w:tcW w:w="85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供水/灌溉</w:t>
                  </w:r>
                </w:p>
              </w:tc>
            </w:tr>
            <w:tr>
              <w:tblPrEx>
                <w:tblCellMar>
                  <w:top w:w="0" w:type="dxa"/>
                  <w:left w:w="108" w:type="dxa"/>
                  <w:bottom w:w="0" w:type="dxa"/>
                  <w:right w:w="108" w:type="dxa"/>
                </w:tblCellMar>
              </w:tblPrEx>
              <w:trPr>
                <w:trHeight w:val="20" w:hRule="atLeast"/>
              </w:trPr>
              <w:tc>
                <w:tcPr>
                  <w:tcW w:w="38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2</w:t>
                  </w:r>
                </w:p>
              </w:tc>
              <w:tc>
                <w:tcPr>
                  <w:tcW w:w="159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长度</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m</w:t>
                  </w:r>
                </w:p>
              </w:tc>
              <w:tc>
                <w:tcPr>
                  <w:tcW w:w="100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1425</w:t>
                  </w:r>
                </w:p>
              </w:tc>
              <w:tc>
                <w:tcPr>
                  <w:tcW w:w="7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1440</w:t>
                  </w:r>
                </w:p>
              </w:tc>
              <w:tc>
                <w:tcPr>
                  <w:tcW w:w="85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38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3</w:t>
                  </w:r>
                </w:p>
              </w:tc>
              <w:tc>
                <w:tcPr>
                  <w:tcW w:w="159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隧洞净空尺寸</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m</w:t>
                  </w:r>
                </w:p>
              </w:tc>
              <w:tc>
                <w:tcPr>
                  <w:tcW w:w="100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1.5×1.8</w:t>
                  </w:r>
                </w:p>
              </w:tc>
              <w:tc>
                <w:tcPr>
                  <w:tcW w:w="7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1.5×1.8</w:t>
                  </w:r>
                </w:p>
              </w:tc>
              <w:tc>
                <w:tcPr>
                  <w:tcW w:w="85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38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4</w:t>
                  </w:r>
                </w:p>
              </w:tc>
              <w:tc>
                <w:tcPr>
                  <w:tcW w:w="159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内置钢管尺寸</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mm</w:t>
                  </w:r>
                </w:p>
              </w:tc>
              <w:tc>
                <w:tcPr>
                  <w:tcW w:w="100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DN400×2</w:t>
                  </w:r>
                </w:p>
              </w:tc>
              <w:tc>
                <w:tcPr>
                  <w:tcW w:w="7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DN400×2</w:t>
                  </w:r>
                </w:p>
              </w:tc>
              <w:tc>
                <w:tcPr>
                  <w:tcW w:w="85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供水/灌溉</w:t>
                  </w:r>
                </w:p>
              </w:tc>
            </w:tr>
            <w:tr>
              <w:tblPrEx>
                <w:tblCellMar>
                  <w:top w:w="0" w:type="dxa"/>
                  <w:left w:w="108" w:type="dxa"/>
                  <w:bottom w:w="0" w:type="dxa"/>
                  <w:right w:w="108" w:type="dxa"/>
                </w:tblCellMar>
              </w:tblPrEx>
              <w:trPr>
                <w:trHeight w:val="20" w:hRule="atLeast"/>
              </w:trPr>
              <w:tc>
                <w:tcPr>
                  <w:tcW w:w="38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5</w:t>
                  </w:r>
                </w:p>
              </w:tc>
              <w:tc>
                <w:tcPr>
                  <w:tcW w:w="159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隧洞进口底板高程</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m</w:t>
                  </w:r>
                </w:p>
              </w:tc>
              <w:tc>
                <w:tcPr>
                  <w:tcW w:w="100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580.95</w:t>
                  </w:r>
                </w:p>
              </w:tc>
              <w:tc>
                <w:tcPr>
                  <w:tcW w:w="7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580.95</w:t>
                  </w:r>
                </w:p>
              </w:tc>
              <w:tc>
                <w:tcPr>
                  <w:tcW w:w="85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38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6</w:t>
                  </w:r>
                </w:p>
              </w:tc>
              <w:tc>
                <w:tcPr>
                  <w:tcW w:w="159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隧洞出口底板高程</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m</w:t>
                  </w:r>
                </w:p>
              </w:tc>
              <w:tc>
                <w:tcPr>
                  <w:tcW w:w="100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573.38</w:t>
                  </w:r>
                </w:p>
              </w:tc>
              <w:tc>
                <w:tcPr>
                  <w:tcW w:w="7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573.30</w:t>
                  </w:r>
                </w:p>
              </w:tc>
              <w:tc>
                <w:tcPr>
                  <w:tcW w:w="85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38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二</w:t>
                  </w:r>
                </w:p>
              </w:tc>
              <w:tc>
                <w:tcPr>
                  <w:tcW w:w="159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主要工程量</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　</w:t>
                  </w:r>
                </w:p>
              </w:tc>
              <w:tc>
                <w:tcPr>
                  <w:tcW w:w="100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　</w:t>
                  </w:r>
                </w:p>
              </w:tc>
              <w:tc>
                <w:tcPr>
                  <w:tcW w:w="7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　</w:t>
                  </w:r>
                </w:p>
              </w:tc>
              <w:tc>
                <w:tcPr>
                  <w:tcW w:w="85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38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1</w:t>
                  </w:r>
                </w:p>
              </w:tc>
              <w:tc>
                <w:tcPr>
                  <w:tcW w:w="159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土方开挖</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m</w:t>
                  </w:r>
                  <w:r>
                    <w:rPr>
                      <w:rFonts w:hint="default" w:ascii="Times New Roman" w:hAnsi="Times New Roman" w:cs="Times New Roman"/>
                      <w:b w:val="0"/>
                      <w:bCs w:val="0"/>
                      <w:color w:val="auto"/>
                      <w:kern w:val="0"/>
                      <w:sz w:val="21"/>
                      <w:szCs w:val="21"/>
                      <w:highlight w:val="none"/>
                      <w:vertAlign w:val="superscript"/>
                    </w:rPr>
                    <w:t>3</w:t>
                  </w:r>
                </w:p>
              </w:tc>
              <w:tc>
                <w:tcPr>
                  <w:tcW w:w="100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295</w:t>
                  </w:r>
                </w:p>
              </w:tc>
              <w:tc>
                <w:tcPr>
                  <w:tcW w:w="7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295</w:t>
                  </w:r>
                </w:p>
              </w:tc>
              <w:tc>
                <w:tcPr>
                  <w:tcW w:w="85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38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2</w:t>
                  </w:r>
                </w:p>
              </w:tc>
              <w:tc>
                <w:tcPr>
                  <w:tcW w:w="159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石方开挖</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m</w:t>
                  </w:r>
                  <w:r>
                    <w:rPr>
                      <w:rFonts w:hint="default" w:ascii="Times New Roman" w:hAnsi="Times New Roman" w:cs="Times New Roman"/>
                      <w:b w:val="0"/>
                      <w:bCs w:val="0"/>
                      <w:color w:val="auto"/>
                      <w:kern w:val="0"/>
                      <w:sz w:val="21"/>
                      <w:szCs w:val="21"/>
                      <w:highlight w:val="none"/>
                      <w:vertAlign w:val="superscript"/>
                    </w:rPr>
                    <w:t>3</w:t>
                  </w:r>
                </w:p>
              </w:tc>
              <w:tc>
                <w:tcPr>
                  <w:tcW w:w="100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2654</w:t>
                  </w:r>
                </w:p>
              </w:tc>
              <w:tc>
                <w:tcPr>
                  <w:tcW w:w="7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2654</w:t>
                  </w:r>
                </w:p>
              </w:tc>
              <w:tc>
                <w:tcPr>
                  <w:tcW w:w="85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38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3</w:t>
                  </w:r>
                </w:p>
              </w:tc>
              <w:tc>
                <w:tcPr>
                  <w:tcW w:w="159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石方洞挖</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m</w:t>
                  </w:r>
                  <w:r>
                    <w:rPr>
                      <w:rFonts w:hint="default" w:ascii="Times New Roman" w:hAnsi="Times New Roman" w:cs="Times New Roman"/>
                      <w:b w:val="0"/>
                      <w:bCs w:val="0"/>
                      <w:color w:val="auto"/>
                      <w:kern w:val="0"/>
                      <w:sz w:val="21"/>
                      <w:szCs w:val="21"/>
                      <w:highlight w:val="none"/>
                      <w:vertAlign w:val="superscript"/>
                    </w:rPr>
                    <w:t>3</w:t>
                  </w:r>
                </w:p>
              </w:tc>
              <w:tc>
                <w:tcPr>
                  <w:tcW w:w="100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6659</w:t>
                  </w:r>
                </w:p>
              </w:tc>
              <w:tc>
                <w:tcPr>
                  <w:tcW w:w="7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6723</w:t>
                  </w:r>
                </w:p>
              </w:tc>
              <w:tc>
                <w:tcPr>
                  <w:tcW w:w="85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38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4</w:t>
                  </w:r>
                </w:p>
              </w:tc>
              <w:tc>
                <w:tcPr>
                  <w:tcW w:w="159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C20混凝土（支墩）</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m</w:t>
                  </w:r>
                  <w:r>
                    <w:rPr>
                      <w:rFonts w:hint="default" w:ascii="Times New Roman" w:hAnsi="Times New Roman" w:cs="Times New Roman"/>
                      <w:b w:val="0"/>
                      <w:bCs w:val="0"/>
                      <w:color w:val="auto"/>
                      <w:kern w:val="0"/>
                      <w:sz w:val="21"/>
                      <w:szCs w:val="21"/>
                      <w:highlight w:val="none"/>
                      <w:vertAlign w:val="superscript"/>
                    </w:rPr>
                    <w:t>3</w:t>
                  </w:r>
                </w:p>
              </w:tc>
              <w:tc>
                <w:tcPr>
                  <w:tcW w:w="100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90</w:t>
                  </w:r>
                </w:p>
              </w:tc>
              <w:tc>
                <w:tcPr>
                  <w:tcW w:w="7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91</w:t>
                  </w:r>
                </w:p>
              </w:tc>
              <w:tc>
                <w:tcPr>
                  <w:tcW w:w="85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38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5</w:t>
                  </w:r>
                </w:p>
              </w:tc>
              <w:tc>
                <w:tcPr>
                  <w:tcW w:w="159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C20混凝土（隧洞底板）</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m</w:t>
                  </w:r>
                  <w:r>
                    <w:rPr>
                      <w:rFonts w:hint="default" w:ascii="Times New Roman" w:hAnsi="Times New Roman" w:cs="Times New Roman"/>
                      <w:b w:val="0"/>
                      <w:bCs w:val="0"/>
                      <w:color w:val="auto"/>
                      <w:kern w:val="0"/>
                      <w:sz w:val="21"/>
                      <w:szCs w:val="21"/>
                      <w:highlight w:val="none"/>
                      <w:vertAlign w:val="superscript"/>
                    </w:rPr>
                    <w:t>3</w:t>
                  </w:r>
                </w:p>
              </w:tc>
              <w:tc>
                <w:tcPr>
                  <w:tcW w:w="100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129</w:t>
                  </w:r>
                </w:p>
              </w:tc>
              <w:tc>
                <w:tcPr>
                  <w:tcW w:w="7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130</w:t>
                  </w:r>
                </w:p>
              </w:tc>
              <w:tc>
                <w:tcPr>
                  <w:tcW w:w="85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38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6</w:t>
                  </w:r>
                </w:p>
              </w:tc>
              <w:tc>
                <w:tcPr>
                  <w:tcW w:w="159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C25混凝土（隧洞）</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m</w:t>
                  </w:r>
                  <w:r>
                    <w:rPr>
                      <w:rFonts w:hint="default" w:ascii="Times New Roman" w:hAnsi="Times New Roman" w:cs="Times New Roman"/>
                      <w:b w:val="0"/>
                      <w:bCs w:val="0"/>
                      <w:color w:val="auto"/>
                      <w:kern w:val="0"/>
                      <w:sz w:val="21"/>
                      <w:szCs w:val="21"/>
                      <w:highlight w:val="none"/>
                      <w:vertAlign w:val="superscript"/>
                    </w:rPr>
                    <w:t>3</w:t>
                  </w:r>
                </w:p>
              </w:tc>
              <w:tc>
                <w:tcPr>
                  <w:tcW w:w="100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2248</w:t>
                  </w:r>
                </w:p>
              </w:tc>
              <w:tc>
                <w:tcPr>
                  <w:tcW w:w="7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2271</w:t>
                  </w:r>
                </w:p>
              </w:tc>
              <w:tc>
                <w:tcPr>
                  <w:tcW w:w="85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38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7</w:t>
                  </w:r>
                </w:p>
              </w:tc>
              <w:tc>
                <w:tcPr>
                  <w:tcW w:w="159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喷C20混凝土（厚10cm）</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m</w:t>
                  </w:r>
                  <w:r>
                    <w:rPr>
                      <w:rFonts w:hint="default" w:ascii="Times New Roman" w:hAnsi="Times New Roman" w:cs="Times New Roman"/>
                      <w:b w:val="0"/>
                      <w:bCs w:val="0"/>
                      <w:color w:val="auto"/>
                      <w:kern w:val="0"/>
                      <w:sz w:val="21"/>
                      <w:szCs w:val="21"/>
                      <w:highlight w:val="none"/>
                      <w:vertAlign w:val="superscript"/>
                    </w:rPr>
                    <w:t>2</w:t>
                  </w:r>
                </w:p>
              </w:tc>
              <w:tc>
                <w:tcPr>
                  <w:tcW w:w="100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9637</w:t>
                  </w:r>
                </w:p>
              </w:tc>
              <w:tc>
                <w:tcPr>
                  <w:tcW w:w="7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9670</w:t>
                  </w:r>
                </w:p>
              </w:tc>
              <w:tc>
                <w:tcPr>
                  <w:tcW w:w="85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38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8</w:t>
                  </w:r>
                </w:p>
              </w:tc>
              <w:tc>
                <w:tcPr>
                  <w:tcW w:w="159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砂浆锚杆（φ25、L=2.5m）</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根</w:t>
                  </w:r>
                </w:p>
              </w:tc>
              <w:tc>
                <w:tcPr>
                  <w:tcW w:w="100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4475</w:t>
                  </w:r>
                </w:p>
              </w:tc>
              <w:tc>
                <w:tcPr>
                  <w:tcW w:w="7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4519</w:t>
                  </w:r>
                </w:p>
              </w:tc>
              <w:tc>
                <w:tcPr>
                  <w:tcW w:w="85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38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9</w:t>
                  </w:r>
                </w:p>
              </w:tc>
              <w:tc>
                <w:tcPr>
                  <w:tcW w:w="159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隧洞回填灌浆</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m</w:t>
                  </w:r>
                  <w:r>
                    <w:rPr>
                      <w:rFonts w:hint="default" w:ascii="Times New Roman" w:hAnsi="Times New Roman" w:cs="Times New Roman"/>
                      <w:b w:val="0"/>
                      <w:bCs w:val="0"/>
                      <w:color w:val="auto"/>
                      <w:kern w:val="0"/>
                      <w:sz w:val="21"/>
                      <w:szCs w:val="21"/>
                      <w:highlight w:val="none"/>
                      <w:vertAlign w:val="superscript"/>
                    </w:rPr>
                    <w:t>2</w:t>
                  </w:r>
                </w:p>
              </w:tc>
              <w:tc>
                <w:tcPr>
                  <w:tcW w:w="100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3293</w:t>
                  </w:r>
                </w:p>
              </w:tc>
              <w:tc>
                <w:tcPr>
                  <w:tcW w:w="7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3326</w:t>
                  </w:r>
                </w:p>
              </w:tc>
              <w:tc>
                <w:tcPr>
                  <w:tcW w:w="85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38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10</w:t>
                  </w:r>
                </w:p>
              </w:tc>
              <w:tc>
                <w:tcPr>
                  <w:tcW w:w="159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隧洞固结灌浆</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m</w:t>
                  </w:r>
                </w:p>
              </w:tc>
              <w:tc>
                <w:tcPr>
                  <w:tcW w:w="100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2470</w:t>
                  </w:r>
                </w:p>
              </w:tc>
              <w:tc>
                <w:tcPr>
                  <w:tcW w:w="7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2500</w:t>
                  </w:r>
                </w:p>
              </w:tc>
              <w:tc>
                <w:tcPr>
                  <w:tcW w:w="85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38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11</w:t>
                  </w:r>
                </w:p>
              </w:tc>
              <w:tc>
                <w:tcPr>
                  <w:tcW w:w="159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DN400焊接不锈钢管</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m</w:t>
                  </w:r>
                </w:p>
              </w:tc>
              <w:tc>
                <w:tcPr>
                  <w:tcW w:w="100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2993</w:t>
                  </w:r>
                </w:p>
              </w:tc>
              <w:tc>
                <w:tcPr>
                  <w:tcW w:w="7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3024</w:t>
                  </w:r>
                </w:p>
              </w:tc>
              <w:tc>
                <w:tcPr>
                  <w:tcW w:w="85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壁厚5mm</w:t>
                  </w:r>
                </w:p>
              </w:tc>
            </w:tr>
            <w:tr>
              <w:tblPrEx>
                <w:tblCellMar>
                  <w:top w:w="0" w:type="dxa"/>
                  <w:left w:w="108" w:type="dxa"/>
                  <w:bottom w:w="0" w:type="dxa"/>
                  <w:right w:w="108" w:type="dxa"/>
                </w:tblCellMar>
              </w:tblPrEx>
              <w:trPr>
                <w:trHeight w:val="20" w:hRule="atLeast"/>
              </w:trPr>
              <w:tc>
                <w:tcPr>
                  <w:tcW w:w="38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12</w:t>
                  </w:r>
                </w:p>
              </w:tc>
              <w:tc>
                <w:tcPr>
                  <w:tcW w:w="159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钢筋及钢筋网制安</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t</w:t>
                  </w:r>
                </w:p>
              </w:tc>
              <w:tc>
                <w:tcPr>
                  <w:tcW w:w="100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249.17</w:t>
                  </w:r>
                </w:p>
              </w:tc>
              <w:tc>
                <w:tcPr>
                  <w:tcW w:w="7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251.30</w:t>
                  </w:r>
                </w:p>
              </w:tc>
              <w:tc>
                <w:tcPr>
                  <w:tcW w:w="85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38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13</w:t>
                  </w:r>
                </w:p>
              </w:tc>
              <w:tc>
                <w:tcPr>
                  <w:tcW w:w="159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模板制安</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m</w:t>
                  </w:r>
                  <w:r>
                    <w:rPr>
                      <w:rFonts w:hint="default" w:ascii="Times New Roman" w:hAnsi="Times New Roman" w:cs="Times New Roman"/>
                      <w:b w:val="0"/>
                      <w:bCs w:val="0"/>
                      <w:color w:val="auto"/>
                      <w:kern w:val="0"/>
                      <w:sz w:val="21"/>
                      <w:szCs w:val="21"/>
                      <w:highlight w:val="none"/>
                      <w:vertAlign w:val="superscript"/>
                    </w:rPr>
                    <w:t>2</w:t>
                  </w:r>
                </w:p>
              </w:tc>
              <w:tc>
                <w:tcPr>
                  <w:tcW w:w="100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15151</w:t>
                  </w:r>
                </w:p>
              </w:tc>
              <w:tc>
                <w:tcPr>
                  <w:tcW w:w="7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15238</w:t>
                  </w:r>
                </w:p>
              </w:tc>
              <w:tc>
                <w:tcPr>
                  <w:tcW w:w="85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　</w:t>
                  </w:r>
                </w:p>
              </w:tc>
            </w:tr>
            <w:tr>
              <w:tblPrEx>
                <w:tblCellMar>
                  <w:top w:w="0" w:type="dxa"/>
                  <w:left w:w="108" w:type="dxa"/>
                  <w:bottom w:w="0" w:type="dxa"/>
                  <w:right w:w="108" w:type="dxa"/>
                </w:tblCellMar>
              </w:tblPrEx>
              <w:trPr>
                <w:trHeight w:val="20" w:hRule="atLeast"/>
              </w:trPr>
              <w:tc>
                <w:tcPr>
                  <w:tcW w:w="38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三</w:t>
                  </w:r>
                </w:p>
              </w:tc>
              <w:tc>
                <w:tcPr>
                  <w:tcW w:w="159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工程投资</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万元</w:t>
                  </w:r>
                </w:p>
              </w:tc>
              <w:tc>
                <w:tcPr>
                  <w:tcW w:w="100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sz w:val="21"/>
                      <w:szCs w:val="21"/>
                      <w:highlight w:val="none"/>
                    </w:rPr>
                    <w:t>1078.46</w:t>
                  </w:r>
                </w:p>
              </w:tc>
              <w:tc>
                <w:tcPr>
                  <w:tcW w:w="77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sz w:val="21"/>
                      <w:szCs w:val="21"/>
                      <w:highlight w:val="none"/>
                    </w:rPr>
                    <w:t>1086.52</w:t>
                  </w:r>
                </w:p>
              </w:tc>
              <w:tc>
                <w:tcPr>
                  <w:tcW w:w="85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　</w:t>
                  </w:r>
                </w:p>
              </w:tc>
            </w:tr>
            <w:tr>
              <w:tblPrEx>
                <w:tblCellMar>
                  <w:top w:w="0" w:type="dxa"/>
                  <w:left w:w="108" w:type="dxa"/>
                  <w:bottom w:w="0" w:type="dxa"/>
                  <w:right w:w="108" w:type="dxa"/>
                </w:tblCellMar>
              </w:tblPrEx>
              <w:trPr>
                <w:trHeight w:val="326" w:hRule="atLeast"/>
              </w:trPr>
              <w:tc>
                <w:tcPr>
                  <w:tcW w:w="381"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四</w:t>
                  </w:r>
                </w:p>
              </w:tc>
              <w:tc>
                <w:tcPr>
                  <w:tcW w:w="1594"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其他影响</w:t>
                  </w:r>
                </w:p>
              </w:tc>
              <w:tc>
                <w:tcPr>
                  <w:tcW w:w="389" w:type="pct"/>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w:t>
                  </w:r>
                </w:p>
              </w:tc>
              <w:tc>
                <w:tcPr>
                  <w:tcW w:w="1003" w:type="pct"/>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下穿2处民房区，隧洞施工可能对其造成影响</w:t>
                  </w:r>
                </w:p>
              </w:tc>
              <w:tc>
                <w:tcPr>
                  <w:tcW w:w="779" w:type="pct"/>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无</w:t>
                  </w:r>
                </w:p>
              </w:tc>
              <w:tc>
                <w:tcPr>
                  <w:tcW w:w="854"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r>
                    <w:rPr>
                      <w:rFonts w:hint="default" w:ascii="Times New Roman" w:hAnsi="Times New Roman" w:cs="Times New Roman"/>
                      <w:b w:val="0"/>
                      <w:bCs w:val="0"/>
                      <w:color w:val="auto"/>
                      <w:kern w:val="0"/>
                      <w:sz w:val="21"/>
                      <w:szCs w:val="21"/>
                      <w:highlight w:val="none"/>
                    </w:rPr>
                    <w:t>　</w:t>
                  </w:r>
                </w:p>
              </w:tc>
            </w:tr>
            <w:tr>
              <w:tblPrEx>
                <w:tblCellMar>
                  <w:top w:w="0" w:type="dxa"/>
                  <w:left w:w="108" w:type="dxa"/>
                  <w:bottom w:w="0" w:type="dxa"/>
                  <w:right w:w="108" w:type="dxa"/>
                </w:tblCellMar>
              </w:tblPrEx>
              <w:trPr>
                <w:trHeight w:val="326" w:hRule="atLeast"/>
              </w:trPr>
              <w:tc>
                <w:tcPr>
                  <w:tcW w:w="381" w:type="pct"/>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p>
              </w:tc>
              <w:tc>
                <w:tcPr>
                  <w:tcW w:w="1594" w:type="pct"/>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p>
              </w:tc>
              <w:tc>
                <w:tcPr>
                  <w:tcW w:w="389" w:type="pct"/>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p>
              </w:tc>
              <w:tc>
                <w:tcPr>
                  <w:tcW w:w="1003" w:type="pct"/>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p>
              </w:tc>
              <w:tc>
                <w:tcPr>
                  <w:tcW w:w="779" w:type="pct"/>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p>
              </w:tc>
              <w:tc>
                <w:tcPr>
                  <w:tcW w:w="854" w:type="pct"/>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p>
              </w:tc>
            </w:tr>
            <w:tr>
              <w:tblPrEx>
                <w:tblCellMar>
                  <w:top w:w="0" w:type="dxa"/>
                  <w:left w:w="108" w:type="dxa"/>
                  <w:bottom w:w="0" w:type="dxa"/>
                  <w:right w:w="108" w:type="dxa"/>
                </w:tblCellMar>
              </w:tblPrEx>
              <w:trPr>
                <w:trHeight w:val="326" w:hRule="atLeast"/>
              </w:trPr>
              <w:tc>
                <w:tcPr>
                  <w:tcW w:w="381" w:type="pct"/>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p>
              </w:tc>
              <w:tc>
                <w:tcPr>
                  <w:tcW w:w="1594" w:type="pct"/>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p>
              </w:tc>
              <w:tc>
                <w:tcPr>
                  <w:tcW w:w="389" w:type="pct"/>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p>
              </w:tc>
              <w:tc>
                <w:tcPr>
                  <w:tcW w:w="1003" w:type="pct"/>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p>
              </w:tc>
              <w:tc>
                <w:tcPr>
                  <w:tcW w:w="779" w:type="pct"/>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p>
              </w:tc>
              <w:tc>
                <w:tcPr>
                  <w:tcW w:w="854" w:type="pct"/>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hint="default" w:ascii="Times New Roman" w:hAnsi="Times New Roman" w:cs="Times New Roman"/>
                      <w:b w:val="0"/>
                      <w:bCs w:val="0"/>
                      <w:color w:val="auto"/>
                      <w:kern w:val="0"/>
                      <w:sz w:val="21"/>
                      <w:szCs w:val="21"/>
                      <w:highlight w:val="none"/>
                    </w:rPr>
                  </w:pPr>
                </w:p>
              </w:tc>
            </w:tr>
          </w:tbl>
          <w:p>
            <w:pPr>
              <w:autoSpaceDE w:val="0"/>
              <w:autoSpaceDN w:val="0"/>
              <w:adjustRightInd w:val="0"/>
              <w:snapToGrid w:val="0"/>
              <w:spacing w:line="360" w:lineRule="auto"/>
              <w:ind w:firstLine="420" w:firstLineChars="200"/>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u w:color="000000"/>
              </w:rPr>
              <w:t>由</w:t>
            </w:r>
            <w:r>
              <w:rPr>
                <w:rFonts w:hint="eastAsia" w:ascii="Times New Roman" w:hAnsi="Times New Roman" w:cs="Times New Roman"/>
                <w:b w:val="0"/>
                <w:bCs w:val="0"/>
                <w:color w:val="auto"/>
                <w:sz w:val="21"/>
                <w:szCs w:val="21"/>
                <w:highlight w:val="none"/>
                <w:u w:color="000000"/>
                <w:lang w:val="en-US" w:eastAsia="zh-CN"/>
              </w:rPr>
              <w:t>上</w:t>
            </w:r>
            <w:r>
              <w:rPr>
                <w:rFonts w:hint="default" w:ascii="Times New Roman" w:hAnsi="Times New Roman" w:cs="Times New Roman"/>
                <w:b w:val="0"/>
                <w:bCs w:val="0"/>
                <w:color w:val="auto"/>
                <w:sz w:val="21"/>
                <w:szCs w:val="21"/>
                <w:highlight w:val="none"/>
                <w:u w:color="000000"/>
              </w:rPr>
              <w:t>表可知，两方案隧洞轴线长度差别不大，方案二轴线比方案一长15m，工程投资较方案一多8.06万元。考虑方案一下穿2处民房区，隧洞施工存在安全隐患，而方案二相对方案一投资增加较少，更为安全，故推荐隧洞轴线方案二，即：转弯方案。</w:t>
            </w:r>
          </w:p>
          <w:p>
            <w:pPr>
              <w:autoSpaceDE w:val="0"/>
              <w:autoSpaceDN w:val="0"/>
              <w:adjustRightInd w:val="0"/>
              <w:snapToGrid w:val="0"/>
              <w:spacing w:line="360" w:lineRule="auto"/>
              <w:ind w:firstLine="420" w:firstLineChars="20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4、渣场选址环境合理性分析</w:t>
            </w:r>
          </w:p>
          <w:p>
            <w:pPr>
              <w:autoSpaceDE w:val="0"/>
              <w:autoSpaceDN w:val="0"/>
              <w:adjustRightInd w:val="0"/>
              <w:snapToGrid w:val="0"/>
              <w:spacing w:line="360" w:lineRule="auto"/>
              <w:ind w:firstLine="420" w:firstLineChars="20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项目枢纽工程、灌区工程开挖料进行按需利用，未利用的则运至弃渣场。</w:t>
            </w:r>
          </w:p>
          <w:p>
            <w:pPr>
              <w:autoSpaceDE w:val="0"/>
              <w:autoSpaceDN w:val="0"/>
              <w:adjustRightInd w:val="0"/>
              <w:snapToGrid w:val="0"/>
              <w:spacing w:line="360" w:lineRule="auto"/>
              <w:ind w:firstLine="420" w:firstLineChars="20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枢纽工程渣场：设置</w:t>
            </w:r>
            <w:r>
              <w:rPr>
                <w:rFonts w:hint="eastAsia" w:cs="Times New Roman"/>
                <w:b w:val="0"/>
                <w:bCs/>
                <w:color w:val="auto"/>
                <w:sz w:val="21"/>
                <w:szCs w:val="21"/>
                <w:highlight w:val="none"/>
                <w:lang w:val="en-US" w:eastAsia="zh-CN"/>
              </w:rPr>
              <w:t>2</w:t>
            </w:r>
            <w:r>
              <w:rPr>
                <w:rFonts w:hint="default" w:ascii="Times New Roman" w:hAnsi="Times New Roman" w:cs="Times New Roman"/>
                <w:b w:val="0"/>
                <w:bCs/>
                <w:color w:val="auto"/>
                <w:sz w:val="21"/>
                <w:szCs w:val="21"/>
                <w:highlight w:val="none"/>
                <w:lang w:val="en-US" w:eastAsia="zh-CN"/>
              </w:rPr>
              <w:t>个渣场，</w:t>
            </w:r>
            <w:r>
              <w:rPr>
                <w:rFonts w:hint="eastAsia" w:cs="Times New Roman"/>
                <w:b w:val="0"/>
                <w:bCs/>
                <w:color w:val="auto"/>
                <w:sz w:val="21"/>
                <w:szCs w:val="21"/>
                <w:highlight w:val="none"/>
                <w:lang w:val="en-US" w:eastAsia="zh-CN"/>
              </w:rPr>
              <w:t>1#</w:t>
            </w:r>
            <w:r>
              <w:rPr>
                <w:rFonts w:hint="default" w:ascii="Times New Roman" w:hAnsi="Times New Roman" w:cs="Times New Roman"/>
                <w:b w:val="0"/>
                <w:bCs/>
                <w:color w:val="auto"/>
                <w:sz w:val="21"/>
                <w:szCs w:val="21"/>
                <w:highlight w:val="none"/>
                <w:lang w:val="en-US" w:eastAsia="zh-CN"/>
              </w:rPr>
              <w:t>渣场位于</w:t>
            </w:r>
            <w:r>
              <w:rPr>
                <w:rFonts w:hint="eastAsia" w:ascii="宋体" w:hAnsi="宋体" w:cs="宋体"/>
                <w:color w:val="auto"/>
                <w:kern w:val="0"/>
                <w:sz w:val="20"/>
                <w:szCs w:val="20"/>
                <w:highlight w:val="none"/>
              </w:rPr>
              <w:t>大坝下游主沟左岸冲沟</w:t>
            </w:r>
            <w:r>
              <w:rPr>
                <w:rFonts w:hint="default" w:ascii="Times New Roman" w:hAnsi="Times New Roman" w:cs="Times New Roman"/>
                <w:b w:val="0"/>
                <w:bCs/>
                <w:color w:val="auto"/>
                <w:sz w:val="21"/>
                <w:szCs w:val="21"/>
                <w:highlight w:val="none"/>
                <w:lang w:val="en-US" w:eastAsia="zh-CN"/>
              </w:rPr>
              <w:t>处，占地面积</w:t>
            </w:r>
            <w:r>
              <w:rPr>
                <w:color w:val="auto"/>
                <w:sz w:val="20"/>
                <w:szCs w:val="20"/>
                <w:highlight w:val="none"/>
              </w:rPr>
              <w:t>24.75</w:t>
            </w:r>
            <w:r>
              <w:rPr>
                <w:rFonts w:hint="eastAsia" w:ascii="宋体" w:hAnsi="宋体"/>
                <w:color w:val="auto"/>
                <w:kern w:val="0"/>
                <w:sz w:val="20"/>
                <w:szCs w:val="20"/>
                <w:highlight w:val="none"/>
              </w:rPr>
              <w:t>亩</w:t>
            </w:r>
            <w:r>
              <w:rPr>
                <w:rFonts w:hint="default" w:ascii="Times New Roman" w:hAnsi="Times New Roman" w:cs="Times New Roman"/>
                <w:b w:val="0"/>
                <w:bCs/>
                <w:color w:val="auto"/>
                <w:sz w:val="21"/>
                <w:szCs w:val="21"/>
                <w:highlight w:val="none"/>
                <w:lang w:val="en-US" w:eastAsia="zh-CN"/>
              </w:rPr>
              <w:t>，占地类型主要为耕地，渣场平均堆高</w:t>
            </w:r>
            <w:r>
              <w:rPr>
                <w:rFonts w:hint="eastAsia" w:cs="Times New Roman"/>
                <w:b w:val="0"/>
                <w:bCs/>
                <w:color w:val="auto"/>
                <w:sz w:val="21"/>
                <w:szCs w:val="21"/>
                <w:highlight w:val="none"/>
                <w:lang w:val="en-US" w:eastAsia="zh-CN"/>
              </w:rPr>
              <w:t>4</w:t>
            </w:r>
            <w:r>
              <w:rPr>
                <w:rFonts w:hint="default" w:ascii="Times New Roman" w:hAnsi="Times New Roman" w:cs="Times New Roman"/>
                <w:b w:val="0"/>
                <w:bCs/>
                <w:color w:val="auto"/>
                <w:sz w:val="21"/>
                <w:szCs w:val="21"/>
                <w:highlight w:val="none"/>
                <w:lang w:val="en-US" w:eastAsia="zh-CN"/>
              </w:rPr>
              <w:t>m，设计堆放大坝开挖弃渣</w:t>
            </w:r>
            <w:r>
              <w:rPr>
                <w:rFonts w:hint="eastAsia" w:cs="Times New Roman"/>
                <w:b w:val="0"/>
                <w:bCs/>
                <w:color w:val="auto"/>
                <w:sz w:val="21"/>
                <w:szCs w:val="21"/>
                <w:highlight w:val="none"/>
                <w:lang w:val="en-US" w:eastAsia="zh-CN"/>
              </w:rPr>
              <w:t>6.6</w:t>
            </w:r>
            <w:r>
              <w:rPr>
                <w:rFonts w:hint="default" w:ascii="Times New Roman" w:hAnsi="Times New Roman" w:cs="Times New Roman"/>
                <w:b w:val="0"/>
                <w:bCs/>
                <w:color w:val="auto"/>
                <w:sz w:val="21"/>
                <w:szCs w:val="21"/>
                <w:highlight w:val="none"/>
                <w:lang w:val="en-US" w:eastAsia="zh-CN"/>
              </w:rPr>
              <w:t>万m</w:t>
            </w:r>
            <w:r>
              <w:rPr>
                <w:rFonts w:hint="default" w:ascii="Times New Roman" w:hAnsi="Times New Roman" w:cs="Times New Roman"/>
                <w:b w:val="0"/>
                <w:bCs/>
                <w:color w:val="auto"/>
                <w:sz w:val="21"/>
                <w:szCs w:val="21"/>
                <w:highlight w:val="none"/>
                <w:vertAlign w:val="superscript"/>
                <w:lang w:val="en-US" w:eastAsia="zh-CN"/>
              </w:rPr>
              <w:t>3</w:t>
            </w:r>
            <w:r>
              <w:rPr>
                <w:rFonts w:hint="default" w:ascii="Times New Roman" w:hAnsi="Times New Roman" w:cs="Times New Roman"/>
                <w:b w:val="0"/>
                <w:bCs/>
                <w:color w:val="auto"/>
                <w:sz w:val="21"/>
                <w:szCs w:val="21"/>
                <w:highlight w:val="none"/>
                <w:lang w:val="en-US" w:eastAsia="zh-CN"/>
              </w:rPr>
              <w:t>（松方）。</w:t>
            </w:r>
            <w:r>
              <w:rPr>
                <w:rFonts w:hint="eastAsia" w:cs="Times New Roman"/>
                <w:b w:val="0"/>
                <w:bCs/>
                <w:color w:val="auto"/>
                <w:sz w:val="21"/>
                <w:szCs w:val="21"/>
                <w:highlight w:val="none"/>
                <w:lang w:val="en-US" w:eastAsia="zh-CN"/>
              </w:rPr>
              <w:t>2#</w:t>
            </w:r>
            <w:r>
              <w:rPr>
                <w:rFonts w:hint="default" w:ascii="Times New Roman" w:hAnsi="Times New Roman" w:cs="Times New Roman"/>
                <w:b w:val="0"/>
                <w:bCs/>
                <w:color w:val="auto"/>
                <w:sz w:val="21"/>
                <w:szCs w:val="21"/>
                <w:highlight w:val="none"/>
                <w:lang w:val="en-US" w:eastAsia="zh-CN"/>
              </w:rPr>
              <w:t>渣场位于补水拦河堰下游500m处，占地面积5.72</w:t>
            </w:r>
            <w:r>
              <w:rPr>
                <w:rFonts w:hint="eastAsia" w:ascii="宋体" w:hAnsi="宋体"/>
                <w:color w:val="auto"/>
                <w:kern w:val="0"/>
                <w:sz w:val="20"/>
                <w:szCs w:val="20"/>
                <w:highlight w:val="none"/>
              </w:rPr>
              <w:t>亩</w:t>
            </w:r>
            <w:r>
              <w:rPr>
                <w:rFonts w:hint="default" w:ascii="Times New Roman" w:hAnsi="Times New Roman" w:cs="Times New Roman"/>
                <w:b w:val="0"/>
                <w:bCs/>
                <w:color w:val="auto"/>
                <w:sz w:val="21"/>
                <w:szCs w:val="21"/>
                <w:highlight w:val="none"/>
                <w:lang w:val="en-US" w:eastAsia="zh-CN"/>
              </w:rPr>
              <w:t>，占地类型主要为耕地，渣场平均堆高</w:t>
            </w:r>
            <w:r>
              <w:rPr>
                <w:rFonts w:hint="eastAsia" w:cs="Times New Roman"/>
                <w:b w:val="0"/>
                <w:bCs/>
                <w:color w:val="auto"/>
                <w:sz w:val="21"/>
                <w:szCs w:val="21"/>
                <w:highlight w:val="none"/>
                <w:lang w:val="en-US" w:eastAsia="zh-CN"/>
              </w:rPr>
              <w:t>1.6</w:t>
            </w:r>
            <w:r>
              <w:rPr>
                <w:rFonts w:hint="default" w:ascii="Times New Roman" w:hAnsi="Times New Roman" w:cs="Times New Roman"/>
                <w:b w:val="0"/>
                <w:bCs/>
                <w:color w:val="auto"/>
                <w:sz w:val="21"/>
                <w:szCs w:val="21"/>
                <w:highlight w:val="none"/>
                <w:lang w:val="en-US" w:eastAsia="zh-CN"/>
              </w:rPr>
              <w:t>m，设计堆放补水拦河堰及补水渠弃渣</w:t>
            </w:r>
            <w:r>
              <w:rPr>
                <w:rFonts w:hint="eastAsia" w:cs="Times New Roman"/>
                <w:b w:val="0"/>
                <w:bCs/>
                <w:color w:val="auto"/>
                <w:sz w:val="21"/>
                <w:szCs w:val="21"/>
                <w:highlight w:val="none"/>
                <w:lang w:val="en-US" w:eastAsia="zh-CN"/>
              </w:rPr>
              <w:t>0.5</w:t>
            </w:r>
            <w:r>
              <w:rPr>
                <w:rFonts w:hint="default" w:ascii="Times New Roman" w:hAnsi="Times New Roman" w:cs="Times New Roman"/>
                <w:b w:val="0"/>
                <w:bCs/>
                <w:color w:val="auto"/>
                <w:sz w:val="21"/>
                <w:szCs w:val="21"/>
                <w:highlight w:val="none"/>
                <w:lang w:val="en-US" w:eastAsia="zh-CN"/>
              </w:rPr>
              <w:t>万m</w:t>
            </w:r>
            <w:r>
              <w:rPr>
                <w:rFonts w:hint="default" w:ascii="Times New Roman" w:hAnsi="Times New Roman" w:cs="Times New Roman"/>
                <w:b w:val="0"/>
                <w:bCs/>
                <w:color w:val="auto"/>
                <w:sz w:val="21"/>
                <w:szCs w:val="21"/>
                <w:highlight w:val="none"/>
                <w:vertAlign w:val="superscript"/>
                <w:lang w:val="en-US" w:eastAsia="zh-CN"/>
              </w:rPr>
              <w:t>3</w:t>
            </w:r>
            <w:r>
              <w:rPr>
                <w:rFonts w:hint="default" w:ascii="Times New Roman" w:hAnsi="Times New Roman" w:cs="Times New Roman"/>
                <w:b w:val="0"/>
                <w:bCs/>
                <w:color w:val="auto"/>
                <w:sz w:val="21"/>
                <w:szCs w:val="21"/>
                <w:highlight w:val="none"/>
                <w:lang w:val="en-US" w:eastAsia="zh-CN"/>
              </w:rPr>
              <w:t>（松方）。</w:t>
            </w:r>
          </w:p>
          <w:p>
            <w:pPr>
              <w:autoSpaceDE w:val="0"/>
              <w:autoSpaceDN w:val="0"/>
              <w:adjustRightInd w:val="0"/>
              <w:snapToGrid w:val="0"/>
              <w:spacing w:line="360" w:lineRule="auto"/>
              <w:ind w:firstLine="420" w:firstLineChars="20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灌区工程渣场：拟在</w:t>
            </w:r>
            <w:r>
              <w:rPr>
                <w:rFonts w:hint="eastAsia"/>
                <w:color w:val="auto"/>
                <w:highlight w:val="none"/>
              </w:rPr>
              <w:t>瑶子石隧洞出口附近</w:t>
            </w:r>
            <w:r>
              <w:rPr>
                <w:rFonts w:hint="default" w:ascii="Times New Roman" w:hAnsi="Times New Roman" w:cs="Times New Roman"/>
                <w:b w:val="0"/>
                <w:bCs/>
                <w:color w:val="auto"/>
                <w:sz w:val="21"/>
                <w:szCs w:val="21"/>
                <w:highlight w:val="none"/>
                <w:lang w:val="en-US" w:eastAsia="zh-CN"/>
              </w:rPr>
              <w:t>设置1座渣场，占地类型主要为耕地，平均堆高</w:t>
            </w:r>
            <w:r>
              <w:rPr>
                <w:rFonts w:hint="eastAsia" w:cs="Times New Roman"/>
                <w:b w:val="0"/>
                <w:bCs/>
                <w:color w:val="auto"/>
                <w:sz w:val="21"/>
                <w:szCs w:val="21"/>
                <w:highlight w:val="none"/>
                <w:lang w:val="en-US" w:eastAsia="zh-CN"/>
              </w:rPr>
              <w:t>3</w:t>
            </w:r>
            <w:r>
              <w:rPr>
                <w:rFonts w:hint="default" w:ascii="Times New Roman" w:hAnsi="Times New Roman" w:cs="Times New Roman"/>
                <w:b w:val="0"/>
                <w:bCs/>
                <w:color w:val="auto"/>
                <w:sz w:val="21"/>
                <w:szCs w:val="21"/>
                <w:highlight w:val="none"/>
                <w:lang w:val="en-US" w:eastAsia="zh-CN"/>
              </w:rPr>
              <w:t>m，设计用于堆放</w:t>
            </w:r>
            <w:r>
              <w:rPr>
                <w:color w:val="auto"/>
                <w:highlight w:val="none"/>
              </w:rPr>
              <w:t>隧洞段弃渣</w:t>
            </w:r>
            <w:r>
              <w:rPr>
                <w:rFonts w:hint="eastAsia"/>
                <w:color w:val="auto"/>
                <w:highlight w:val="none"/>
              </w:rPr>
              <w:t>0.41万</w:t>
            </w:r>
            <w:r>
              <w:rPr>
                <w:color w:val="auto"/>
                <w:highlight w:val="none"/>
              </w:rPr>
              <w:t>m</w:t>
            </w:r>
            <w:r>
              <w:rPr>
                <w:color w:val="auto"/>
                <w:highlight w:val="none"/>
                <w:vertAlign w:val="superscript"/>
              </w:rPr>
              <w:t>3</w:t>
            </w:r>
            <w:r>
              <w:rPr>
                <w:color w:val="auto"/>
                <w:highlight w:val="none"/>
              </w:rPr>
              <w:t>（松方）</w:t>
            </w:r>
            <w:r>
              <w:rPr>
                <w:rFonts w:hint="default" w:ascii="Times New Roman" w:hAnsi="Times New Roman" w:cs="Times New Roman"/>
                <w:b w:val="0"/>
                <w:bCs/>
                <w:color w:val="auto"/>
                <w:sz w:val="21"/>
                <w:szCs w:val="21"/>
                <w:highlight w:val="none"/>
                <w:lang w:val="en-US" w:eastAsia="zh-CN"/>
              </w:rPr>
              <w:t>。</w:t>
            </w:r>
          </w:p>
          <w:p>
            <w:pPr>
              <w:autoSpaceDE w:val="0"/>
              <w:autoSpaceDN w:val="0"/>
              <w:adjustRightInd w:val="0"/>
              <w:snapToGrid w:val="0"/>
              <w:spacing w:line="360" w:lineRule="auto"/>
              <w:ind w:firstLine="420" w:firstLineChars="20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弃渣场设置条件较好，占地范围内不涉及自然保护区、风景名胜区等环境敏感区域，弃渣场选址周边无公共设施、工业企业、居民点等敏感点，也没有重点保护和珍稀濒危动植物分布。从容量来看，弃渣场堆渣满足工程永久弃渣需要。本工程弃渣场的</w:t>
            </w:r>
            <w:r>
              <w:rPr>
                <w:rFonts w:hint="eastAsia" w:cs="Times New Roman"/>
                <w:b w:val="0"/>
                <w:bCs/>
                <w:color w:val="auto"/>
                <w:sz w:val="21"/>
                <w:szCs w:val="21"/>
                <w:highlight w:val="none"/>
                <w:lang w:val="en-US" w:eastAsia="zh-CN"/>
              </w:rPr>
              <w:t>选址</w:t>
            </w:r>
            <w:r>
              <w:rPr>
                <w:rFonts w:hint="default" w:ascii="Times New Roman" w:hAnsi="Times New Roman" w:cs="Times New Roman"/>
                <w:b w:val="0"/>
                <w:bCs/>
                <w:color w:val="auto"/>
                <w:sz w:val="21"/>
                <w:szCs w:val="21"/>
                <w:highlight w:val="none"/>
                <w:lang w:val="en-US" w:eastAsia="zh-CN"/>
              </w:rPr>
              <w:t>有利于水土保持和生态环境保护，符合弃渣场选址原则，选址环境可行。施工过程中，注意对渣场周边植被及植物的保护，并做好排水设施、拦挡设施，施工期结束后注意植被的恢复。此外，渣场均需加强拦挡措施，避免渣场堆渣不当，造成水土流失。</w:t>
            </w:r>
          </w:p>
          <w:p>
            <w:pPr>
              <w:autoSpaceDE w:val="0"/>
              <w:autoSpaceDN w:val="0"/>
              <w:adjustRightInd w:val="0"/>
              <w:snapToGrid w:val="0"/>
              <w:spacing w:line="360" w:lineRule="auto"/>
              <w:rPr>
                <w:rFonts w:hint="default" w:ascii="Times New Roman" w:hAnsi="Times New Roman" w:eastAsia="宋体" w:cs="Times New Roman"/>
                <w:b w:val="0"/>
                <w:bCs/>
                <w:color w:val="auto"/>
                <w:sz w:val="21"/>
                <w:szCs w:val="21"/>
                <w:highlight w:val="none"/>
                <w:lang w:eastAsia="zh-CN"/>
              </w:rPr>
            </w:pPr>
          </w:p>
        </w:tc>
      </w:tr>
    </w:tbl>
    <w:p>
      <w:pPr>
        <w:pStyle w:val="26"/>
        <w:jc w:val="center"/>
        <w:rPr>
          <w:rFonts w:hint="default" w:ascii="Times New Roman" w:hAnsi="Times New Roman" w:eastAsia="黑体" w:cs="Times New Roman"/>
          <w:snapToGrid w:val="0"/>
          <w:color w:val="auto"/>
          <w:sz w:val="36"/>
          <w:szCs w:val="36"/>
          <w:highlight w:val="none"/>
        </w:rPr>
        <w:sectPr>
          <w:pgSz w:w="11906" w:h="16838"/>
          <w:pgMar w:top="1440" w:right="1800" w:bottom="1440" w:left="1800" w:header="851" w:footer="1077" w:gutter="0"/>
          <w:cols w:space="425" w:num="1"/>
          <w:docGrid w:linePitch="312" w:charSpace="0"/>
        </w:sectPr>
      </w:pPr>
    </w:p>
    <w:p>
      <w:pPr>
        <w:pStyle w:val="26"/>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五、主要生态环境保护措施</w:t>
      </w:r>
    </w:p>
    <w:tbl>
      <w:tblPr>
        <w:tblStyle w:val="29"/>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4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49" w:hRule="atLeast"/>
          <w:jc w:val="center"/>
        </w:trPr>
        <w:tc>
          <w:tcPr>
            <w:tcW w:w="753" w:type="dxa"/>
            <w:tcMar>
              <w:left w:w="28" w:type="dxa"/>
              <w:right w:w="28" w:type="dxa"/>
            </w:tcMar>
            <w:vAlign w:val="center"/>
          </w:tcPr>
          <w:p>
            <w:pPr>
              <w:adjustRightInd w:val="0"/>
              <w:snapToGrid w:val="0"/>
              <w:spacing w:line="360" w:lineRule="auto"/>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pacing w:val="10"/>
                <w:sz w:val="21"/>
                <w:szCs w:val="21"/>
                <w:highlight w:val="none"/>
              </w:rPr>
              <w:t>施工期生态环境保护措施</w:t>
            </w:r>
          </w:p>
        </w:tc>
        <w:tc>
          <w:tcPr>
            <w:tcW w:w="8457" w:type="dxa"/>
            <w:vAlign w:val="top"/>
          </w:tcPr>
          <w:p>
            <w:pPr>
              <w:adjustRightInd w:val="0"/>
              <w:snapToGrid w:val="0"/>
              <w:spacing w:line="360" w:lineRule="auto"/>
              <w:rPr>
                <w:rFonts w:hint="default" w:ascii="Times New Roman" w:hAnsi="Times New Roman" w:cs="Times New Roman"/>
                <w:b/>
                <w:bCs/>
                <w:color w:val="auto"/>
                <w:kern w:val="10"/>
                <w:sz w:val="21"/>
                <w:szCs w:val="21"/>
                <w:highlight w:val="none"/>
              </w:rPr>
            </w:pPr>
            <w:r>
              <w:rPr>
                <w:rFonts w:hint="default" w:ascii="Times New Roman" w:hAnsi="Times New Roman" w:cs="Times New Roman"/>
                <w:b/>
                <w:bCs/>
                <w:color w:val="auto"/>
                <w:kern w:val="10"/>
                <w:sz w:val="21"/>
                <w:szCs w:val="21"/>
                <w:highlight w:val="none"/>
                <w:lang w:val="en-US" w:eastAsia="zh-CN"/>
              </w:rPr>
              <w:t>5.1</w:t>
            </w:r>
            <w:r>
              <w:rPr>
                <w:rFonts w:hint="default" w:ascii="Times New Roman" w:hAnsi="Times New Roman" w:cs="Times New Roman"/>
                <w:b/>
                <w:bCs/>
                <w:color w:val="auto"/>
                <w:kern w:val="10"/>
                <w:sz w:val="21"/>
                <w:szCs w:val="21"/>
                <w:highlight w:val="none"/>
              </w:rPr>
              <w:t>施工期生态环境保护措施</w:t>
            </w:r>
          </w:p>
          <w:p>
            <w:pPr>
              <w:adjustRightInd w:val="0"/>
              <w:snapToGrid w:val="0"/>
              <w:spacing w:line="360" w:lineRule="auto"/>
              <w:ind w:firstLine="422" w:firstLineChars="200"/>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lang w:eastAsia="zh-CN"/>
              </w:rPr>
              <w:t>.1 陆生植物和植被保护措施</w:t>
            </w:r>
          </w:p>
          <w:p>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1、避让措施</w:t>
            </w:r>
          </w:p>
          <w:p>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优化工程设计，枢纽工程区尽量集中布置，减少施工活动范围，减轻人为干扰及施工活动等对植物的影响；优化施工道路线路，尽量绕避成片林地，减缓“林窗效应”。</w:t>
            </w:r>
          </w:p>
          <w:p>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优化工程布置，尽量选择荒地、裸地等未利用地；施工时，施工活动要保证在征地范围内进行，施工便道及临时用地要采取“永临结合”的方式，尽量缩小范围，减少对林地的占用。利用村镇闲空房屋、场地，不建或少建施工营地，或施工营地少占或不占林地；严格控制施工作业带面积，不得超过作业标准规定，减少土壤扰动和地表植被破坏，减少裸地和土方暴露面积</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减轻施工活动等的影响。</w:t>
            </w:r>
          </w:p>
          <w:p>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）优化施工时序，尽量避开雨季，尽可能避免水土流失和山体滑坡，从而缓解其对植物的影响；同时，尽可能选择秋冬季节施工，避免植物生长及繁殖期。</w:t>
            </w:r>
          </w:p>
          <w:p>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、减缓措施</w:t>
            </w:r>
          </w:p>
          <w:p>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项目施工前应对工程占用区域可利用的表土进行剥离，单独堆存，加强表土堆存防护及管理，确保有效回用。施工过程中，采取绿色施工工艺，减少地表开挖，合理设计高陡边坡支挡、加固措施，减少对脆弱生态的扰动。</w:t>
            </w:r>
          </w:p>
          <w:p>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严禁越界施工。施工前，在库区、渣场等各主要施工区及植被较好的地段设置生态保护警示牌，标明工程施工区范围，禁止越界施工或砍伐林木，尽量减少占地造成的植被损失。</w:t>
            </w:r>
          </w:p>
          <w:p>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规范施工活动，严禁污染物乱排乱倒。施工期，加强宣传教育，加强施工监理工作。施工产生的固体废弃物和液体废弃物要严格排放到指定地点，对于造成的污染及时进行治理，防止固体废物及污水对评价区的植被造成污染。</w:t>
            </w:r>
          </w:p>
          <w:p>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修复和补偿措施</w:t>
            </w:r>
          </w:p>
          <w:p>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耕地补偿措施</w:t>
            </w:r>
          </w:p>
          <w:p>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根据</w:t>
            </w:r>
            <w:r>
              <w:rPr>
                <w:rFonts w:hint="eastAsia" w:cs="Times New Roman"/>
                <w:color w:val="auto"/>
                <w:sz w:val="21"/>
                <w:szCs w:val="21"/>
                <w:highlight w:val="none"/>
                <w:lang w:eastAsia="zh-CN"/>
              </w:rPr>
              <w:t>《中华人民共和国土地管理法》</w:t>
            </w:r>
            <w:r>
              <w:rPr>
                <w:rFonts w:hint="default" w:ascii="Times New Roman" w:hAnsi="Times New Roman" w:eastAsia="宋体" w:cs="Times New Roman"/>
                <w:color w:val="auto"/>
                <w:sz w:val="21"/>
                <w:szCs w:val="21"/>
                <w:highlight w:val="none"/>
                <w:lang w:eastAsia="zh-CN"/>
              </w:rPr>
              <w:t>，我国实行占用耕地补偿制度。非农业建设经批准占用耕地的，按照“占多少，垦多少”的原则，由占用耕地的单位负责开垦与所占用耕地的数量和质量相当的耕地；没有条件开垦或者开垦的耕地不符合要求的，应当按照有关规定缴纳耕地开垦费，专款用于开垦新的耕地。</w:t>
            </w:r>
            <w:r>
              <w:rPr>
                <w:rFonts w:hint="default" w:ascii="Times New Roman" w:hAnsi="Times New Roman"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lang w:eastAsia="zh-CN"/>
              </w:rPr>
              <w:t>工程占用的耕地，不涉及基本农田，采取直接缴纳耕地开垦费的方式同面积补偿，由当地政府有关部门按开垦计划实施耕地占补平衡。</w:t>
            </w:r>
          </w:p>
          <w:p>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临时用地复垦措施</w:t>
            </w:r>
          </w:p>
          <w:p>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根据水库临时用地的实际情况，各项技术指标参照《土地开发整理项目规划设计规范》（TD/T1012-2000）和相应的行业标准确定恢复措施。对于原为耕地的临时用地，在工程占用前，先将工程区所占用耕地的表层耕植土进行剥离，用推土机推至合适的地点进行堆放。待工程施工完成后，需先进行场地平整，再设置必要的灌、排水渠沟，以利于灌溉、排水，然后将原表层耕植土覆盖在其上部，需覆土30～50cm。对于原为林地的临时用地，在工程占用前，先将工程区所占用林地的表层土进行剥离，用推土机推至合适的地点进行堆放。待工程施工完成后，需先进行场地平整，然后将原表层土覆盖在其上部，需覆土30～40cm，并采用种植经济林或用材林幼苗的方式进行土地复垦。</w:t>
            </w:r>
          </w:p>
          <w:p>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临时占用的耕地，在施工结束后，对耕地进行复垦，恢复土地生产条件后，交还给原土地使用权单位或个人。</w:t>
            </w:r>
          </w:p>
          <w:p>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林地补偿措施</w:t>
            </w:r>
          </w:p>
          <w:p>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施工期在林地进行施工地面清除作业时，要求施工队严格按计划进行地面植被清除，不得超宽超计划砍伐；工作人员及施工机械同时也应避免进入两侧林地，对其造成影响。对于工程建设和水库淹没造成的林地，建设单位应按《占用征用林地审核审批管理办法》向林业主管报备，且须根据《森林植被恢复费征收使用管理暂行办法》的有关规定缴纳森林植被恢复费，林地补偿费用纳入建设投资中。</w:t>
            </w:r>
          </w:p>
          <w:p>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施工迹地恢复措施</w:t>
            </w:r>
          </w:p>
          <w:p>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对施工后期的枢纽工程、输水工程、渣场、临时道路和施工生产生活区进行植被恢复工程，措施为采取植树种草恢复植被，树种选用</w:t>
            </w:r>
            <w:r>
              <w:rPr>
                <w:rFonts w:hint="eastAsia"/>
                <w:color w:val="auto"/>
                <w:highlight w:val="none"/>
              </w:rPr>
              <w:t>紫穗槐</w:t>
            </w:r>
            <w:r>
              <w:rPr>
                <w:rFonts w:hint="default" w:ascii="Times New Roman" w:hAnsi="Times New Roman" w:eastAsia="宋体" w:cs="Times New Roman"/>
                <w:color w:val="auto"/>
                <w:sz w:val="21"/>
                <w:szCs w:val="21"/>
                <w:highlight w:val="none"/>
                <w:lang w:eastAsia="zh-CN"/>
              </w:rPr>
              <w:t>，胸径选用</w:t>
            </w:r>
            <w:r>
              <w:rPr>
                <w:rFonts w:hint="eastAsia"/>
                <w:color w:val="auto"/>
                <w:highlight w:val="none"/>
              </w:rPr>
              <w:t>10cm</w:t>
            </w:r>
            <w:r>
              <w:rPr>
                <w:rFonts w:hint="default" w:ascii="Times New Roman" w:hAnsi="Times New Roman" w:eastAsia="宋体" w:cs="Times New Roman"/>
                <w:color w:val="auto"/>
                <w:sz w:val="21"/>
                <w:szCs w:val="21"/>
                <w:highlight w:val="none"/>
                <w:lang w:eastAsia="zh-CN"/>
              </w:rPr>
              <w:t>；草种选用</w:t>
            </w:r>
            <w:r>
              <w:rPr>
                <w:rFonts w:hint="eastAsia"/>
                <w:color w:val="auto"/>
                <w:highlight w:val="none"/>
              </w:rPr>
              <w:t>黑麦草和披肩草按照1:1的比例进行混播，播种密度为80kg/hm</w:t>
            </w:r>
            <w:r>
              <w:rPr>
                <w:rFonts w:hint="eastAsia"/>
                <w:color w:val="auto"/>
                <w:highlight w:val="none"/>
                <w:vertAlign w:val="superscript"/>
              </w:rPr>
              <w:t>2</w:t>
            </w:r>
            <w:r>
              <w:rPr>
                <w:rFonts w:hint="default" w:ascii="Times New Roman" w:hAnsi="Times New Roman" w:eastAsia="宋体" w:cs="Times New Roman"/>
                <w:color w:val="auto"/>
                <w:sz w:val="21"/>
                <w:szCs w:val="21"/>
                <w:highlight w:val="none"/>
                <w:lang w:eastAsia="zh-CN"/>
              </w:rPr>
              <w:t>。</w:t>
            </w:r>
          </w:p>
          <w:p>
            <w:pPr>
              <w:adjustRightInd w:val="0"/>
              <w:snapToGrid w:val="0"/>
              <w:spacing w:line="360" w:lineRule="auto"/>
              <w:ind w:firstLine="422" w:firstLineChars="200"/>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lang w:val="en-US" w:eastAsia="zh-CN"/>
              </w:rPr>
              <w:t xml:space="preserve">2 </w:t>
            </w:r>
            <w:r>
              <w:rPr>
                <w:rFonts w:hint="default" w:ascii="Times New Roman" w:hAnsi="Times New Roman" w:eastAsia="宋体" w:cs="Times New Roman"/>
                <w:b/>
                <w:bCs/>
                <w:color w:val="auto"/>
                <w:sz w:val="21"/>
                <w:szCs w:val="21"/>
                <w:highlight w:val="none"/>
                <w:lang w:eastAsia="zh-CN"/>
              </w:rPr>
              <w:t>陆生</w:t>
            </w:r>
            <w:r>
              <w:rPr>
                <w:rFonts w:hint="default" w:ascii="Times New Roman" w:hAnsi="Times New Roman" w:cs="Times New Roman"/>
                <w:b/>
                <w:bCs/>
                <w:color w:val="auto"/>
                <w:sz w:val="21"/>
                <w:szCs w:val="21"/>
                <w:highlight w:val="none"/>
                <w:lang w:val="en-US" w:eastAsia="zh-CN"/>
              </w:rPr>
              <w:t>动物</w:t>
            </w:r>
            <w:r>
              <w:rPr>
                <w:rFonts w:hint="default" w:ascii="Times New Roman" w:hAnsi="Times New Roman" w:eastAsia="宋体" w:cs="Times New Roman"/>
                <w:b/>
                <w:bCs/>
                <w:color w:val="auto"/>
                <w:sz w:val="21"/>
                <w:szCs w:val="21"/>
                <w:highlight w:val="none"/>
                <w:lang w:eastAsia="zh-CN"/>
              </w:rPr>
              <w:t>保护措施</w:t>
            </w:r>
          </w:p>
          <w:p>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1、避让措施</w:t>
            </w:r>
          </w:p>
          <w:p>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采用封闭式施工方式，施工活动不得超越征地范围。尽量减少对陆生脊椎动物及其栖息地的破坏，施工中尽量避免破坏野生动物集中栖息的洞穴、窝巢等，对项目影响范围内的各类生物群落予以保护。</w:t>
            </w:r>
          </w:p>
          <w:p>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（2）施工废水经处理后达标排放，避免污染两栖爬行类、涉禽以及傍水型鸟类的生境，以减少对小</w:t>
            </w:r>
            <w:r>
              <w:rPr>
                <w:rFonts w:hint="default" w:ascii="Times New Roman" w:hAnsi="Times New Roman" w:eastAsia="宋体" w:cs="Times New Roman"/>
                <w:b w:val="0"/>
                <w:bCs w:val="0"/>
                <w:color w:val="auto"/>
                <w:sz w:val="21"/>
                <w:szCs w:val="21"/>
                <w:highlight w:val="none"/>
                <w:shd w:val="clear" w:color="auto" w:fill="auto"/>
                <w:lang w:val="en-US" w:eastAsia="zh-CN"/>
              </w:rPr>
              <w:t>麻雀</w:t>
            </w:r>
            <w:r>
              <w:rPr>
                <w:rFonts w:hint="default" w:ascii="Times New Roman" w:hAnsi="Times New Roman" w:eastAsia="宋体" w:cs="Times New Roman"/>
                <w:color w:val="auto"/>
                <w:sz w:val="21"/>
                <w:szCs w:val="21"/>
                <w:highlight w:val="none"/>
                <w:lang w:eastAsia="zh-CN"/>
              </w:rPr>
              <w:t>等物种生境的影响；建筑物及其他材料堆放好，建议采取临时防风、防雨设施；对施工运输车辆应采取遮挡措施，尤其是运输水泥等材料时，避免废水、废渣及废气对周围动物生境的破坏。</w:t>
            </w:r>
          </w:p>
          <w:p>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eastAsia="zh-CN"/>
              </w:rPr>
              <w:t>）爆破活动要避开动物活动的高峰期。野生鸟类和兽类大多是晨昏或夜间觅食，正午是鸟类休息的时间。为了减少工程施工爆破噪声对野生动物的惊扰，应做好爆破方式、数量、时间的计划，并力求避免在晨昏和正午开山施炮，并尽量避开春季等动物主要繁殖季节。</w:t>
            </w:r>
          </w:p>
          <w:p>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2、减缓措施</w:t>
            </w:r>
          </w:p>
          <w:p>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两栖类和爬行类保护措施</w:t>
            </w:r>
          </w:p>
          <w:p>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减少夜间施工：施工期应尽量减少夜间作业，特别是超强的流动噪声源（如大型载重卡车），以便两栖类和爬行类动物通过调节活动习惯，逐步适应。</w:t>
            </w:r>
          </w:p>
          <w:p>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鸟类保护措施</w:t>
            </w:r>
          </w:p>
          <w:p>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根据该区鸟类繁殖的特点，它们多营巢于山地林缘或草丛上，这些鸟类多数为本地鸟。因此，施工期间，严格保护原有的针阔叶林、灌草丛等，这样使栖息于此的鸟类仍有食源补充，避免大部分迁走。</w:t>
            </w:r>
          </w:p>
          <w:p>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严禁在项目区及周边猎鸟、捕鸟、毒鸟，积极开展“爱鸟护鸟”的宣传活动，使得人类与鸟类更好和谐共处。</w:t>
            </w:r>
          </w:p>
          <w:p>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兽类保护措施</w:t>
            </w:r>
          </w:p>
          <w:p>
            <w:pPr>
              <w:adjustRightInd w:val="0"/>
              <w:snapToGrid w:val="0"/>
              <w:spacing w:line="360" w:lineRule="auto"/>
              <w:ind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严禁捕杀野生动物：在施工期施工活动产生的噪声，将使施工区以及毗邻地区的动物迁徙至邻近地区，要严禁捕杀动物，对附近村民要大力宣传，</w:t>
            </w:r>
            <w:r>
              <w:rPr>
                <w:rFonts w:hint="eastAsia" w:cs="Times New Roman"/>
                <w:color w:val="auto"/>
                <w:sz w:val="21"/>
                <w:szCs w:val="21"/>
                <w:highlight w:val="none"/>
                <w:lang w:eastAsia="zh-CN"/>
              </w:rPr>
              <w:t>增强</w:t>
            </w:r>
            <w:r>
              <w:rPr>
                <w:rFonts w:hint="default" w:ascii="Times New Roman" w:hAnsi="Times New Roman" w:eastAsia="宋体" w:cs="Times New Roman"/>
                <w:color w:val="auto"/>
                <w:sz w:val="21"/>
                <w:szCs w:val="21"/>
                <w:highlight w:val="none"/>
                <w:lang w:eastAsia="zh-CN"/>
              </w:rPr>
              <w:t>环保意识，并注意运用法律和经济手段加以保护。</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3、恢复和补偿措施</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恢复动物生境：生物群落的完整性是维持生态系统和食物网稳定性的重要因素。尽量减少对陆生脊椎动物、植物群落的破坏，以免影响动物栖息地，并对工程实施区域内的各类生物群落予以保护，并及时采取植被恢复措施。</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2）防治、防疫工作：部分啮齿目鼠类和食虫类是自然疫源性疾病的传播者。施工活动干扰和水库蓄水将使它们将向影响区外转移，其密度将有所增加，在这种情况下，既要维护自然生态系统的食物链关系，又要重视对工程区域外的人、畜和施工人员毒蛇咬伤防治和防疫工作。</w:t>
            </w:r>
          </w:p>
          <w:p>
            <w:pPr>
              <w:adjustRightInd w:val="0"/>
              <w:snapToGrid w:val="0"/>
              <w:spacing w:line="360" w:lineRule="auto"/>
              <w:ind w:firstLine="422" w:firstLineChars="200"/>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lang w:val="en-US" w:eastAsia="zh-CN"/>
              </w:rPr>
              <w:t>3 水生生物保护措施</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施工营地生活垃圾不得随意排入附近水体，生活污水全线禁排。生活垃圾集中堆放，由施工车辆送指定处置场。在进、出口和支洞施工过程中产生的废渣运至规划的弃渣场堆放地点堆放，严禁向河中倾倒。同时施工方必须采取严格的管理和工程措施，施工废水严禁直接排入施工工场附近水体中；建议项目方应通过合同约束机制和施工环境监理制度来控制固废和油料的排放，严禁油料直接排入水体中。</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2）施工用料的堆放应远离水源和其他水体，选择暴雨径流难以冲刷的地方。部分施工用料若堆放在河流附近，应在材料堆放场四周挖明沟，沉沙井、设挡墙等，防止被暴雨径流进入水体，影响水质，各类材料应备有防雨遮雨设施。工程建设中的</w:t>
            </w:r>
            <w:r>
              <w:rPr>
                <w:rFonts w:hint="eastAsia" w:cs="Times New Roman"/>
                <w:b w:val="0"/>
                <w:bCs/>
                <w:color w:val="auto"/>
                <w:sz w:val="21"/>
                <w:szCs w:val="21"/>
                <w:highlight w:val="none"/>
                <w:lang w:val="en-US" w:eastAsia="zh-CN"/>
              </w:rPr>
              <w:t>弃渣</w:t>
            </w:r>
            <w:r>
              <w:rPr>
                <w:rFonts w:hint="default" w:ascii="Times New Roman" w:hAnsi="Times New Roman" w:cs="Times New Roman"/>
                <w:b w:val="0"/>
                <w:bCs/>
                <w:color w:val="auto"/>
                <w:sz w:val="21"/>
                <w:szCs w:val="21"/>
                <w:highlight w:val="none"/>
                <w:lang w:val="en-US" w:eastAsia="zh-CN"/>
              </w:rPr>
              <w:t>，要按照环保要求，对弃渣场进行防护。</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（3）合理组织施工程序和施工机械，严格按照道路施工规范进行排水设计和施工，对施工人员</w:t>
            </w:r>
            <w:r>
              <w:rPr>
                <w:rFonts w:hint="eastAsia" w:cs="Times New Roman"/>
                <w:b w:val="0"/>
                <w:bCs/>
                <w:color w:val="auto"/>
                <w:sz w:val="21"/>
                <w:szCs w:val="21"/>
                <w:highlight w:val="none"/>
                <w:lang w:val="en-US" w:eastAsia="zh-CN"/>
              </w:rPr>
              <w:t>做</w:t>
            </w:r>
            <w:r>
              <w:rPr>
                <w:rFonts w:hint="default" w:ascii="Times New Roman" w:hAnsi="Times New Roman" w:cs="Times New Roman"/>
                <w:b w:val="0"/>
                <w:bCs/>
                <w:color w:val="auto"/>
                <w:sz w:val="21"/>
                <w:szCs w:val="21"/>
                <w:highlight w:val="none"/>
                <w:lang w:val="en-US" w:eastAsia="zh-CN"/>
              </w:rPr>
              <w:t>必要的生态环境保护宣传教育。</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（4）做好工程完工后生态环境的恢复工作，以尽量减少植被破坏、水土流失对水生生物的影响。</w:t>
            </w:r>
          </w:p>
          <w:p>
            <w:pPr>
              <w:adjustRightInd w:val="0"/>
              <w:snapToGrid w:val="0"/>
              <w:spacing w:line="360" w:lineRule="auto"/>
              <w:ind w:firstLine="422" w:firstLineChars="200"/>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lang w:val="en-US" w:eastAsia="zh-CN"/>
              </w:rPr>
              <w:t>4</w:t>
            </w:r>
            <w:r>
              <w:rPr>
                <w:rFonts w:hint="default" w:ascii="Times New Roman" w:hAnsi="Times New Roman" w:cs="Times New Roman"/>
                <w:b/>
                <w:bCs/>
                <w:color w:val="auto"/>
                <w:sz w:val="21"/>
                <w:szCs w:val="21"/>
                <w:highlight w:val="none"/>
                <w:lang w:val="en-US" w:eastAsia="zh-CN"/>
              </w:rPr>
              <w:t xml:space="preserve"> 渣场</w:t>
            </w:r>
            <w:r>
              <w:rPr>
                <w:rFonts w:hint="eastAsia" w:cs="Times New Roman"/>
                <w:b/>
                <w:bCs/>
                <w:color w:val="auto"/>
                <w:sz w:val="21"/>
                <w:szCs w:val="21"/>
                <w:highlight w:val="none"/>
                <w:lang w:val="en-US" w:eastAsia="zh-CN"/>
              </w:rPr>
              <w:t>生态</w:t>
            </w:r>
            <w:r>
              <w:rPr>
                <w:rFonts w:hint="default" w:ascii="Times New Roman" w:hAnsi="Times New Roman" w:cs="Times New Roman"/>
                <w:b/>
                <w:bCs/>
                <w:color w:val="auto"/>
                <w:sz w:val="21"/>
                <w:szCs w:val="21"/>
                <w:highlight w:val="none"/>
                <w:lang w:val="en-US" w:eastAsia="zh-CN"/>
              </w:rPr>
              <w:t>措施</w:t>
            </w:r>
          </w:p>
          <w:p>
            <w:pPr>
              <w:pStyle w:val="99"/>
              <w:snapToGrid/>
              <w:spacing w:line="360" w:lineRule="auto"/>
              <w:jc w:val="both"/>
              <w:rPr>
                <w:color w:val="auto"/>
                <w:sz w:val="21"/>
                <w:szCs w:val="21"/>
              </w:rPr>
            </w:pPr>
            <w:r>
              <w:rPr>
                <w:rFonts w:hint="eastAsia"/>
                <w:color w:val="auto"/>
                <w:sz w:val="21"/>
                <w:szCs w:val="21"/>
              </w:rPr>
              <w:t>（</w:t>
            </w:r>
            <w:r>
              <w:rPr>
                <w:color w:val="auto"/>
                <w:sz w:val="21"/>
                <w:szCs w:val="21"/>
              </w:rPr>
              <w:t>1</w:t>
            </w:r>
            <w:r>
              <w:rPr>
                <w:rFonts w:hint="eastAsia"/>
                <w:color w:val="auto"/>
                <w:sz w:val="21"/>
                <w:szCs w:val="21"/>
              </w:rPr>
              <w:t>）工程措施</w:t>
            </w:r>
          </w:p>
          <w:p>
            <w:pPr>
              <w:snapToGrid/>
              <w:spacing w:line="360" w:lineRule="auto"/>
              <w:ind w:firstLine="420" w:firstLineChars="200"/>
              <w:rPr>
                <w:bCs/>
                <w:color w:val="auto"/>
                <w:sz w:val="21"/>
                <w:szCs w:val="21"/>
              </w:rPr>
            </w:pPr>
            <w:r>
              <w:rPr>
                <w:rFonts w:hint="eastAsia"/>
                <w:bCs/>
                <w:color w:val="auto"/>
                <w:sz w:val="21"/>
                <w:szCs w:val="21"/>
              </w:rPr>
              <w:t>1#渣场堆渣前，需在渣场底部垭口处设置挡土墙，墙底高程为591m，墙顶高程为595m，最大墙高为4.0m。弃渣在595以上按1：2.5的坡比堆放，挡土墙以上为框格草皮护坡，渣面高程为605.5m。</w:t>
            </w:r>
          </w:p>
          <w:p>
            <w:pPr>
              <w:snapToGrid/>
              <w:spacing w:line="360" w:lineRule="auto"/>
              <w:ind w:firstLine="420" w:firstLineChars="200"/>
              <w:rPr>
                <w:bCs/>
                <w:color w:val="auto"/>
                <w:sz w:val="21"/>
                <w:szCs w:val="21"/>
              </w:rPr>
            </w:pPr>
            <w:r>
              <w:rPr>
                <w:rFonts w:hint="eastAsia"/>
                <w:bCs/>
                <w:color w:val="auto"/>
                <w:sz w:val="21"/>
                <w:szCs w:val="21"/>
              </w:rPr>
              <w:t>2#渣场堆渣前，需在渣场底部垭口处设置挡土墙，墙底高程为600</w:t>
            </w:r>
            <w:r>
              <w:rPr>
                <w:rFonts w:hint="eastAsia"/>
                <w:bCs/>
                <w:color w:val="auto"/>
                <w:sz w:val="21"/>
                <w:szCs w:val="21"/>
                <w:lang w:eastAsia="zh-CN"/>
              </w:rPr>
              <w:t>～</w:t>
            </w:r>
            <w:r>
              <w:rPr>
                <w:rFonts w:hint="eastAsia"/>
                <w:bCs/>
                <w:color w:val="auto"/>
                <w:sz w:val="21"/>
                <w:szCs w:val="21"/>
              </w:rPr>
              <w:t>604.9m，墙顶高程为603</w:t>
            </w:r>
            <w:r>
              <w:rPr>
                <w:rFonts w:hint="eastAsia"/>
                <w:bCs/>
                <w:color w:val="auto"/>
                <w:sz w:val="21"/>
                <w:szCs w:val="21"/>
                <w:lang w:eastAsia="zh-CN"/>
              </w:rPr>
              <w:t>～</w:t>
            </w:r>
            <w:r>
              <w:rPr>
                <w:rFonts w:hint="eastAsia"/>
                <w:bCs/>
                <w:color w:val="auto"/>
                <w:sz w:val="21"/>
                <w:szCs w:val="21"/>
              </w:rPr>
              <w:t>605m，最大墙高为3.0m。弃渣在墙顶以上按1：2.5的坡比堆放，挡土墙以上为框格草皮护坡，渣面高程为605m。</w:t>
            </w:r>
          </w:p>
          <w:p>
            <w:pPr>
              <w:pStyle w:val="99"/>
              <w:autoSpaceDE w:val="0"/>
              <w:autoSpaceDN w:val="0"/>
              <w:snapToGrid/>
              <w:spacing w:line="360" w:lineRule="auto"/>
              <w:jc w:val="both"/>
              <w:rPr>
                <w:color w:val="auto"/>
                <w:sz w:val="21"/>
                <w:szCs w:val="21"/>
              </w:rPr>
            </w:pPr>
            <w:r>
              <w:rPr>
                <w:rFonts w:hint="eastAsia"/>
                <w:color w:val="auto"/>
                <w:sz w:val="21"/>
                <w:szCs w:val="21"/>
              </w:rPr>
              <w:t>弃渣堆放完毕后，对弃渣堆放边坡及顶部进行土地整治及表土回覆。</w:t>
            </w:r>
          </w:p>
          <w:p>
            <w:pPr>
              <w:pStyle w:val="99"/>
              <w:autoSpaceDE w:val="0"/>
              <w:autoSpaceDN w:val="0"/>
              <w:snapToGrid/>
              <w:spacing w:line="360" w:lineRule="auto"/>
              <w:jc w:val="both"/>
              <w:rPr>
                <w:color w:val="auto"/>
                <w:sz w:val="21"/>
                <w:szCs w:val="21"/>
              </w:rPr>
            </w:pPr>
            <w:r>
              <w:rPr>
                <w:rFonts w:hint="eastAsia"/>
                <w:color w:val="auto"/>
                <w:sz w:val="21"/>
                <w:szCs w:val="21"/>
              </w:rPr>
              <w:t>（2）植物措施</w:t>
            </w:r>
          </w:p>
          <w:p>
            <w:pPr>
              <w:pStyle w:val="99"/>
              <w:autoSpaceDE w:val="0"/>
              <w:autoSpaceDN w:val="0"/>
              <w:snapToGrid/>
              <w:spacing w:line="360" w:lineRule="auto"/>
              <w:jc w:val="both"/>
              <w:rPr>
                <w:color w:val="auto"/>
                <w:sz w:val="21"/>
                <w:szCs w:val="21"/>
              </w:rPr>
            </w:pPr>
            <w:r>
              <w:rPr>
                <w:rFonts w:hint="eastAsia"/>
                <w:color w:val="auto"/>
                <w:sz w:val="21"/>
                <w:szCs w:val="21"/>
              </w:rPr>
              <w:t>表土回覆后，对弃渣堆放边坡和顶部实施栽植灌木结合植草的绿化方式进行绿化。草种选用黑麦草和披肩草按照1:1的比例进行混播，播种密度为80kg/hm</w:t>
            </w:r>
            <w:r>
              <w:rPr>
                <w:rFonts w:hint="eastAsia"/>
                <w:color w:val="auto"/>
                <w:sz w:val="21"/>
                <w:szCs w:val="21"/>
                <w:vertAlign w:val="superscript"/>
              </w:rPr>
              <w:t>2</w:t>
            </w:r>
            <w:r>
              <w:rPr>
                <w:rFonts w:hint="eastAsia"/>
                <w:color w:val="auto"/>
                <w:sz w:val="21"/>
                <w:szCs w:val="21"/>
              </w:rPr>
              <w:t>。灌木采用紫穗槐，胸径10cm。</w:t>
            </w:r>
          </w:p>
          <w:p>
            <w:pPr>
              <w:pStyle w:val="99"/>
              <w:autoSpaceDE w:val="0"/>
              <w:autoSpaceDN w:val="0"/>
              <w:snapToGrid/>
              <w:spacing w:line="360" w:lineRule="auto"/>
              <w:jc w:val="both"/>
              <w:rPr>
                <w:color w:val="auto"/>
                <w:sz w:val="21"/>
                <w:szCs w:val="21"/>
              </w:rPr>
            </w:pPr>
            <w:r>
              <w:rPr>
                <w:rFonts w:hint="eastAsia"/>
                <w:color w:val="auto"/>
                <w:sz w:val="21"/>
                <w:szCs w:val="21"/>
              </w:rPr>
              <w:t>（3）临时遮盖</w:t>
            </w:r>
          </w:p>
          <w:p>
            <w:pPr>
              <w:adjustRightInd w:val="0"/>
              <w:snapToGrid w:val="0"/>
              <w:spacing w:line="360" w:lineRule="auto"/>
              <w:ind w:firstLine="420" w:firstLineChars="200"/>
              <w:rPr>
                <w:rFonts w:hint="default" w:ascii="Times New Roman" w:hAnsi="Times New Roman" w:cs="Times New Roman"/>
                <w:b/>
                <w:bCs/>
                <w:color w:val="auto"/>
                <w:sz w:val="21"/>
                <w:szCs w:val="21"/>
                <w:highlight w:val="none"/>
                <w:lang w:val="en-US" w:eastAsia="zh-CN"/>
              </w:rPr>
            </w:pPr>
            <w:r>
              <w:rPr>
                <w:rFonts w:hint="eastAsia"/>
                <w:color w:val="auto"/>
                <w:sz w:val="21"/>
                <w:szCs w:val="21"/>
              </w:rPr>
              <w:t>为防止弃渣堆放区裸露，且植物措施发挥作用需要一定的时间，设计对其采用覆盖措施。经估算共需密目网2000m</w:t>
            </w:r>
            <w:r>
              <w:rPr>
                <w:rFonts w:hint="eastAsia"/>
                <w:color w:val="auto"/>
                <w:sz w:val="21"/>
                <w:szCs w:val="21"/>
                <w:vertAlign w:val="superscript"/>
              </w:rPr>
              <w:t>2</w:t>
            </w:r>
            <w:r>
              <w:rPr>
                <w:rFonts w:hint="eastAsia"/>
                <w:color w:val="auto"/>
                <w:sz w:val="21"/>
                <w:szCs w:val="21"/>
              </w:rPr>
              <w:t>。</w:t>
            </w:r>
          </w:p>
          <w:p>
            <w:pPr>
              <w:adjustRightInd w:val="0"/>
              <w:snapToGrid w:val="0"/>
              <w:spacing w:line="360" w:lineRule="auto"/>
              <w:ind w:firstLine="422" w:firstLineChars="200"/>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lang w:eastAsia="zh-CN"/>
              </w:rPr>
              <w:t>.</w:t>
            </w:r>
            <w:r>
              <w:rPr>
                <w:rFonts w:hint="eastAsia" w:cs="Times New Roman"/>
                <w:b/>
                <w:bCs/>
                <w:color w:val="auto"/>
                <w:sz w:val="21"/>
                <w:szCs w:val="21"/>
                <w:highlight w:val="none"/>
                <w:lang w:val="en-US" w:eastAsia="zh-CN"/>
              </w:rPr>
              <w:t>5</w:t>
            </w:r>
            <w:r>
              <w:rPr>
                <w:rFonts w:hint="default" w:ascii="Times New Roman" w:hAnsi="Times New Roman" w:cs="Times New Roman"/>
                <w:b/>
                <w:bCs/>
                <w:color w:val="auto"/>
                <w:sz w:val="21"/>
                <w:szCs w:val="21"/>
                <w:highlight w:val="none"/>
                <w:lang w:val="en-US" w:eastAsia="zh-CN"/>
              </w:rPr>
              <w:t xml:space="preserve"> 水土保持措施</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根据项目水土保持方案，水土流失防治分为枢纽工程区、灌区工程区两个防治分区，其中枢纽工程区又分为主体工程区、施工生产生活区、施工临时公路区、渣场区、管道临时开挖区、拦河堰开挖区、库尾回填区、围堰区共8个二级防治分区；灌区工程区分为主体工程区、施工生产生活区、渣场区、管道临时开挖区、施工临时公路区5个防治分区。</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在项目施工期、建成初期的一定时间段内，建设单位和管理单位必须严格按照《水土保持方案报告书》及批复要求实施水土保持工程措施、植物措施，开展水土保持施工、监理、监测和验收，加强管理，避免人为因素造成的水土流失加剧。</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施工结束后，对临时占地应进行回填、平整处理，按水保要求实施土地复耕或植被恢复措施，必要时以人工种植被进行绿化，保证一定的植被覆盖度，减少发生水土流失的可能性；在库区周边加强防护林建设，既是水土保持植物措施，也是生态恢复措施。</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bCs w:val="0"/>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项目建成后，库区将形成稳定的水岸线，可有效缓解洪水对下游河道的</w:t>
            </w:r>
            <w:r>
              <w:rPr>
                <w:rFonts w:hint="eastAsia" w:cs="Times New Roman"/>
                <w:b w:val="0"/>
                <w:bCs/>
                <w:color w:val="auto"/>
                <w:sz w:val="21"/>
                <w:szCs w:val="21"/>
                <w:highlight w:val="none"/>
                <w:lang w:val="en-US" w:eastAsia="zh-CN"/>
              </w:rPr>
              <w:t>冲刷</w:t>
            </w:r>
            <w:r>
              <w:rPr>
                <w:rFonts w:hint="default" w:ascii="Times New Roman" w:hAnsi="Times New Roman" w:eastAsia="宋体" w:cs="Times New Roman"/>
                <w:b w:val="0"/>
                <w:bCs/>
                <w:color w:val="auto"/>
                <w:sz w:val="21"/>
                <w:szCs w:val="21"/>
                <w:highlight w:val="none"/>
                <w:lang w:val="en-US" w:eastAsia="zh-CN"/>
              </w:rPr>
              <w:t>，</w:t>
            </w:r>
            <w:r>
              <w:rPr>
                <w:rFonts w:hint="eastAsia" w:cs="Times New Roman"/>
                <w:b w:val="0"/>
                <w:bCs/>
                <w:color w:val="auto"/>
                <w:sz w:val="21"/>
                <w:szCs w:val="21"/>
                <w:highlight w:val="none"/>
                <w:lang w:val="en-US" w:eastAsia="zh-CN"/>
              </w:rPr>
              <w:t>减少</w:t>
            </w:r>
            <w:r>
              <w:rPr>
                <w:rFonts w:hint="default" w:ascii="Times New Roman" w:hAnsi="Times New Roman" w:eastAsia="宋体" w:cs="Times New Roman"/>
                <w:b w:val="0"/>
                <w:bCs/>
                <w:color w:val="auto"/>
                <w:sz w:val="21"/>
                <w:szCs w:val="21"/>
                <w:highlight w:val="none"/>
                <w:lang w:val="en-US" w:eastAsia="zh-CN"/>
              </w:rPr>
              <w:t>水土流失，对改善</w:t>
            </w:r>
            <w:r>
              <w:rPr>
                <w:rFonts w:hint="eastAsia" w:ascii="Times New Roman" w:hAnsi="Times New Roman" w:eastAsia="宋体" w:cs="Times New Roman"/>
                <w:b w:val="0"/>
                <w:bCs/>
                <w:color w:val="auto"/>
                <w:sz w:val="21"/>
                <w:szCs w:val="21"/>
                <w:highlight w:val="none"/>
                <w:lang w:val="en-US" w:eastAsia="zh-CN"/>
              </w:rPr>
              <w:t>堰沟</w:t>
            </w:r>
            <w:r>
              <w:rPr>
                <w:rFonts w:hint="default" w:ascii="Times New Roman" w:hAnsi="Times New Roman" w:eastAsia="宋体" w:cs="Times New Roman"/>
                <w:b w:val="0"/>
                <w:bCs/>
                <w:color w:val="auto"/>
                <w:sz w:val="21"/>
                <w:szCs w:val="21"/>
                <w:highlight w:val="none"/>
                <w:lang w:val="en-US" w:eastAsia="zh-CN"/>
              </w:rPr>
              <w:t>沿线区域水土流失有明显正效益。</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lang w:val="en-US" w:eastAsia="zh-CN"/>
              </w:rPr>
              <w:t>5.2</w:t>
            </w:r>
            <w:r>
              <w:rPr>
                <w:rFonts w:hint="default" w:ascii="Times New Roman" w:hAnsi="Times New Roman" w:cs="Times New Roman"/>
                <w:b/>
                <w:bCs w:val="0"/>
                <w:color w:val="auto"/>
                <w:sz w:val="21"/>
                <w:szCs w:val="21"/>
                <w:highlight w:val="none"/>
              </w:rPr>
              <w:t>废气污染防治措施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1、施工扬尘防治措施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eastAsia="zh-CN"/>
              </w:rPr>
              <w:t>（1）工程土石方开挖爆破应优先选择预裂爆破、光面爆破、缓冲爆破、深孔微差挤压爆破等爆破技术，同时采取湿法作业，以减少粉尘产生量。运输车辆</w:t>
            </w:r>
            <w:r>
              <w:rPr>
                <w:rFonts w:hint="eastAsia" w:cs="Times New Roman"/>
                <w:b w:val="0"/>
                <w:bCs/>
                <w:color w:val="auto"/>
                <w:sz w:val="21"/>
                <w:szCs w:val="21"/>
                <w:highlight w:val="none"/>
                <w:lang w:eastAsia="zh-CN"/>
              </w:rPr>
              <w:t>途经</w:t>
            </w:r>
            <w:r>
              <w:rPr>
                <w:rFonts w:hint="default" w:ascii="Times New Roman" w:hAnsi="Times New Roman" w:cs="Times New Roman"/>
                <w:b w:val="0"/>
                <w:bCs/>
                <w:color w:val="auto"/>
                <w:sz w:val="21"/>
                <w:szCs w:val="21"/>
                <w:highlight w:val="none"/>
                <w:lang w:eastAsia="zh-CN"/>
              </w:rPr>
              <w:t>住户及施工营地时应将车速控制在20km/h内。</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eastAsia="zh-CN"/>
              </w:rPr>
              <w:t>（2）禁止带泥车辆行驶，在施工场地出入口设置车辆清洗设施及配套的沉砂池，车辆冲洗干净后方可驶出工地；严禁所有运输车辆冒装和沿路撒漏，确保密闭运输效果。</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eastAsia="zh-CN"/>
              </w:rPr>
              <w:t>（3）加强施工场地粉尘防范措施，加强洒水降尘措施，根据施工规模合理布置炮雾机等降尘设备设施，有效降低施工粉尘对环境的影响。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2、</w:t>
            </w:r>
            <w:r>
              <w:rPr>
                <w:rFonts w:hint="default" w:ascii="Times New Roman" w:hAnsi="Times New Roman" w:cs="Times New Roman"/>
                <w:b w:val="0"/>
                <w:bCs/>
                <w:color w:val="auto"/>
                <w:sz w:val="21"/>
                <w:szCs w:val="21"/>
                <w:highlight w:val="none"/>
              </w:rPr>
              <w:t>燃油机具尾气防治措施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（1）施工营地修建围墙，施工单位必须选用国家有关标准的施工机械和运输工具，使用优质燃料，使其排放的废气符合国家有关标准要求。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2）加强大型施工机械和车辆的管理，对施工机具及运输车辆应经常进行养护和维护，使用优质燃料。对使用柴油的运输车辆，需安装尾气净化器，以保证尾气达标排放；严格执行《在用汽车报废标准》，推行强制更新报废制度，特别是对耗油多、效率低、尾气超标严重的老、旧车辆，应及时更新。本工程管理处职工生活建议使用天然气等清洁能源，以降低大气中有害气体的浓度。</w:t>
            </w:r>
          </w:p>
          <w:p>
            <w:pPr>
              <w:adjustRightInd w:val="0"/>
              <w:snapToGrid w:val="0"/>
              <w:spacing w:line="360" w:lineRule="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5.3</w:t>
            </w:r>
            <w:r>
              <w:rPr>
                <w:rFonts w:hint="default" w:ascii="Times New Roman" w:hAnsi="Times New Roman" w:cs="Times New Roman"/>
                <w:b/>
                <w:bCs/>
                <w:color w:val="auto"/>
                <w:sz w:val="21"/>
                <w:szCs w:val="21"/>
                <w:highlight w:val="none"/>
              </w:rPr>
              <w:t>废水污染防治措施</w:t>
            </w:r>
          </w:p>
          <w:p>
            <w:pPr>
              <w:adjustRightInd w:val="0"/>
              <w:snapToGrid w:val="0"/>
              <w:spacing w:line="360" w:lineRule="auto"/>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详见地表水环境影响专项评价。</w:t>
            </w:r>
          </w:p>
          <w:p>
            <w:pPr>
              <w:autoSpaceDE w:val="0"/>
              <w:autoSpaceDN w:val="0"/>
              <w:adjustRightInd w:val="0"/>
              <w:snapToGrid w:val="0"/>
              <w:spacing w:line="360" w:lineRule="auto"/>
              <w:rPr>
                <w:rFonts w:hint="default" w:ascii="Times New Roman" w:hAnsi="Times New Roman" w:cs="Times New Roman"/>
                <w:b/>
                <w:bCs/>
                <w:snapToGrid w:val="0"/>
                <w:color w:val="auto"/>
                <w:kern w:val="0"/>
                <w:sz w:val="21"/>
                <w:szCs w:val="21"/>
                <w:highlight w:val="none"/>
              </w:rPr>
            </w:pPr>
            <w:r>
              <w:rPr>
                <w:rFonts w:hint="default" w:ascii="Times New Roman" w:hAnsi="Times New Roman" w:cs="Times New Roman"/>
                <w:b/>
                <w:bCs/>
                <w:snapToGrid w:val="0"/>
                <w:color w:val="auto"/>
                <w:kern w:val="0"/>
                <w:sz w:val="21"/>
                <w:szCs w:val="21"/>
                <w:highlight w:val="none"/>
                <w:lang w:val="en-US" w:eastAsia="zh-CN"/>
              </w:rPr>
              <w:t>5.4</w:t>
            </w:r>
            <w:r>
              <w:rPr>
                <w:rFonts w:hint="default" w:ascii="Times New Roman" w:hAnsi="Times New Roman" w:cs="Times New Roman"/>
                <w:b/>
                <w:bCs/>
                <w:snapToGrid w:val="0"/>
                <w:color w:val="auto"/>
                <w:kern w:val="0"/>
                <w:sz w:val="21"/>
                <w:szCs w:val="21"/>
                <w:highlight w:val="none"/>
              </w:rPr>
              <w:t>噪声污染防治措施</w:t>
            </w:r>
          </w:p>
          <w:p>
            <w:pPr>
              <w:adjustRightInd w:val="0"/>
              <w:snapToGrid w:val="0"/>
              <w:spacing w:line="360" w:lineRule="auto"/>
              <w:ind w:firstLine="420" w:firstLineChars="20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eastAsia="zh-CN"/>
              </w:rPr>
              <w:t>施工期施工机械和加工企业噪声控制</w:t>
            </w:r>
          </w:p>
          <w:p>
            <w:pPr>
              <w:adjustRightInd w:val="0"/>
              <w:snapToGrid w:val="0"/>
              <w:spacing w:line="360" w:lineRule="auto"/>
              <w:ind w:firstLine="420" w:firstLineChars="20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（1）选用符合国家有关标准的施工机具，尽量选用低噪声的施工机械或工艺；</w:t>
            </w:r>
          </w:p>
          <w:p>
            <w:pPr>
              <w:adjustRightInd w:val="0"/>
              <w:snapToGrid w:val="0"/>
              <w:spacing w:line="360" w:lineRule="auto"/>
              <w:ind w:firstLine="420" w:firstLineChars="20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（2）合理布置施工机具位置，加强设备的维护和保养，保持机械润滑，降低运行噪声；</w:t>
            </w:r>
          </w:p>
          <w:p>
            <w:pPr>
              <w:adjustRightInd w:val="0"/>
              <w:snapToGrid w:val="0"/>
              <w:spacing w:line="360" w:lineRule="auto"/>
              <w:ind w:firstLine="420" w:firstLineChars="20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（3）振动较大的机械设备应使用减振机座降低噪声；</w:t>
            </w:r>
          </w:p>
          <w:p>
            <w:pPr>
              <w:adjustRightInd w:val="0"/>
              <w:snapToGrid w:val="0"/>
              <w:spacing w:line="360" w:lineRule="auto"/>
              <w:ind w:firstLine="420" w:firstLineChars="20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（4）在施工爆破中，尽量避免放大炮和夜间爆破，禁止在夜间和休息时间进行强噪声施工活动；</w:t>
            </w:r>
          </w:p>
          <w:p>
            <w:pPr>
              <w:adjustRightInd w:val="0"/>
              <w:snapToGrid w:val="0"/>
              <w:spacing w:line="360" w:lineRule="auto"/>
              <w:ind w:firstLine="420" w:firstLineChars="20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（5）混凝土拌和系统对附近声环境敏感点较大，夜间噪声</w:t>
            </w:r>
            <w:r>
              <w:rPr>
                <w:rFonts w:hint="eastAsia" w:cs="Times New Roman"/>
                <w:color w:val="auto"/>
                <w:sz w:val="21"/>
                <w:szCs w:val="21"/>
                <w:highlight w:val="none"/>
                <w:lang w:eastAsia="zh-CN"/>
              </w:rPr>
              <w:t>超标</w:t>
            </w:r>
            <w:r>
              <w:rPr>
                <w:rFonts w:hint="default" w:ascii="Times New Roman" w:hAnsi="Times New Roman" w:cs="Times New Roman"/>
                <w:color w:val="auto"/>
                <w:sz w:val="21"/>
                <w:szCs w:val="21"/>
                <w:highlight w:val="none"/>
                <w:lang w:eastAsia="zh-CN"/>
              </w:rPr>
              <w:t>现象突出，应优化施工组织设计，每晚10点至次日6点禁止施工；</w:t>
            </w:r>
          </w:p>
          <w:p>
            <w:pPr>
              <w:adjustRightInd w:val="0"/>
              <w:snapToGrid w:val="0"/>
              <w:spacing w:line="360" w:lineRule="auto"/>
              <w:ind w:firstLine="420" w:firstLineChars="200"/>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（6）</w:t>
            </w:r>
            <w:r>
              <w:rPr>
                <w:color w:val="auto"/>
                <w:highlight w:val="none"/>
              </w:rPr>
              <w:t>拌和</w:t>
            </w:r>
            <w:r>
              <w:rPr>
                <w:rFonts w:hint="eastAsia"/>
                <w:color w:val="auto"/>
                <w:highlight w:val="none"/>
              </w:rPr>
              <w:t>机</w:t>
            </w:r>
            <w:r>
              <w:rPr>
                <w:color w:val="auto"/>
                <w:highlight w:val="none"/>
              </w:rPr>
              <w:t>、空压机等车间尽可能用多孔性吸声材料建立隔声屏障、隔声罩和隔声间</w:t>
            </w:r>
            <w:r>
              <w:rPr>
                <w:rFonts w:hint="eastAsia"/>
                <w:color w:val="auto"/>
                <w:highlight w:val="none"/>
                <w:lang w:eastAsia="zh-CN"/>
              </w:rPr>
              <w:t>；</w:t>
            </w:r>
          </w:p>
          <w:p>
            <w:pPr>
              <w:adjustRightInd w:val="0"/>
              <w:snapToGrid w:val="0"/>
              <w:spacing w:line="360" w:lineRule="auto"/>
              <w:ind w:firstLine="420" w:firstLineChars="20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（7）</w:t>
            </w:r>
            <w:r>
              <w:rPr>
                <w:color w:val="auto"/>
                <w:highlight w:val="none"/>
              </w:rPr>
              <w:t>在施工场界外围栽种树木以提高减噪效果，场内公路两侧在施工使用期间栽种行道树以减小噪声影响范围</w:t>
            </w:r>
            <w:r>
              <w:rPr>
                <w:rFonts w:hint="eastAsia"/>
                <w:color w:val="auto"/>
                <w:highlight w:val="none"/>
              </w:rPr>
              <w:t>。</w:t>
            </w:r>
          </w:p>
          <w:p>
            <w:pPr>
              <w:adjustRightInd w:val="0"/>
              <w:snapToGrid w:val="0"/>
              <w:spacing w:line="360" w:lineRule="auto"/>
              <w:ind w:firstLine="420" w:firstLineChars="20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eastAsia="zh-CN"/>
              </w:rPr>
              <w:t>施工期施工交通噪声控制</w:t>
            </w:r>
          </w:p>
          <w:p>
            <w:pPr>
              <w:adjustRightInd w:val="0"/>
              <w:snapToGrid w:val="0"/>
              <w:spacing w:line="360" w:lineRule="auto"/>
              <w:ind w:firstLine="420" w:firstLineChars="20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eastAsia="zh-CN"/>
              </w:rPr>
              <w:t>）物料运输应尽量安排在昼间进行，运输过程经过居民住宅时采取缓速、禁鸣等措施，并在场区进、出口应安排专人负责车辆组织和指挥，合理疏导防止引起交通阻塞和交通噪声影响。</w:t>
            </w:r>
          </w:p>
          <w:p>
            <w:pPr>
              <w:adjustRightInd w:val="0"/>
              <w:snapToGrid w:val="0"/>
              <w:spacing w:line="360" w:lineRule="auto"/>
              <w:ind w:firstLine="420" w:firstLineChars="20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eastAsia="zh-CN"/>
              </w:rPr>
              <w:t>）在进场公路和场内交通道路运行期，限制使用噪声大的车辆，控制车流量和行车速度，当车辆行驶至四个施工生活营地和周边零散居民点时，降低车速和禁止使用</w:t>
            </w:r>
            <w:r>
              <w:rPr>
                <w:rFonts w:hint="eastAsia" w:cs="Times New Roman"/>
                <w:color w:val="auto"/>
                <w:sz w:val="21"/>
                <w:szCs w:val="21"/>
                <w:highlight w:val="none"/>
                <w:lang w:eastAsia="zh-CN"/>
              </w:rPr>
              <w:t>高音喇叭</w:t>
            </w:r>
            <w:r>
              <w:rPr>
                <w:rFonts w:hint="default" w:ascii="Times New Roman" w:hAnsi="Times New Roman" w:cs="Times New Roman"/>
                <w:color w:val="auto"/>
                <w:sz w:val="21"/>
                <w:szCs w:val="21"/>
                <w:highlight w:val="none"/>
                <w:lang w:eastAsia="zh-CN"/>
              </w:rPr>
              <w:t>。</w:t>
            </w:r>
          </w:p>
          <w:p>
            <w:pPr>
              <w:adjustRightInd w:val="0"/>
              <w:snapToGrid w:val="0"/>
              <w:spacing w:line="360" w:lineRule="auto"/>
              <w:ind w:firstLine="420" w:firstLineChars="20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eastAsia="zh-CN"/>
              </w:rPr>
              <w:t>）加强进场公路交通运输管理，为防止进场公路运行期（主要为外来物质进入施工区）产生的交通噪声夜间对沿线的居民点和沿线散在分布的居民户的干扰，在主体工程建设期实行交通管制，夜间严格控制大、中型车辆进入进场公路，对小型车辆进入该进场公路按设计车速和交通流量。</w:t>
            </w:r>
          </w:p>
          <w:p>
            <w:pPr>
              <w:adjustRightInd w:val="0"/>
              <w:snapToGrid w:val="0"/>
              <w:spacing w:line="360" w:lineRule="auto"/>
              <w:ind w:firstLine="420" w:firstLineChars="20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eastAsia="zh-CN"/>
              </w:rPr>
              <w:t>）加强道路运用期的养护和车辆的维护保养，降低噪声源。</w:t>
            </w:r>
          </w:p>
          <w:p>
            <w:pPr>
              <w:adjustRightInd w:val="0"/>
              <w:snapToGrid w:val="0"/>
              <w:spacing w:line="360" w:lineRule="auto"/>
              <w:rPr>
                <w:rFonts w:hint="default" w:ascii="Times New Roman" w:hAnsi="Times New Roman" w:cs="Times New Roman"/>
                <w:b/>
                <w:bCs w:val="0"/>
                <w:color w:val="auto"/>
                <w:sz w:val="21"/>
                <w:szCs w:val="21"/>
                <w:highlight w:val="none"/>
                <w:lang w:eastAsia="zh-CN"/>
              </w:rPr>
            </w:pPr>
            <w:r>
              <w:rPr>
                <w:rFonts w:hint="default" w:ascii="Times New Roman" w:hAnsi="Times New Roman" w:cs="Times New Roman"/>
                <w:b/>
                <w:bCs w:val="0"/>
                <w:color w:val="auto"/>
                <w:sz w:val="21"/>
                <w:szCs w:val="21"/>
                <w:highlight w:val="none"/>
                <w:lang w:val="en-US" w:eastAsia="zh-CN"/>
              </w:rPr>
              <w:t>5.5</w:t>
            </w:r>
            <w:r>
              <w:rPr>
                <w:rFonts w:hint="default" w:ascii="Times New Roman" w:hAnsi="Times New Roman" w:cs="Times New Roman"/>
                <w:b/>
                <w:bCs w:val="0"/>
                <w:color w:val="auto"/>
                <w:sz w:val="21"/>
                <w:szCs w:val="21"/>
                <w:highlight w:val="none"/>
                <w:lang w:eastAsia="zh-CN"/>
              </w:rPr>
              <w:t>固体废物污染防治措施</w:t>
            </w:r>
          </w:p>
          <w:p>
            <w:pPr>
              <w:adjustRightInd w:val="0"/>
              <w:snapToGrid w:val="0"/>
              <w:spacing w:line="360" w:lineRule="auto"/>
              <w:ind w:firstLine="420" w:firstLineChars="200"/>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本工程枢纽等工程开挖弃渣集中堆放于枢纽工程区附近设置的渣场，施工期施工弃渣合理处置。渣场严格按照水土保持有关要求进行防护措施设计，施工期间产生的弃渣全部得到妥善处置。库区拆迁建筑物石质或土质建筑垃圾产生量很小，可采用推土机就地碾压平场。施工弃渣不得倒入河流，施工结束后对临时堆料场、渣场采取复垦或绿化措施。</w:t>
            </w:r>
          </w:p>
          <w:p>
            <w:pPr>
              <w:adjustRightInd w:val="0"/>
              <w:snapToGrid w:val="0"/>
              <w:spacing w:line="360" w:lineRule="auto"/>
              <w:ind w:firstLine="420" w:firstLineChars="200"/>
              <w:rPr>
                <w:rFonts w:hint="default" w:ascii="Times New Roman" w:hAnsi="Times New Roman" w:eastAsia="宋体" w:cs="Times New Roman"/>
                <w:bCs/>
                <w:color w:val="auto"/>
                <w:spacing w:val="10"/>
                <w:sz w:val="21"/>
                <w:szCs w:val="21"/>
                <w:highlight w:val="none"/>
                <w:lang w:val="en-US" w:eastAsia="zh-CN"/>
              </w:rPr>
            </w:pPr>
            <w:r>
              <w:rPr>
                <w:rFonts w:hint="default" w:ascii="Times New Roman" w:hAnsi="Times New Roman" w:cs="Times New Roman"/>
                <w:color w:val="auto"/>
                <w:sz w:val="21"/>
                <w:szCs w:val="21"/>
                <w:highlight w:val="none"/>
              </w:rPr>
              <w:t>施工人员生活垃圾交环卫部门处理</w:t>
            </w:r>
            <w:r>
              <w:rPr>
                <w:rFonts w:hint="default" w:ascii="Times New Roman" w:hAnsi="Times New Roman" w:cs="Times New Roman"/>
                <w:color w:val="auto"/>
                <w:sz w:val="21"/>
                <w:szCs w:val="21"/>
                <w:highlight w:val="none"/>
                <w:lang w:val="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1" w:hRule="atLeast"/>
          <w:jc w:val="center"/>
        </w:trPr>
        <w:tc>
          <w:tcPr>
            <w:tcW w:w="753" w:type="dxa"/>
            <w:tcMar>
              <w:left w:w="28" w:type="dxa"/>
              <w:right w:w="28" w:type="dxa"/>
            </w:tcMar>
            <w:vAlign w:val="center"/>
          </w:tcPr>
          <w:p>
            <w:pPr>
              <w:adjustRightInd w:val="0"/>
              <w:snapToGrid w:val="0"/>
              <w:spacing w:line="360" w:lineRule="auto"/>
              <w:jc w:val="center"/>
              <w:rPr>
                <w:rFonts w:hint="default" w:ascii="Times New Roman" w:hAnsi="Times New Roman" w:cs="Times New Roman"/>
                <w:bCs/>
                <w:color w:val="auto"/>
                <w:spacing w:val="10"/>
                <w:sz w:val="21"/>
                <w:szCs w:val="21"/>
                <w:highlight w:val="none"/>
              </w:rPr>
            </w:pPr>
            <w:r>
              <w:rPr>
                <w:rFonts w:hint="default" w:ascii="Times New Roman" w:hAnsi="Times New Roman" w:cs="Times New Roman"/>
                <w:bCs/>
                <w:color w:val="auto"/>
                <w:spacing w:val="10"/>
                <w:sz w:val="21"/>
                <w:szCs w:val="21"/>
                <w:highlight w:val="none"/>
              </w:rPr>
              <w:t>运营期生态环境保护措施</w:t>
            </w:r>
          </w:p>
        </w:tc>
        <w:tc>
          <w:tcPr>
            <w:tcW w:w="8457" w:type="dxa"/>
            <w:vAlign w:val="top"/>
          </w:tcPr>
          <w:p>
            <w:pPr>
              <w:autoSpaceDE w:val="0"/>
              <w:autoSpaceDN w:val="0"/>
              <w:adjustRightInd w:val="0"/>
              <w:snapToGrid w:val="0"/>
              <w:spacing w:line="360" w:lineRule="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5.6运营期废气污染防治措施</w:t>
            </w:r>
          </w:p>
          <w:p>
            <w:pPr>
              <w:autoSpaceDE w:val="0"/>
              <w:autoSpaceDN w:val="0"/>
              <w:adjustRightInd w:val="0"/>
              <w:snapToGrid w:val="0"/>
              <w:spacing w:line="360" w:lineRule="auto"/>
              <w:ind w:firstLine="420" w:firstLineChars="200"/>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食堂油烟经油烟净化器处理后排放</w:t>
            </w:r>
          </w:p>
          <w:p>
            <w:pPr>
              <w:autoSpaceDE w:val="0"/>
              <w:autoSpaceDN w:val="0"/>
              <w:adjustRightInd w:val="0"/>
              <w:snapToGrid w:val="0"/>
              <w:spacing w:line="360" w:lineRule="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5.7运营期废水污染防治措施</w:t>
            </w:r>
          </w:p>
          <w:p>
            <w:pPr>
              <w:adjustRightInd w:val="0"/>
              <w:snapToGrid w:val="0"/>
              <w:spacing w:line="360" w:lineRule="auto"/>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详见地表水环境影响专项评价。</w:t>
            </w:r>
          </w:p>
          <w:p>
            <w:pPr>
              <w:autoSpaceDE w:val="0"/>
              <w:autoSpaceDN w:val="0"/>
              <w:adjustRightInd w:val="0"/>
              <w:snapToGrid w:val="0"/>
              <w:spacing w:line="360" w:lineRule="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5.8运营期噪声污染防治措施</w:t>
            </w:r>
          </w:p>
          <w:p>
            <w:pPr>
              <w:autoSpaceDE w:val="0"/>
              <w:autoSpaceDN w:val="0"/>
              <w:adjustRightInd w:val="0"/>
              <w:snapToGrid w:val="0"/>
              <w:spacing w:line="360" w:lineRule="auto"/>
              <w:ind w:firstLine="420" w:firstLineChars="200"/>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本工程运行期不设置提升泵等设施，无设备噪声。库区周边道路车流量少，车辆噪声影响较小。溢洪道泄流噪声仅在洪水季节出现，影响持续时间不长，且居民点距离较远，无明显影响。</w:t>
            </w:r>
          </w:p>
          <w:p>
            <w:pPr>
              <w:autoSpaceDE w:val="0"/>
              <w:autoSpaceDN w:val="0"/>
              <w:adjustRightInd w:val="0"/>
              <w:snapToGrid w:val="0"/>
              <w:spacing w:line="360" w:lineRule="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5.9运营期固体废物污染防治措施</w:t>
            </w:r>
          </w:p>
          <w:p>
            <w:pPr>
              <w:autoSpaceDE w:val="0"/>
              <w:autoSpaceDN w:val="0"/>
              <w:adjustRightInd w:val="0"/>
              <w:snapToGrid w:val="0"/>
              <w:spacing w:line="360" w:lineRule="auto"/>
              <w:ind w:firstLine="420" w:firstLineChars="200"/>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管理人员产生的生活垃圾统一收集后定期交由环卫部门清运。</w:t>
            </w:r>
          </w:p>
          <w:p>
            <w:pPr>
              <w:autoSpaceDE w:val="0"/>
              <w:autoSpaceDN w:val="0"/>
              <w:adjustRightInd w:val="0"/>
              <w:snapToGrid w:val="0"/>
              <w:spacing w:line="360" w:lineRule="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5.10运营期生态环境保护措施</w:t>
            </w:r>
          </w:p>
          <w:p>
            <w:pPr>
              <w:autoSpaceDE w:val="0"/>
              <w:autoSpaceDN w:val="0"/>
              <w:adjustRightInd w:val="0"/>
              <w:snapToGrid w:val="0"/>
              <w:spacing w:line="360" w:lineRule="auto"/>
              <w:ind w:firstLine="422" w:firstLineChars="200"/>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val="en-US" w:eastAsia="zh-CN"/>
              </w:rPr>
              <w:t>5.10.1</w:t>
            </w:r>
            <w:r>
              <w:rPr>
                <w:rFonts w:hint="default" w:ascii="Times New Roman" w:hAnsi="Times New Roman" w:cs="Times New Roman"/>
                <w:b/>
                <w:bCs/>
                <w:color w:val="auto"/>
                <w:sz w:val="21"/>
                <w:szCs w:val="21"/>
                <w:highlight w:val="none"/>
                <w:lang w:eastAsia="zh-CN"/>
              </w:rPr>
              <w:t>陆生生态保护措施</w:t>
            </w:r>
          </w:p>
          <w:p>
            <w:pPr>
              <w:autoSpaceDE w:val="0"/>
              <w:autoSpaceDN w:val="0"/>
              <w:adjustRightInd w:val="0"/>
              <w:snapToGrid w:val="0"/>
              <w:spacing w:line="360" w:lineRule="auto"/>
              <w:ind w:firstLine="420" w:firstLineChars="20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eastAsia="zh-CN"/>
              </w:rPr>
              <w:t>库区植被保护措施</w:t>
            </w:r>
          </w:p>
          <w:p>
            <w:pPr>
              <w:autoSpaceDE w:val="0"/>
              <w:autoSpaceDN w:val="0"/>
              <w:adjustRightInd w:val="0"/>
              <w:snapToGrid w:val="0"/>
              <w:spacing w:line="360" w:lineRule="auto"/>
              <w:ind w:firstLine="420" w:firstLineChars="20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大力实施封山育林措施，促进本区域植被的自然恢复。在库周地势陡峭的灌丛和灌草丛成片集中分布的区域划定封山育林区，设置明显的标志，采取行之有效的封禁措施，并配以人工促进措施（如撒播适宜该地区土壤的树种等），促进灌丛、灌草丛向森林植被的顺向演替。</w:t>
            </w:r>
          </w:p>
          <w:p>
            <w:pPr>
              <w:autoSpaceDE w:val="0"/>
              <w:autoSpaceDN w:val="0"/>
              <w:adjustRightInd w:val="0"/>
              <w:snapToGrid w:val="0"/>
              <w:spacing w:line="360" w:lineRule="auto"/>
              <w:ind w:firstLine="420" w:firstLineChars="20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土地综合利用和管理，如一些陡坡上的土地可实行退耕还林，栽种有用的林木和果树等，从而恢复和扩大库周的植被环境。</w:t>
            </w:r>
          </w:p>
          <w:p>
            <w:pPr>
              <w:autoSpaceDE w:val="0"/>
              <w:autoSpaceDN w:val="0"/>
              <w:adjustRightInd w:val="0"/>
              <w:snapToGrid w:val="0"/>
              <w:spacing w:line="360" w:lineRule="auto"/>
              <w:ind w:firstLine="420" w:firstLineChars="20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改变农村生活能源结构，大力推广沼气发酵技术，减少薪柴的消耗，以保护和培育现有森林。</w:t>
            </w:r>
          </w:p>
          <w:p>
            <w:pPr>
              <w:autoSpaceDE w:val="0"/>
              <w:autoSpaceDN w:val="0"/>
              <w:adjustRightInd w:val="0"/>
              <w:snapToGrid w:val="0"/>
              <w:spacing w:line="360" w:lineRule="auto"/>
              <w:ind w:firstLine="420" w:firstLineChars="20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eastAsia="zh-CN"/>
              </w:rPr>
              <w:t>区域内陆生动物保护措施</w:t>
            </w:r>
          </w:p>
          <w:p>
            <w:pPr>
              <w:autoSpaceDE w:val="0"/>
              <w:autoSpaceDN w:val="0"/>
              <w:adjustRightInd w:val="0"/>
              <w:snapToGrid w:val="0"/>
              <w:spacing w:line="360" w:lineRule="auto"/>
              <w:ind w:firstLine="420" w:firstLineChars="20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处理好生物多样性保护与安全防疫的关系，蛇类和鼠类在水库蓄水后，将会向非淹没区迁移，在此情况下，既要维持自然生态系统的食物链关系，又要加强非淹没区人、畜和施工人员的卫生防疫工作。</w:t>
            </w:r>
          </w:p>
          <w:p>
            <w:pPr>
              <w:autoSpaceDE w:val="0"/>
              <w:autoSpaceDN w:val="0"/>
              <w:adjustRightInd w:val="0"/>
              <w:snapToGrid w:val="0"/>
              <w:spacing w:line="360" w:lineRule="auto"/>
              <w:ind w:firstLine="422" w:firstLineChars="200"/>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val="en-US" w:eastAsia="zh-CN"/>
              </w:rPr>
              <w:t>5.10.2</w:t>
            </w:r>
            <w:r>
              <w:rPr>
                <w:rFonts w:hint="default" w:ascii="Times New Roman" w:hAnsi="Times New Roman" w:cs="Times New Roman"/>
                <w:b/>
                <w:bCs/>
                <w:color w:val="auto"/>
                <w:sz w:val="21"/>
                <w:szCs w:val="21"/>
                <w:highlight w:val="none"/>
                <w:lang w:eastAsia="zh-CN"/>
              </w:rPr>
              <w:t>水生生态保护措施</w:t>
            </w:r>
          </w:p>
          <w:p>
            <w:pPr>
              <w:autoSpaceDE w:val="0"/>
              <w:autoSpaceDN w:val="0"/>
              <w:adjustRightInd w:val="0"/>
              <w:snapToGrid w:val="0"/>
              <w:spacing w:line="360" w:lineRule="auto"/>
              <w:ind w:firstLine="420" w:firstLineChars="20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（1）水库蓄水期间，要确保生态放水管开启，确保生态放水流量的最低要求。</w:t>
            </w:r>
          </w:p>
          <w:p>
            <w:pPr>
              <w:autoSpaceDE w:val="0"/>
              <w:autoSpaceDN w:val="0"/>
              <w:adjustRightInd w:val="0"/>
              <w:snapToGrid w:val="0"/>
              <w:spacing w:line="360" w:lineRule="auto"/>
              <w:ind w:firstLine="420" w:firstLineChars="20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（2）为保护鱼类资源，减小工程建设对鱼类种群和数量的不利影响，</w:t>
            </w:r>
            <w:r>
              <w:rPr>
                <w:rFonts w:hint="default" w:ascii="Times New Roman" w:hAnsi="Times New Roman" w:cs="Times New Roman"/>
                <w:color w:val="auto"/>
                <w:sz w:val="21"/>
                <w:szCs w:val="21"/>
                <w:highlight w:val="none"/>
                <w:lang w:val="en-US" w:eastAsia="zh-CN"/>
              </w:rPr>
              <w:t>单位</w:t>
            </w:r>
            <w:r>
              <w:rPr>
                <w:rFonts w:hint="default" w:ascii="Times New Roman" w:hAnsi="Times New Roman" w:cs="Times New Roman"/>
                <w:color w:val="auto"/>
                <w:sz w:val="21"/>
                <w:szCs w:val="21"/>
                <w:highlight w:val="none"/>
                <w:lang w:eastAsia="zh-CN"/>
              </w:rPr>
              <w:t>应配合渔政部门</w:t>
            </w:r>
            <w:r>
              <w:rPr>
                <w:rFonts w:hint="eastAsia" w:cs="Times New Roman"/>
                <w:color w:val="auto"/>
                <w:sz w:val="21"/>
                <w:szCs w:val="21"/>
                <w:highlight w:val="none"/>
                <w:lang w:eastAsia="zh-CN"/>
              </w:rPr>
              <w:t>做好</w:t>
            </w:r>
            <w:r>
              <w:rPr>
                <w:rFonts w:hint="default" w:ascii="Times New Roman" w:hAnsi="Times New Roman" w:cs="Times New Roman"/>
                <w:color w:val="auto"/>
                <w:sz w:val="21"/>
                <w:szCs w:val="21"/>
                <w:highlight w:val="none"/>
                <w:lang w:eastAsia="zh-CN"/>
              </w:rPr>
              <w:t>宣传教育和鱼类保护工作，接受地方行政主管部门监督。</w:t>
            </w:r>
          </w:p>
          <w:p>
            <w:pPr>
              <w:autoSpaceDE w:val="0"/>
              <w:autoSpaceDN w:val="0"/>
              <w:adjustRightInd w:val="0"/>
              <w:snapToGrid w:val="0"/>
              <w:spacing w:line="360" w:lineRule="auto"/>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val="en-US" w:eastAsia="zh-CN"/>
              </w:rPr>
              <w:t>5.11</w:t>
            </w:r>
            <w:r>
              <w:rPr>
                <w:rFonts w:hint="default" w:ascii="Times New Roman" w:hAnsi="Times New Roman" w:cs="Times New Roman"/>
                <w:b/>
                <w:bCs/>
                <w:color w:val="auto"/>
                <w:sz w:val="21"/>
                <w:szCs w:val="21"/>
                <w:highlight w:val="none"/>
                <w:lang w:eastAsia="zh-CN"/>
              </w:rPr>
              <w:t>水源地水质保护措施</w:t>
            </w:r>
          </w:p>
          <w:p>
            <w:pPr>
              <w:autoSpaceDE w:val="0"/>
              <w:autoSpaceDN w:val="0"/>
              <w:adjustRightInd w:val="0"/>
              <w:snapToGrid w:val="0"/>
              <w:spacing w:line="360" w:lineRule="auto"/>
              <w:ind w:firstLine="420" w:firstLineChars="200"/>
              <w:rPr>
                <w:rFonts w:hint="default" w:ascii="Times New Roman" w:hAnsi="Times New Roman"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val="en-US" w:eastAsia="zh-CN"/>
              </w:rPr>
              <w:t>1、</w:t>
            </w:r>
            <w:r>
              <w:rPr>
                <w:rFonts w:hint="default" w:ascii="Times New Roman" w:hAnsi="Times New Roman" w:cs="Times New Roman"/>
                <w:b w:val="0"/>
                <w:bCs w:val="0"/>
                <w:color w:val="auto"/>
                <w:sz w:val="21"/>
                <w:szCs w:val="21"/>
                <w:highlight w:val="none"/>
                <w:lang w:eastAsia="zh-CN"/>
              </w:rPr>
              <w:t>水库库底清理措施</w:t>
            </w:r>
          </w:p>
          <w:p>
            <w:pPr>
              <w:autoSpaceDE w:val="0"/>
              <w:autoSpaceDN w:val="0"/>
              <w:adjustRightInd w:val="0"/>
              <w:snapToGrid w:val="0"/>
              <w:spacing w:line="360" w:lineRule="auto"/>
              <w:ind w:firstLine="420" w:firstLineChars="200"/>
              <w:rPr>
                <w:rFonts w:hint="default" w:ascii="Times New Roman" w:hAnsi="Times New Roman"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为防止水库淹没区内的植被、杂物等对库区水体的污染，保护水库水资源和下游人群健康，在蓄水前三个月必须完成库底清理工作。</w:t>
            </w:r>
          </w:p>
          <w:p>
            <w:pPr>
              <w:autoSpaceDE w:val="0"/>
              <w:autoSpaceDN w:val="0"/>
              <w:adjustRightInd w:val="0"/>
              <w:snapToGrid w:val="0"/>
              <w:spacing w:line="360" w:lineRule="auto"/>
              <w:ind w:firstLine="420" w:firstLineChars="200"/>
              <w:rPr>
                <w:rFonts w:hint="default" w:ascii="Times New Roman" w:hAnsi="Times New Roman"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w:t>
            </w:r>
            <w:r>
              <w:rPr>
                <w:rFonts w:hint="default" w:ascii="Times New Roman" w:hAnsi="Times New Roman" w:cs="Times New Roman"/>
                <w:b w:val="0"/>
                <w:bCs w:val="0"/>
                <w:color w:val="auto"/>
                <w:sz w:val="21"/>
                <w:szCs w:val="21"/>
                <w:highlight w:val="none"/>
                <w:lang w:val="en-US" w:eastAsia="zh-CN"/>
              </w:rPr>
              <w:t>1</w:t>
            </w:r>
            <w:r>
              <w:rPr>
                <w:rFonts w:hint="default" w:ascii="Times New Roman" w:hAnsi="Times New Roman" w:cs="Times New Roman"/>
                <w:b w:val="0"/>
                <w:bCs w:val="0"/>
                <w:color w:val="auto"/>
                <w:sz w:val="21"/>
                <w:szCs w:val="21"/>
                <w:highlight w:val="none"/>
                <w:lang w:eastAsia="zh-CN"/>
              </w:rPr>
              <w:t>）清理范围</w:t>
            </w:r>
          </w:p>
          <w:p>
            <w:pPr>
              <w:autoSpaceDE w:val="0"/>
              <w:autoSpaceDN w:val="0"/>
              <w:adjustRightInd w:val="0"/>
              <w:snapToGrid w:val="0"/>
              <w:spacing w:line="360" w:lineRule="auto"/>
              <w:ind w:firstLine="420" w:firstLineChars="200"/>
              <w:rPr>
                <w:rFonts w:hint="default" w:ascii="Times New Roman" w:hAnsi="Times New Roman"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参照《水电工程水库库底清理设计规范》（DLT5381-2007），水库库底清理分一般清理和特殊清理。根据项目所在地环境特征和水库淹没调查成果，其库底清理为一般清理。清理范围包括：</w:t>
            </w:r>
          </w:p>
          <w:p>
            <w:pPr>
              <w:autoSpaceDE w:val="0"/>
              <w:autoSpaceDN w:val="0"/>
              <w:adjustRightInd w:val="0"/>
              <w:snapToGrid w:val="0"/>
              <w:spacing w:line="360" w:lineRule="auto"/>
              <w:ind w:firstLine="420" w:firstLineChars="200"/>
              <w:rPr>
                <w:rFonts w:hint="default" w:ascii="Times New Roman" w:hAnsi="Times New Roman"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①</w:t>
            </w:r>
            <w:r>
              <w:rPr>
                <w:rFonts w:hint="default" w:ascii="Times New Roman" w:hAnsi="Times New Roman" w:cs="Times New Roman"/>
                <w:b w:val="0"/>
                <w:bCs w:val="0"/>
                <w:color w:val="auto"/>
                <w:sz w:val="21"/>
                <w:szCs w:val="21"/>
                <w:highlight w:val="none"/>
                <w:lang w:eastAsia="zh-CN"/>
              </w:rPr>
              <w:t>卫生清理范围为居民迁移线以下（不含影响区）区域。</w:t>
            </w:r>
          </w:p>
          <w:p>
            <w:pPr>
              <w:autoSpaceDE w:val="0"/>
              <w:autoSpaceDN w:val="0"/>
              <w:adjustRightInd w:val="0"/>
              <w:snapToGrid w:val="0"/>
              <w:spacing w:line="360" w:lineRule="auto"/>
              <w:ind w:firstLine="420" w:firstLineChars="200"/>
              <w:rPr>
                <w:rFonts w:hint="default" w:ascii="Times New Roman" w:hAnsi="Times New Roman"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②</w:t>
            </w:r>
            <w:r>
              <w:rPr>
                <w:rFonts w:hint="default" w:ascii="Times New Roman" w:hAnsi="Times New Roman" w:cs="Times New Roman"/>
                <w:b w:val="0"/>
                <w:bCs w:val="0"/>
                <w:color w:val="auto"/>
                <w:sz w:val="21"/>
                <w:szCs w:val="21"/>
                <w:highlight w:val="none"/>
                <w:lang w:eastAsia="zh-CN"/>
              </w:rPr>
              <w:t>一般建（构）筑物清理范围为居民迁移线以下区域。</w:t>
            </w:r>
          </w:p>
          <w:p>
            <w:pPr>
              <w:autoSpaceDE w:val="0"/>
              <w:autoSpaceDN w:val="0"/>
              <w:adjustRightInd w:val="0"/>
              <w:snapToGrid w:val="0"/>
              <w:spacing w:line="360" w:lineRule="auto"/>
              <w:ind w:firstLine="420" w:firstLineChars="200"/>
              <w:rPr>
                <w:rFonts w:hint="default" w:ascii="Times New Roman" w:hAnsi="Times New Roman"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③</w:t>
            </w:r>
            <w:r>
              <w:rPr>
                <w:rFonts w:hint="default" w:ascii="Times New Roman" w:hAnsi="Times New Roman" w:cs="Times New Roman"/>
                <w:b w:val="0"/>
                <w:bCs w:val="0"/>
                <w:color w:val="auto"/>
                <w:sz w:val="21"/>
                <w:szCs w:val="21"/>
                <w:highlight w:val="none"/>
                <w:lang w:eastAsia="zh-CN"/>
              </w:rPr>
              <w:t>大体积建（构）筑物残留体清理范围为居民迁移线以下至死水位（含极限死水位）以下 3m 范围内。</w:t>
            </w:r>
          </w:p>
          <w:p>
            <w:pPr>
              <w:autoSpaceDE w:val="0"/>
              <w:autoSpaceDN w:val="0"/>
              <w:adjustRightInd w:val="0"/>
              <w:snapToGrid w:val="0"/>
              <w:spacing w:line="360" w:lineRule="auto"/>
              <w:ind w:firstLine="420" w:firstLineChars="200"/>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④林木清理范围为正常蓄水位以下的水库淹没区。正常蓄水位以下全部水域内的房屋（包括农副业加工设施）、桥墩、线杆、牌坊、牲畜圈，粪坑、墓地、林地等，均属于清理对象。</w:t>
            </w:r>
          </w:p>
          <w:p>
            <w:pPr>
              <w:autoSpaceDE w:val="0"/>
              <w:autoSpaceDN w:val="0"/>
              <w:adjustRightInd w:val="0"/>
              <w:snapToGrid w:val="0"/>
              <w:spacing w:line="360" w:lineRule="auto"/>
              <w:ind w:firstLine="420" w:firstLineChars="200"/>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2</w:t>
            </w:r>
            <w:r>
              <w:rPr>
                <w:rFonts w:hint="default" w:ascii="Times New Roman" w:hAnsi="Times New Roman" w:eastAsia="宋体" w:cs="Times New Roman"/>
                <w:b w:val="0"/>
                <w:bCs w:val="0"/>
                <w:color w:val="auto"/>
                <w:sz w:val="21"/>
                <w:szCs w:val="21"/>
                <w:highlight w:val="none"/>
                <w:lang w:eastAsia="zh-CN"/>
              </w:rPr>
              <w:t>）清理对象</w:t>
            </w:r>
          </w:p>
          <w:p>
            <w:pPr>
              <w:autoSpaceDE w:val="0"/>
              <w:autoSpaceDN w:val="0"/>
              <w:adjustRightInd w:val="0"/>
              <w:snapToGrid w:val="0"/>
              <w:spacing w:line="360" w:lineRule="auto"/>
              <w:ind w:firstLine="420" w:firstLineChars="200"/>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清理对象包括所有可能对水体产生污染的固体、液体废弃物，分为常规（一般）污染源、传染性污染源、生物类污染源、一般固体废物、危险废物等。</w:t>
            </w:r>
          </w:p>
          <w:p>
            <w:pPr>
              <w:autoSpaceDE w:val="0"/>
              <w:autoSpaceDN w:val="0"/>
              <w:adjustRightInd w:val="0"/>
              <w:snapToGrid w:val="0"/>
              <w:spacing w:line="360" w:lineRule="auto"/>
              <w:ind w:firstLine="420" w:firstLineChars="200"/>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①常规（一般）污染源。化粪池、沼气池、粪池、公共厕所、牲畜栏、污水池。生活垃圾及其堆放场。普通坟墓。</w:t>
            </w:r>
          </w:p>
          <w:p>
            <w:pPr>
              <w:autoSpaceDE w:val="0"/>
              <w:autoSpaceDN w:val="0"/>
              <w:adjustRightInd w:val="0"/>
              <w:snapToGrid w:val="0"/>
              <w:spacing w:line="360" w:lineRule="auto"/>
              <w:ind w:firstLine="420" w:firstLineChars="200"/>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②传染性污染源。传染病疫源地。医疗卫生机构工作区和医院垃圾。兽医站、屠宰场及牲畜交易所。传染病死亡者墓地和病死畜掩埋地。</w:t>
            </w:r>
          </w:p>
          <w:p>
            <w:pPr>
              <w:autoSpaceDE w:val="0"/>
              <w:autoSpaceDN w:val="0"/>
              <w:adjustRightInd w:val="0"/>
              <w:snapToGrid w:val="0"/>
              <w:spacing w:line="360" w:lineRule="auto"/>
              <w:ind w:firstLine="420" w:firstLineChars="200"/>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③生物类污染源。居民区、集贸市场、仓库、屠宰场、码头、垃圾堆放场及耕作区的鼠类。钉螺、蟑螂等其他生物类污染源。</w:t>
            </w:r>
          </w:p>
          <w:p>
            <w:pPr>
              <w:autoSpaceDE w:val="0"/>
              <w:autoSpaceDN w:val="0"/>
              <w:adjustRightInd w:val="0"/>
              <w:snapToGrid w:val="0"/>
              <w:spacing w:line="360" w:lineRule="auto"/>
              <w:ind w:firstLine="420" w:firstLineChars="200"/>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④一般固体废物。一般工业固体废物。废弃建筑材料。不属于危险废物的废弃尾矿渣，暂未发现。</w:t>
            </w:r>
          </w:p>
          <w:p>
            <w:pPr>
              <w:autoSpaceDE w:val="0"/>
              <w:autoSpaceDN w:val="0"/>
              <w:adjustRightInd w:val="0"/>
              <w:snapToGrid w:val="0"/>
              <w:spacing w:line="360" w:lineRule="auto"/>
              <w:ind w:firstLine="420" w:firstLineChars="200"/>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⑤危险废物。列入环发《国家危险废物名录》或根据 GB5085 认定的具有危险特征的固体废物，暂未发现，仅罗列。</w:t>
            </w:r>
          </w:p>
          <w:p>
            <w:pPr>
              <w:autoSpaceDE w:val="0"/>
              <w:autoSpaceDN w:val="0"/>
              <w:adjustRightInd w:val="0"/>
              <w:snapToGrid w:val="0"/>
              <w:spacing w:line="360" w:lineRule="auto"/>
              <w:ind w:firstLine="420" w:firstLineChars="200"/>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本</w:t>
            </w:r>
            <w:r>
              <w:rPr>
                <w:rFonts w:hint="default" w:ascii="Times New Roman" w:hAnsi="Times New Roman" w:eastAsia="宋体" w:cs="Times New Roman"/>
                <w:b w:val="0"/>
                <w:bCs w:val="0"/>
                <w:color w:val="auto"/>
                <w:sz w:val="21"/>
                <w:szCs w:val="21"/>
                <w:highlight w:val="none"/>
                <w:lang w:eastAsia="zh-CN"/>
              </w:rPr>
              <w:t>水库工程清理对象主要为第①类。</w:t>
            </w:r>
          </w:p>
          <w:p>
            <w:pPr>
              <w:autoSpaceDE w:val="0"/>
              <w:autoSpaceDN w:val="0"/>
              <w:adjustRightInd w:val="0"/>
              <w:snapToGrid w:val="0"/>
              <w:spacing w:line="360" w:lineRule="auto"/>
              <w:ind w:firstLine="420" w:firstLineChars="200"/>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3</w:t>
            </w:r>
            <w:r>
              <w:rPr>
                <w:rFonts w:hint="default" w:ascii="Times New Roman" w:hAnsi="Times New Roman" w:eastAsia="宋体" w:cs="Times New Roman"/>
                <w:b w:val="0"/>
                <w:bCs w:val="0"/>
                <w:color w:val="auto"/>
                <w:sz w:val="21"/>
                <w:szCs w:val="21"/>
                <w:highlight w:val="none"/>
                <w:lang w:eastAsia="zh-CN"/>
              </w:rPr>
              <w:t>）清理要求</w:t>
            </w:r>
          </w:p>
          <w:p>
            <w:pPr>
              <w:autoSpaceDE w:val="0"/>
              <w:autoSpaceDN w:val="0"/>
              <w:adjustRightInd w:val="0"/>
              <w:snapToGrid w:val="0"/>
              <w:spacing w:line="360" w:lineRule="auto"/>
              <w:ind w:firstLine="420" w:firstLineChars="200"/>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①常规（一般）污染源</w:t>
            </w:r>
          </w:p>
          <w:p>
            <w:pPr>
              <w:autoSpaceDE w:val="0"/>
              <w:autoSpaceDN w:val="0"/>
              <w:adjustRightInd w:val="0"/>
              <w:snapToGrid w:val="0"/>
              <w:spacing w:line="360" w:lineRule="auto"/>
              <w:ind w:firstLine="420" w:firstLineChars="200"/>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A、</w:t>
            </w:r>
            <w:r>
              <w:rPr>
                <w:rFonts w:hint="default" w:ascii="Times New Roman" w:hAnsi="Times New Roman" w:eastAsia="宋体" w:cs="Times New Roman"/>
                <w:b w:val="0"/>
                <w:bCs w:val="0"/>
                <w:color w:val="auto"/>
                <w:sz w:val="21"/>
                <w:szCs w:val="21"/>
                <w:highlight w:val="none"/>
                <w:lang w:eastAsia="zh-CN"/>
              </w:rPr>
              <w:t>化粪池、沼气池、粪池、公共厕所、牲畜栏、污水池</w:t>
            </w:r>
          </w:p>
          <w:p>
            <w:pPr>
              <w:autoSpaceDE w:val="0"/>
              <w:autoSpaceDN w:val="0"/>
              <w:adjustRightInd w:val="0"/>
              <w:snapToGrid w:val="0"/>
              <w:spacing w:line="360" w:lineRule="auto"/>
              <w:ind w:firstLine="420" w:firstLineChars="200"/>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化粪池、沼气池、粪池、公共厕所、牲畜栏、污水池中的粪便、污泥应彻底清掏至库外，无法清掏的残留物，应加等量生石灰或按1kg/m</w:t>
            </w:r>
            <w:r>
              <w:rPr>
                <w:rFonts w:hint="default" w:ascii="Times New Roman" w:hAnsi="Times New Roman" w:eastAsia="宋体" w:cs="Times New Roman"/>
                <w:b w:val="0"/>
                <w:bCs w:val="0"/>
                <w:color w:val="auto"/>
                <w:sz w:val="21"/>
                <w:szCs w:val="21"/>
                <w:highlight w:val="none"/>
                <w:vertAlign w:val="superscript"/>
                <w:lang w:eastAsia="zh-CN"/>
              </w:rPr>
              <w:t>2</w:t>
            </w:r>
            <w:r>
              <w:rPr>
                <w:rFonts w:hint="default" w:ascii="Times New Roman" w:hAnsi="Times New Roman" w:eastAsia="宋体" w:cs="Times New Roman"/>
                <w:b w:val="0"/>
                <w:bCs w:val="0"/>
                <w:color w:val="auto"/>
                <w:sz w:val="21"/>
                <w:szCs w:val="21"/>
                <w:highlight w:val="none"/>
                <w:lang w:eastAsia="zh-CN"/>
              </w:rPr>
              <w:t>撒布漂白粉混匀消毒后清除。化粪池、沼气池、粪池、牲畜栏、污水池的坑穴用生石灰或漂白粉（此处和以下使用的漂白粉有效氯含量均以大于20%计算）按 1kg/m</w:t>
            </w:r>
            <w:r>
              <w:rPr>
                <w:rFonts w:hint="default" w:ascii="Times New Roman" w:hAnsi="Times New Roman" w:eastAsia="宋体" w:cs="Times New Roman"/>
                <w:b w:val="0"/>
                <w:bCs w:val="0"/>
                <w:color w:val="auto"/>
                <w:sz w:val="21"/>
                <w:szCs w:val="21"/>
                <w:highlight w:val="none"/>
                <w:vertAlign w:val="superscript"/>
                <w:lang w:eastAsia="zh-CN"/>
              </w:rPr>
              <w:t>2</w:t>
            </w:r>
            <w:r>
              <w:rPr>
                <w:rFonts w:hint="default" w:ascii="Times New Roman" w:hAnsi="Times New Roman" w:eastAsia="宋体" w:cs="Times New Roman"/>
                <w:b w:val="0"/>
                <w:bCs w:val="0"/>
                <w:color w:val="auto"/>
                <w:sz w:val="21"/>
                <w:szCs w:val="21"/>
                <w:highlight w:val="none"/>
                <w:lang w:eastAsia="zh-CN"/>
              </w:rPr>
              <w:t>撒布、浇湿后，用农田土壤或建筑渣土填平、压实。公共厕所地面和坑穴表面用 4%漂白粉上清液按 1kg/m</w:t>
            </w:r>
            <w:r>
              <w:rPr>
                <w:rFonts w:hint="default" w:ascii="Times New Roman" w:hAnsi="Times New Roman" w:eastAsia="宋体" w:cs="Times New Roman"/>
                <w:b w:val="0"/>
                <w:bCs w:val="0"/>
                <w:color w:val="auto"/>
                <w:sz w:val="21"/>
                <w:szCs w:val="21"/>
                <w:highlight w:val="none"/>
                <w:vertAlign w:val="superscript"/>
                <w:lang w:eastAsia="zh-CN"/>
              </w:rPr>
              <w:t>2</w:t>
            </w:r>
            <w:r>
              <w:rPr>
                <w:rFonts w:hint="default" w:ascii="Times New Roman" w:hAnsi="Times New Roman" w:eastAsia="宋体" w:cs="Times New Roman"/>
                <w:b w:val="0"/>
                <w:bCs w:val="0"/>
                <w:color w:val="auto"/>
                <w:sz w:val="21"/>
                <w:szCs w:val="21"/>
                <w:highlight w:val="none"/>
                <w:lang w:eastAsia="zh-CN"/>
              </w:rPr>
              <w:t>～2kg/m</w:t>
            </w:r>
            <w:r>
              <w:rPr>
                <w:rFonts w:hint="default" w:ascii="Times New Roman" w:hAnsi="Times New Roman" w:eastAsia="宋体" w:cs="Times New Roman"/>
                <w:b w:val="0"/>
                <w:bCs w:val="0"/>
                <w:color w:val="auto"/>
                <w:sz w:val="21"/>
                <w:szCs w:val="21"/>
                <w:highlight w:val="none"/>
                <w:vertAlign w:val="superscript"/>
                <w:lang w:eastAsia="zh-CN"/>
              </w:rPr>
              <w:t>2</w:t>
            </w:r>
            <w:r>
              <w:rPr>
                <w:rFonts w:hint="default" w:ascii="Times New Roman" w:hAnsi="Times New Roman" w:eastAsia="宋体" w:cs="Times New Roman"/>
                <w:b w:val="0"/>
                <w:bCs w:val="0"/>
                <w:color w:val="auto"/>
                <w:sz w:val="21"/>
                <w:szCs w:val="21"/>
                <w:highlight w:val="none"/>
                <w:lang w:eastAsia="zh-CN"/>
              </w:rPr>
              <w:t>喷洒。</w:t>
            </w:r>
          </w:p>
          <w:p>
            <w:pPr>
              <w:autoSpaceDE w:val="0"/>
              <w:autoSpaceDN w:val="0"/>
              <w:adjustRightInd w:val="0"/>
              <w:snapToGrid w:val="0"/>
              <w:spacing w:line="360" w:lineRule="auto"/>
              <w:ind w:firstLine="420" w:firstLineChars="200"/>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B、</w:t>
            </w:r>
            <w:r>
              <w:rPr>
                <w:rFonts w:hint="default" w:ascii="Times New Roman" w:hAnsi="Times New Roman" w:eastAsia="宋体" w:cs="Times New Roman"/>
                <w:b w:val="0"/>
                <w:bCs w:val="0"/>
                <w:color w:val="auto"/>
                <w:sz w:val="21"/>
                <w:szCs w:val="21"/>
                <w:highlight w:val="none"/>
                <w:lang w:eastAsia="zh-CN"/>
              </w:rPr>
              <w:t>生活垃圾的处理处置。</w:t>
            </w:r>
          </w:p>
          <w:p>
            <w:pPr>
              <w:autoSpaceDE w:val="0"/>
              <w:autoSpaceDN w:val="0"/>
              <w:adjustRightInd w:val="0"/>
              <w:snapToGrid w:val="0"/>
              <w:spacing w:line="360" w:lineRule="auto"/>
              <w:ind w:firstLine="420" w:firstLineChars="200"/>
              <w:rPr>
                <w:rFonts w:hint="default" w:ascii="Times New Roman" w:hAnsi="Times New Roman"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生活垃圾堆放场应根据垃圾堆龄、组成及体积进行无害化处理、资源化处理和就地处理处置；无害化处理一般可采取堆肥法、焚烧法和卫生填埋法等方法。经无害化处理的废物应化学性质稳定、病原体被杀灭，达到国家有关固体废物无害化处理卫生评价标准要求；资源化处理可采取化害为利，变废为宝，回收再生资源等多途径综合利用措施；大型生活垃圾堆场的处理应进行方案比选、专项设计。</w:t>
            </w:r>
          </w:p>
          <w:p>
            <w:pPr>
              <w:autoSpaceDE w:val="0"/>
              <w:autoSpaceDN w:val="0"/>
              <w:adjustRightInd w:val="0"/>
              <w:snapToGrid w:val="0"/>
              <w:spacing w:line="360" w:lineRule="auto"/>
              <w:ind w:firstLine="420" w:firstLineChars="200"/>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C、普通坟墓。</w:t>
            </w:r>
          </w:p>
          <w:p>
            <w:pPr>
              <w:autoSpaceDE w:val="0"/>
              <w:autoSpaceDN w:val="0"/>
              <w:adjustRightInd w:val="0"/>
              <w:snapToGrid w:val="0"/>
              <w:spacing w:line="360" w:lineRule="auto"/>
              <w:ind w:firstLine="420" w:firstLineChars="200"/>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有主坟墓应限期迁出库区，过期无人管理一律按无主坟墓处理。埋葬15 年以内的墓穴及周围土应摊晒，或直接用 4%漂白粉上清液按1kg/m</w:t>
            </w:r>
            <w:r>
              <w:rPr>
                <w:rFonts w:hint="default" w:ascii="Times New Roman" w:hAnsi="Times New Roman" w:cs="Times New Roman"/>
                <w:b w:val="0"/>
                <w:bCs w:val="0"/>
                <w:color w:val="auto"/>
                <w:sz w:val="21"/>
                <w:szCs w:val="21"/>
                <w:highlight w:val="none"/>
                <w:vertAlign w:val="superscript"/>
                <w:lang w:val="en-US" w:eastAsia="zh-CN"/>
              </w:rPr>
              <w:t>2</w:t>
            </w:r>
            <w:r>
              <w:rPr>
                <w:rFonts w:hint="default" w:ascii="Times New Roman" w:hAnsi="Times New Roman" w:cs="Times New Roman"/>
                <w:b w:val="0"/>
                <w:bCs w:val="0"/>
                <w:color w:val="auto"/>
                <w:sz w:val="21"/>
                <w:szCs w:val="21"/>
                <w:highlight w:val="none"/>
                <w:lang w:val="en-US" w:eastAsia="zh-CN"/>
              </w:rPr>
              <w:t>～2kg/m</w:t>
            </w:r>
            <w:r>
              <w:rPr>
                <w:rFonts w:hint="default" w:ascii="Times New Roman" w:hAnsi="Times New Roman" w:cs="Times New Roman"/>
                <w:b w:val="0"/>
                <w:bCs w:val="0"/>
                <w:color w:val="auto"/>
                <w:sz w:val="21"/>
                <w:szCs w:val="21"/>
                <w:highlight w:val="none"/>
                <w:vertAlign w:val="superscript"/>
                <w:lang w:val="en-US" w:eastAsia="zh-CN"/>
              </w:rPr>
              <w:t>2</w:t>
            </w:r>
            <w:r>
              <w:rPr>
                <w:rFonts w:hint="default" w:ascii="Times New Roman" w:hAnsi="Times New Roman" w:cs="Times New Roman"/>
                <w:b w:val="0"/>
                <w:bCs w:val="0"/>
                <w:color w:val="auto"/>
                <w:sz w:val="21"/>
                <w:szCs w:val="21"/>
                <w:highlight w:val="none"/>
                <w:lang w:val="en-US" w:eastAsia="zh-CN"/>
              </w:rPr>
              <w:t xml:space="preserve"> 或生石灰 0.5kg/m</w:t>
            </w:r>
            <w:r>
              <w:rPr>
                <w:rFonts w:hint="default" w:ascii="Times New Roman" w:hAnsi="Times New Roman" w:cs="Times New Roman"/>
                <w:b w:val="0"/>
                <w:bCs w:val="0"/>
                <w:color w:val="auto"/>
                <w:sz w:val="21"/>
                <w:szCs w:val="21"/>
                <w:highlight w:val="none"/>
                <w:vertAlign w:val="superscript"/>
                <w:lang w:val="en-US" w:eastAsia="zh-CN"/>
              </w:rPr>
              <w:t>2</w:t>
            </w:r>
            <w:r>
              <w:rPr>
                <w:rFonts w:hint="default" w:ascii="Times New Roman" w:hAnsi="Times New Roman" w:cs="Times New Roman"/>
                <w:b w:val="0"/>
                <w:bCs w:val="0"/>
                <w:color w:val="auto"/>
                <w:sz w:val="21"/>
                <w:szCs w:val="21"/>
                <w:highlight w:val="none"/>
                <w:lang w:val="en-US" w:eastAsia="zh-CN"/>
              </w:rPr>
              <w:t>～1kg/m</w:t>
            </w:r>
            <w:r>
              <w:rPr>
                <w:rFonts w:hint="default" w:ascii="Times New Roman" w:hAnsi="Times New Roman" w:cs="Times New Roman"/>
                <w:b w:val="0"/>
                <w:bCs w:val="0"/>
                <w:color w:val="auto"/>
                <w:sz w:val="21"/>
                <w:szCs w:val="21"/>
                <w:highlight w:val="none"/>
                <w:vertAlign w:val="superscript"/>
                <w:lang w:val="en-US" w:eastAsia="zh-CN"/>
              </w:rPr>
              <w:t>2</w:t>
            </w:r>
            <w:r>
              <w:rPr>
                <w:rFonts w:hint="default" w:ascii="Times New Roman" w:hAnsi="Times New Roman" w:cs="Times New Roman"/>
                <w:b w:val="0"/>
                <w:bCs w:val="0"/>
                <w:color w:val="auto"/>
                <w:sz w:val="21"/>
                <w:szCs w:val="21"/>
                <w:highlight w:val="none"/>
                <w:lang w:val="en-US" w:eastAsia="zh-CN"/>
              </w:rPr>
              <w:t xml:space="preserve"> 处理后，回填压实。无主坟墓，要将尸体挖出焚烧。埋葬超过 15 年的无主坟墓压实处理。坟墓清理应当尊重当地少数民族的丧葬习俗。</w:t>
            </w:r>
          </w:p>
          <w:p>
            <w:pPr>
              <w:autoSpaceDE w:val="0"/>
              <w:autoSpaceDN w:val="0"/>
              <w:adjustRightInd w:val="0"/>
              <w:snapToGrid w:val="0"/>
              <w:spacing w:line="360" w:lineRule="auto"/>
              <w:ind w:firstLine="420" w:firstLineChars="200"/>
              <w:rPr>
                <w:rFonts w:hint="default" w:ascii="Times New Roman" w:hAnsi="Times New Roman"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val="en-US" w:eastAsia="zh-CN"/>
              </w:rPr>
              <w:t>2、</w:t>
            </w:r>
            <w:r>
              <w:rPr>
                <w:rFonts w:hint="default" w:ascii="Times New Roman" w:hAnsi="Times New Roman" w:cs="Times New Roman"/>
                <w:b w:val="0"/>
                <w:bCs w:val="0"/>
                <w:color w:val="auto"/>
                <w:sz w:val="21"/>
                <w:szCs w:val="21"/>
                <w:highlight w:val="none"/>
                <w:lang w:eastAsia="zh-CN"/>
              </w:rPr>
              <w:t>库区污染防治措施</w:t>
            </w:r>
          </w:p>
          <w:p>
            <w:pPr>
              <w:autoSpaceDE w:val="0"/>
              <w:autoSpaceDN w:val="0"/>
              <w:adjustRightInd w:val="0"/>
              <w:snapToGrid w:val="0"/>
              <w:spacing w:line="360" w:lineRule="auto"/>
              <w:ind w:firstLine="420" w:firstLineChars="200"/>
              <w:rPr>
                <w:rFonts w:hint="default" w:ascii="Times New Roman" w:hAnsi="Times New Roman"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 xml:space="preserve">库区污染防治措施主要为防治水库富营养化。 </w:t>
            </w:r>
          </w:p>
          <w:p>
            <w:pPr>
              <w:autoSpaceDE w:val="0"/>
              <w:autoSpaceDN w:val="0"/>
              <w:adjustRightInd w:val="0"/>
              <w:snapToGrid w:val="0"/>
              <w:spacing w:line="360" w:lineRule="auto"/>
              <w:ind w:firstLine="420" w:firstLineChars="200"/>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预防措施。加强管理，库周居民尽量使用无磷洗衣粉。调整农业结构，尽量使用有机肥，控制化肥和农药使用量，减少面源污染。加强集雨区水土保持，减少入库泥沙量，从而减少水库中磷等营养物质浓度。水库可适量养殖一些高等水生植物，防止水库的富营养化。</w:t>
            </w:r>
          </w:p>
          <w:p>
            <w:pPr>
              <w:autoSpaceDE w:val="0"/>
              <w:autoSpaceDN w:val="0"/>
              <w:adjustRightInd w:val="0"/>
              <w:snapToGrid w:val="0"/>
              <w:spacing w:line="360" w:lineRule="auto"/>
              <w:ind w:firstLine="420" w:firstLineChars="200"/>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藻类水华控制。针对湖库型饮用水水源地的水华主要发生区域，分析其水文、水化学特征、营养负荷特征，以不同水华发生特征为基础，研究制定水华控制方案。除藻技术有机械打捞、工程物理、生物控藻三类。</w:t>
            </w:r>
          </w:p>
          <w:p>
            <w:pPr>
              <w:autoSpaceDE w:val="0"/>
              <w:autoSpaceDN w:val="0"/>
              <w:adjustRightInd w:val="0"/>
              <w:snapToGrid w:val="0"/>
              <w:spacing w:line="360" w:lineRule="auto"/>
              <w:ind w:firstLine="420" w:firstLineChars="200"/>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机械打捞。高效机械打捞和水藻高效分离技术：通过合适的过滤或者絮凝等技术与装置，高效打捞并实现藻水分离。藻类打捞时间和地点确定技术：根据短期的气象与水文预测信息，确定在未来时间内藻类水华易聚集的时间和地点，组织人员和机械，在藻类高度聚集的水域打捞藻类，提高打捞效率。藻类与畜禽粪便混合发酵生产沼气技术：根据藻类难以发酵的特点，将其与畜禽粪便混合，提高发酵生产沼气的效率。</w:t>
            </w:r>
          </w:p>
          <w:p>
            <w:pPr>
              <w:autoSpaceDE w:val="0"/>
              <w:autoSpaceDN w:val="0"/>
              <w:adjustRightInd w:val="0"/>
              <w:snapToGrid w:val="0"/>
              <w:spacing w:line="360" w:lineRule="auto"/>
              <w:ind w:firstLine="420" w:firstLineChars="200"/>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工程物理。利用过滤、紫外线、电磁电场等物理学方法，对藻类进行杀灭或抑制的技术。物理方法除藻效果普遍较好，可持久使用，但一次性投入成本很高且处理能力有限，大都局限于水处理工程中的应用。</w:t>
            </w:r>
          </w:p>
          <w:p>
            <w:pPr>
              <w:autoSpaceDE w:val="0"/>
              <w:autoSpaceDN w:val="0"/>
              <w:adjustRightInd w:val="0"/>
              <w:snapToGrid w:val="0"/>
              <w:spacing w:line="360" w:lineRule="auto"/>
              <w:ind w:firstLine="420" w:firstLineChars="200"/>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生物控藻。利用藻类的天敌及其产生的生长抑制物质来控制或杀灭藻类的技术，主要包括：</w:t>
            </w:r>
            <w:r>
              <w:rPr>
                <w:rFonts w:hint="default" w:ascii="Times New Roman" w:hAnsi="Times New Roman" w:eastAsia="宋体" w:cs="Times New Roman"/>
                <w:b w:val="0"/>
                <w:bCs w:val="0"/>
                <w:color w:val="auto"/>
                <w:sz w:val="21"/>
                <w:szCs w:val="21"/>
                <w:highlight w:val="none"/>
                <w:lang w:val="en-US" w:eastAsia="zh-CN"/>
              </w:rPr>
              <w:t>①</w:t>
            </w:r>
            <w:r>
              <w:rPr>
                <w:rFonts w:hint="default" w:ascii="Times New Roman" w:hAnsi="Times New Roman" w:cs="Times New Roman"/>
                <w:b w:val="0"/>
                <w:bCs w:val="0"/>
                <w:color w:val="auto"/>
                <w:sz w:val="21"/>
                <w:szCs w:val="21"/>
                <w:highlight w:val="none"/>
                <w:lang w:val="en-US" w:eastAsia="zh-CN"/>
              </w:rPr>
              <w:t>利用藻类病原菌（细菌、真菌）抑制藻类生长；</w:t>
            </w:r>
            <w:r>
              <w:rPr>
                <w:rFonts w:hint="default" w:ascii="Times New Roman" w:hAnsi="Times New Roman" w:eastAsia="宋体" w:cs="Times New Roman"/>
                <w:b w:val="0"/>
                <w:bCs w:val="0"/>
                <w:color w:val="auto"/>
                <w:sz w:val="21"/>
                <w:szCs w:val="21"/>
                <w:highlight w:val="none"/>
                <w:lang w:val="en-US" w:eastAsia="zh-CN"/>
              </w:rPr>
              <w:t>②</w:t>
            </w:r>
            <w:r>
              <w:rPr>
                <w:rFonts w:hint="default" w:ascii="Times New Roman" w:hAnsi="Times New Roman" w:cs="Times New Roman"/>
                <w:b w:val="0"/>
                <w:bCs w:val="0"/>
                <w:color w:val="auto"/>
                <w:sz w:val="21"/>
                <w:szCs w:val="21"/>
                <w:highlight w:val="none"/>
                <w:lang w:val="en-US" w:eastAsia="zh-CN"/>
              </w:rPr>
              <w:t>利用藻类病毒（噬藻体）控制藻类的生长；</w:t>
            </w:r>
            <w:r>
              <w:rPr>
                <w:rFonts w:hint="default" w:ascii="Times New Roman" w:hAnsi="Times New Roman" w:eastAsia="宋体" w:cs="Times New Roman"/>
                <w:b w:val="0"/>
                <w:bCs w:val="0"/>
                <w:color w:val="auto"/>
                <w:sz w:val="21"/>
                <w:szCs w:val="21"/>
                <w:highlight w:val="none"/>
                <w:lang w:val="en-US" w:eastAsia="zh-CN"/>
              </w:rPr>
              <w:t>③</w:t>
            </w:r>
            <w:r>
              <w:rPr>
                <w:rFonts w:hint="default" w:ascii="Times New Roman" w:hAnsi="Times New Roman" w:cs="Times New Roman"/>
                <w:b w:val="0"/>
                <w:bCs w:val="0"/>
                <w:color w:val="auto"/>
                <w:sz w:val="21"/>
                <w:szCs w:val="21"/>
                <w:highlight w:val="none"/>
                <w:lang w:val="en-US" w:eastAsia="zh-CN"/>
              </w:rPr>
              <w:t>利用植物的抑制物质、植物间的相互抑制以及富集合争夺营养源的抑藻作用；</w:t>
            </w:r>
            <w:r>
              <w:rPr>
                <w:rFonts w:hint="default" w:ascii="Times New Roman" w:hAnsi="Times New Roman" w:eastAsia="宋体" w:cs="Times New Roman"/>
                <w:b w:val="0"/>
                <w:bCs w:val="0"/>
                <w:color w:val="auto"/>
                <w:sz w:val="21"/>
                <w:szCs w:val="21"/>
                <w:highlight w:val="none"/>
                <w:lang w:val="en-US" w:eastAsia="zh-CN"/>
              </w:rPr>
              <w:t>④</w:t>
            </w:r>
            <w:r>
              <w:rPr>
                <w:rFonts w:hint="default" w:ascii="Times New Roman" w:hAnsi="Times New Roman" w:cs="Times New Roman"/>
                <w:b w:val="0"/>
                <w:bCs w:val="0"/>
                <w:color w:val="auto"/>
                <w:sz w:val="21"/>
                <w:szCs w:val="21"/>
                <w:highlight w:val="none"/>
                <w:lang w:val="en-US" w:eastAsia="zh-CN"/>
              </w:rPr>
              <w:t>利用食藻鱼类控制藻类生长；</w:t>
            </w:r>
            <w:r>
              <w:rPr>
                <w:rFonts w:hint="default" w:ascii="Times New Roman" w:hAnsi="Times New Roman" w:eastAsia="宋体" w:cs="Times New Roman"/>
                <w:b w:val="0"/>
                <w:bCs w:val="0"/>
                <w:color w:val="auto"/>
                <w:sz w:val="21"/>
                <w:szCs w:val="21"/>
                <w:highlight w:val="none"/>
                <w:lang w:val="en-US" w:eastAsia="zh-CN"/>
              </w:rPr>
              <w:t>⑤</w:t>
            </w:r>
            <w:r>
              <w:rPr>
                <w:rFonts w:hint="default" w:ascii="Times New Roman" w:hAnsi="Times New Roman" w:cs="Times New Roman"/>
                <w:b w:val="0"/>
                <w:bCs w:val="0"/>
                <w:color w:val="auto"/>
                <w:sz w:val="21"/>
                <w:szCs w:val="21"/>
                <w:highlight w:val="none"/>
                <w:lang w:val="en-US" w:eastAsia="zh-CN"/>
              </w:rPr>
              <w:t>酶处理技术。生物防治是最为科学的方法，藻类</w:t>
            </w:r>
            <w:r>
              <w:rPr>
                <w:rFonts w:hint="eastAsia" w:cs="Times New Roman"/>
                <w:b w:val="0"/>
                <w:bCs w:val="0"/>
                <w:color w:val="auto"/>
                <w:sz w:val="21"/>
                <w:szCs w:val="21"/>
                <w:highlight w:val="none"/>
                <w:lang w:val="en-US" w:eastAsia="zh-CN"/>
              </w:rPr>
              <w:t>不宜</w:t>
            </w:r>
            <w:r>
              <w:rPr>
                <w:rFonts w:hint="default" w:ascii="Times New Roman" w:hAnsi="Times New Roman" w:cs="Times New Roman"/>
                <w:b w:val="0"/>
                <w:bCs w:val="0"/>
                <w:color w:val="auto"/>
                <w:sz w:val="21"/>
                <w:szCs w:val="21"/>
                <w:highlight w:val="none"/>
                <w:lang w:val="en-US" w:eastAsia="zh-CN"/>
              </w:rPr>
              <w:t>采用化学药剂来彻底杀灭，一是难以做到，二是代价太大，三是造成环境污染或破坏生态平衡；改用生物学方法并不是彻底杀灭或消除藻类，而是利用生态平衡原理将藻类的生长和繁殖控制在非危害水平之下，从而控制藻体数量、防治富营养化带来的各种危害。</w:t>
            </w:r>
          </w:p>
          <w:p>
            <w:pPr>
              <w:autoSpaceDE w:val="0"/>
              <w:autoSpaceDN w:val="0"/>
              <w:adjustRightInd w:val="0"/>
              <w:snapToGrid w:val="0"/>
              <w:spacing w:line="360" w:lineRule="auto"/>
              <w:ind w:firstLine="420" w:firstLineChars="200"/>
              <w:rPr>
                <w:rFonts w:hint="default" w:ascii="Times New Roman" w:hAnsi="Times New Roman"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val="en-US" w:eastAsia="zh-CN"/>
              </w:rPr>
              <w:t>3、</w:t>
            </w:r>
            <w:r>
              <w:rPr>
                <w:rFonts w:hint="default" w:ascii="Times New Roman" w:hAnsi="Times New Roman" w:cs="Times New Roman"/>
                <w:b w:val="0"/>
                <w:bCs w:val="0"/>
                <w:color w:val="auto"/>
                <w:sz w:val="21"/>
                <w:szCs w:val="21"/>
                <w:highlight w:val="none"/>
                <w:lang w:eastAsia="zh-CN"/>
              </w:rPr>
              <w:t>农业面源污染控制</w:t>
            </w:r>
          </w:p>
          <w:p>
            <w:pPr>
              <w:autoSpaceDE w:val="0"/>
              <w:autoSpaceDN w:val="0"/>
              <w:adjustRightInd w:val="0"/>
              <w:snapToGrid w:val="0"/>
              <w:spacing w:line="360" w:lineRule="auto"/>
              <w:ind w:firstLine="420" w:firstLineChars="200"/>
              <w:rPr>
                <w:rFonts w:hint="default" w:ascii="Times New Roman" w:hAnsi="Times New Roman" w:cs="Times New Roman"/>
                <w:b w:val="0"/>
                <w:bCs w:val="0"/>
                <w:color w:val="auto"/>
                <w:sz w:val="21"/>
                <w:szCs w:val="21"/>
                <w:highlight w:val="none"/>
                <w:lang w:eastAsia="zh-CN"/>
              </w:rPr>
            </w:pPr>
            <w:r>
              <w:rPr>
                <w:rFonts w:hint="eastAsia" w:cs="Times New Roman"/>
                <w:b w:val="0"/>
                <w:bCs w:val="0"/>
                <w:color w:val="auto"/>
                <w:sz w:val="21"/>
                <w:szCs w:val="21"/>
                <w:highlight w:val="none"/>
                <w:lang w:val="en-US" w:eastAsia="zh-CN"/>
              </w:rPr>
              <w:t>堰沟</w:t>
            </w:r>
            <w:r>
              <w:rPr>
                <w:rFonts w:hint="default" w:ascii="Times New Roman" w:hAnsi="Times New Roman" w:cs="Times New Roman"/>
                <w:b w:val="0"/>
                <w:bCs w:val="0"/>
                <w:color w:val="auto"/>
                <w:sz w:val="21"/>
                <w:szCs w:val="21"/>
                <w:highlight w:val="none"/>
                <w:lang w:eastAsia="zh-CN"/>
              </w:rPr>
              <w:t>水库库区水质主要受农业面源影响，控制面源污染是保证库区水质最为重要的途径。</w:t>
            </w:r>
          </w:p>
          <w:p>
            <w:pPr>
              <w:autoSpaceDE w:val="0"/>
              <w:autoSpaceDN w:val="0"/>
              <w:adjustRightInd w:val="0"/>
              <w:snapToGrid w:val="0"/>
              <w:spacing w:line="360" w:lineRule="auto"/>
              <w:ind w:firstLine="420" w:firstLineChars="200"/>
              <w:rPr>
                <w:rFonts w:hint="default" w:ascii="Times New Roman" w:hAnsi="Times New Roman"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（1）按照《农村生活污染防治技术政策》（环发</w:t>
            </w:r>
            <w:r>
              <w:rPr>
                <w:rFonts w:hint="eastAsia" w:cs="Times New Roman"/>
                <w:b w:val="0"/>
                <w:bCs w:val="0"/>
                <w:color w:val="auto"/>
                <w:sz w:val="21"/>
                <w:szCs w:val="21"/>
                <w:highlight w:val="none"/>
                <w:lang w:eastAsia="zh-CN"/>
              </w:rPr>
              <w:t>〔</w:t>
            </w:r>
            <w:r>
              <w:rPr>
                <w:rFonts w:hint="default" w:ascii="Times New Roman" w:hAnsi="Times New Roman" w:cs="Times New Roman"/>
                <w:b w:val="0"/>
                <w:bCs w:val="0"/>
                <w:color w:val="auto"/>
                <w:sz w:val="21"/>
                <w:szCs w:val="21"/>
                <w:highlight w:val="none"/>
                <w:lang w:eastAsia="zh-CN"/>
              </w:rPr>
              <w:t>2010</w:t>
            </w:r>
            <w:r>
              <w:rPr>
                <w:rFonts w:hint="eastAsia" w:cs="Times New Roman"/>
                <w:b w:val="0"/>
                <w:bCs w:val="0"/>
                <w:color w:val="auto"/>
                <w:sz w:val="21"/>
                <w:szCs w:val="21"/>
                <w:highlight w:val="none"/>
                <w:lang w:eastAsia="zh-CN"/>
              </w:rPr>
              <w:t>〕</w:t>
            </w:r>
            <w:r>
              <w:rPr>
                <w:rFonts w:hint="default" w:ascii="Times New Roman" w:hAnsi="Times New Roman" w:cs="Times New Roman"/>
                <w:b w:val="0"/>
                <w:bCs w:val="0"/>
                <w:color w:val="auto"/>
                <w:sz w:val="21"/>
                <w:szCs w:val="21"/>
                <w:highlight w:val="none"/>
                <w:lang w:eastAsia="zh-CN"/>
              </w:rPr>
              <w:t>20号），对于水库集雨范围内的分散居民点，采用庭院式小型湿地、沼气净化池和小型净化槽等处理技术和设施处理生活污水，利用洼地、农田等进一步净化、储存和利用，不得直接排入水体；污水处理设施产生的污泥、沼液及沼渣等可作为农肥施用。</w:t>
            </w:r>
          </w:p>
          <w:p>
            <w:pPr>
              <w:autoSpaceDE w:val="0"/>
              <w:autoSpaceDN w:val="0"/>
              <w:adjustRightInd w:val="0"/>
              <w:snapToGrid w:val="0"/>
              <w:spacing w:line="360" w:lineRule="auto"/>
              <w:ind w:firstLine="420" w:firstLineChars="200"/>
              <w:rPr>
                <w:rFonts w:hint="default" w:ascii="Times New Roman" w:hAnsi="Times New Roman"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散居居民点的生活垃圾在分类收集、减量化的基础上可通过“户分类、村收集、镇转运、县市处理”的城乡一体化模式处理处置生活垃圾；对于偏远、交通不便的农户生活垃圾，在分类收集基础上，采用无机垃圾填埋处理、有机垃圾堆肥处理等技术。</w:t>
            </w:r>
          </w:p>
          <w:p>
            <w:pPr>
              <w:autoSpaceDE w:val="0"/>
              <w:autoSpaceDN w:val="0"/>
              <w:adjustRightInd w:val="0"/>
              <w:snapToGrid w:val="0"/>
              <w:spacing w:line="360" w:lineRule="auto"/>
              <w:ind w:firstLine="420" w:firstLineChars="200"/>
              <w:rPr>
                <w:rFonts w:hint="default" w:ascii="Times New Roman" w:hAnsi="Times New Roman"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2）根据《农药使用环境安全技术导则》（HJ556-2010），水库集雨范围内的农田，不宜使用易移动、难吸附、水中持留性很稳定的农药品种；加强田间农艺管理措施，不宜雨前施药或施药后排水，减少含药浓度较高的田水排入地表水体，农田排水不应直接进入饮用水源水体。避免在河流中清洗施药器械；清洗过施药器械的水不应直接倾倒入饮用水源地、居民点等地。</w:t>
            </w:r>
          </w:p>
          <w:p>
            <w:pPr>
              <w:autoSpaceDE w:val="0"/>
              <w:autoSpaceDN w:val="0"/>
              <w:adjustRightInd w:val="0"/>
              <w:snapToGrid w:val="0"/>
              <w:spacing w:line="360" w:lineRule="auto"/>
              <w:ind w:firstLine="420" w:firstLineChars="200"/>
              <w:rPr>
                <w:rFonts w:hint="default" w:ascii="Times New Roman" w:hAnsi="Times New Roman"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（3）根据《化肥使用环境安全技术导则》（HJ555-2010），结合</w:t>
            </w:r>
            <w:r>
              <w:rPr>
                <w:rFonts w:hint="eastAsia" w:cs="Times New Roman"/>
                <w:b w:val="0"/>
                <w:bCs w:val="0"/>
                <w:color w:val="auto"/>
                <w:sz w:val="21"/>
                <w:szCs w:val="21"/>
                <w:highlight w:val="none"/>
                <w:lang w:val="en-US" w:eastAsia="zh-CN"/>
              </w:rPr>
              <w:t>堰沟</w:t>
            </w:r>
            <w:r>
              <w:rPr>
                <w:rFonts w:hint="default" w:ascii="Times New Roman" w:hAnsi="Times New Roman" w:cs="Times New Roman"/>
                <w:b w:val="0"/>
                <w:bCs w:val="0"/>
                <w:color w:val="auto"/>
                <w:sz w:val="21"/>
                <w:szCs w:val="21"/>
                <w:highlight w:val="none"/>
                <w:lang w:eastAsia="zh-CN"/>
              </w:rPr>
              <w:t>水库所在区域的土壤、作物特性，宜使用缓效肥料，并适当增加有机肥料使用比例，提倡配方施肥。综合考虑作物种类、产量目标、土壤养分状况、环境敏感程度等确定施肥量。</w:t>
            </w:r>
          </w:p>
          <w:p>
            <w:pPr>
              <w:autoSpaceDE w:val="0"/>
              <w:autoSpaceDN w:val="0"/>
              <w:adjustRightInd w:val="0"/>
              <w:snapToGrid w:val="0"/>
              <w:spacing w:line="360" w:lineRule="auto"/>
              <w:ind w:firstLine="420" w:firstLineChars="20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eastAsia="zh-CN"/>
              </w:rPr>
              <w:t>依法划定水源保护区</w:t>
            </w:r>
          </w:p>
          <w:p>
            <w:pPr>
              <w:pStyle w:val="86"/>
              <w:spacing w:line="360" w:lineRule="auto"/>
              <w:ind w:firstLine="48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由于堰沟水库的开发任务为场镇及农村供水、农业灌溉、生态环境用水等综合利用，应严格按照《四川省饮用水源保护管理条例》（2011年修订）（以下简称管理条例）、《饮用水水源保护区划分技术规范》（HJ338-2018）划定水源保护区进行水质保护。</w:t>
            </w:r>
          </w:p>
          <w:p>
            <w:pPr>
              <w:pStyle w:val="86"/>
              <w:spacing w:line="360" w:lineRule="auto"/>
              <w:ind w:firstLine="48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鉴于水库具有场镇及农村供水功能，建议地方政府尽快开展库区水源保护区规划，制定水污染防治规划。本报告水质保护根据《四川省饮用水水源保护管理条例》规定，提出以下保护措施。</w:t>
            </w:r>
          </w:p>
          <w:p>
            <w:pPr>
              <w:pStyle w:val="86"/>
              <w:spacing w:line="360" w:lineRule="auto"/>
              <w:ind w:firstLine="48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（1）划定工程管理范围和水源保护区范围</w:t>
            </w:r>
          </w:p>
          <w:p>
            <w:pPr>
              <w:pStyle w:val="86"/>
              <w:spacing w:line="360" w:lineRule="auto"/>
              <w:ind w:firstLine="48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①工程管理范围</w:t>
            </w:r>
          </w:p>
          <w:p>
            <w:pPr>
              <w:pStyle w:val="86"/>
              <w:spacing w:line="360" w:lineRule="auto"/>
              <w:ind w:firstLine="48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枢纽工程管理范围：根据《四川省水利工程管理条例》，库区及坝区管理区连片划定。水库校核洪水位线以下为水库库区管理范围；枢纽大坝为下游坝脚和坝肩外50m范围； 上坝公路两侧2m为管理范围；补水拦河堰由于工程规模小、均布置于河道内，按建筑物开挖边线计列工程占地，不计列管理占地。</w:t>
            </w:r>
          </w:p>
          <w:p>
            <w:pPr>
              <w:pStyle w:val="99"/>
              <w:snapToGrid/>
              <w:spacing w:line="360" w:lineRule="auto"/>
              <w:ind w:firstLine="482"/>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灌区工程管理范围：包括浅埋管道及相应附属建筑物、隧洞1座、泵站1座。埋地管道不计管理范围；观测设施、给水栓、阀门井等建筑物按设计边线计管理范围；隧洞进口按设计开挖边界线计管理范围；泵站外轮廓线向外3m为管理范围。减压池按建筑物设计边线计列工程占地，不计管理范围。</w:t>
            </w:r>
          </w:p>
          <w:p>
            <w:pPr>
              <w:pStyle w:val="86"/>
              <w:spacing w:line="360" w:lineRule="auto"/>
              <w:ind w:firstLine="48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②工程保护范围</w:t>
            </w:r>
          </w:p>
          <w:p>
            <w:pPr>
              <w:pStyle w:val="86"/>
              <w:spacing w:line="360" w:lineRule="auto"/>
              <w:ind w:firstLine="48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枢纽工程保护范围：以工程管理范围边界线外延，库区校核洪水位线至库周积雨区为保护范围；大坝管理范围以外100m的区域为保护范围；主要建筑物管理范围以外50m的区域为保护范围。</w:t>
            </w:r>
          </w:p>
          <w:p>
            <w:pPr>
              <w:pStyle w:val="86"/>
              <w:spacing w:line="360" w:lineRule="auto"/>
              <w:ind w:firstLine="48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灌区工程保护范围：灌区埋地管道自轴线两侧5m为保护范围；观测设施、给水栓、阀门井等</w:t>
            </w:r>
            <w:r>
              <w:rPr>
                <w:rFonts w:hint="eastAsia" w:eastAsia="宋体" w:cs="Times New Roman"/>
                <w:b w:val="0"/>
                <w:bCs w:val="0"/>
                <w:color w:val="auto"/>
                <w:sz w:val="21"/>
                <w:szCs w:val="21"/>
                <w:highlight w:val="none"/>
                <w:lang w:eastAsia="zh-CN"/>
              </w:rPr>
              <w:t>建筑物</w:t>
            </w:r>
            <w:r>
              <w:rPr>
                <w:rFonts w:hint="default" w:ascii="Times New Roman" w:hAnsi="Times New Roman" w:eastAsia="宋体" w:cs="Times New Roman"/>
                <w:b w:val="0"/>
                <w:bCs w:val="0"/>
                <w:color w:val="auto"/>
                <w:sz w:val="21"/>
                <w:szCs w:val="21"/>
                <w:highlight w:val="none"/>
              </w:rPr>
              <w:t>在管理范围外5m为保护范围；隧洞进、出口及泵站在管理范围外10m为保护范围。</w:t>
            </w:r>
          </w:p>
          <w:p>
            <w:pPr>
              <w:tabs>
                <w:tab w:val="left" w:pos="1073"/>
              </w:tabs>
              <w:snapToGrid/>
              <w:spacing w:line="360" w:lineRule="auto"/>
              <w:ind w:firstLine="420" w:firstLineChars="20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（2）划定饮用水源保护区</w:t>
            </w:r>
          </w:p>
          <w:p>
            <w:pPr>
              <w:tabs>
                <w:tab w:val="left" w:pos="1073"/>
              </w:tabs>
              <w:snapToGrid/>
              <w:spacing w:line="360" w:lineRule="auto"/>
              <w:ind w:firstLine="420" w:firstLineChars="20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堰沟水库坝址位于宣汉县胡家镇花池社区，区域内不涉及工矿企业，坝址上游均为农村区域，居民分散居住，淹没范围内以耕地、林地为主。堰沟水库建库后，应及时开展饮用水源地保护区的划定保护，加强水库的运行管理和水质监测工作，实时掌握水质的变化动态，严格执行水源地各项保护措施，确保水质达到其水域功能区划要求。</w:t>
            </w:r>
          </w:p>
          <w:p>
            <w:pPr>
              <w:tabs>
                <w:tab w:val="left" w:pos="1073"/>
              </w:tabs>
              <w:snapToGrid/>
              <w:spacing w:line="360" w:lineRule="auto"/>
              <w:ind w:firstLine="420" w:firstLineChars="20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①制定水源地保护办法，加强水资源行政管理</w:t>
            </w:r>
          </w:p>
          <w:p>
            <w:pPr>
              <w:tabs>
                <w:tab w:val="left" w:pos="1073"/>
              </w:tabs>
              <w:snapToGrid/>
              <w:spacing w:line="360" w:lineRule="auto"/>
              <w:ind w:firstLine="420" w:firstLineChars="20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建议由宣汉县人民政府提出堰沟水库水源保护区划定方案，报达州市人民政府批准后正式实行，并制定、颁布“堰沟水库水源地保护及水污染防治办法”，设置水源保护的专项管理机构，配备相应的管理人员、管理设备和监测仪器。</w:t>
            </w:r>
          </w:p>
          <w:p>
            <w:pPr>
              <w:tabs>
                <w:tab w:val="left" w:pos="1073"/>
              </w:tabs>
              <w:snapToGrid/>
              <w:spacing w:line="360" w:lineRule="auto"/>
              <w:ind w:firstLine="420" w:firstLineChars="20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管理人员的设置，根据水库规模及管理要求，配备相应的管理人员和技术人员；根据水源地保护要求，配置专业的管理设备，以满足执法、水源地保护要求；同时，配套相应的监测仪器，实地监控水库水质情况。</w:t>
            </w:r>
          </w:p>
          <w:p>
            <w:pPr>
              <w:tabs>
                <w:tab w:val="left" w:pos="1073"/>
              </w:tabs>
              <w:snapToGrid/>
              <w:spacing w:line="360" w:lineRule="auto"/>
              <w:ind w:firstLine="420" w:firstLineChars="20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②划定水源保护区</w:t>
            </w:r>
          </w:p>
          <w:p>
            <w:pPr>
              <w:tabs>
                <w:tab w:val="left" w:pos="1073"/>
              </w:tabs>
              <w:snapToGrid/>
              <w:spacing w:line="360" w:lineRule="auto"/>
              <w:ind w:firstLine="420" w:firstLineChars="20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本阶段根据《饮用水保护区划定技术指南》，初步划定堰沟水库水源保护区范围，初拟一级和二级保护区范围内目前没有集中污染源。</w:t>
            </w:r>
          </w:p>
          <w:p>
            <w:pPr>
              <w:tabs>
                <w:tab w:val="left" w:pos="1073"/>
              </w:tabs>
              <w:snapToGrid/>
              <w:spacing w:line="360" w:lineRule="auto"/>
              <w:ind w:firstLine="420" w:firstLineChars="20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堰沟水库属于小（1）型水库，按照《饮用水水源保护区划分技术规范》</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HJ/T338-2018</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的要求：可将多年平均水位对应的高程线</w:t>
            </w:r>
            <w:r>
              <w:rPr>
                <w:rFonts w:hint="eastAsia" w:cs="Times New Roman"/>
                <w:b w:val="0"/>
                <w:bCs w:val="0"/>
                <w:color w:val="auto"/>
                <w:sz w:val="21"/>
                <w:szCs w:val="21"/>
                <w:highlight w:val="none"/>
                <w:lang w:eastAsia="zh-CN"/>
              </w:rPr>
              <w:t>以</w:t>
            </w:r>
            <w:r>
              <w:rPr>
                <w:rFonts w:hint="default" w:ascii="Times New Roman" w:hAnsi="Times New Roman" w:eastAsia="宋体" w:cs="Times New Roman"/>
                <w:b w:val="0"/>
                <w:bCs w:val="0"/>
                <w:color w:val="auto"/>
                <w:sz w:val="21"/>
                <w:szCs w:val="21"/>
                <w:highlight w:val="none"/>
              </w:rPr>
              <w:t>下的水域、正常蓄水位线以上200m范围内的陆域划定为一级保护区；一级保护区边界外的水域面积划定为二级保护区。根据《集中式饮用水水源环境保护指南（试行）》和《中华人民共和国水污染防治法》的要求，一级保护区内不得有与取水设施和保护水源无关的建设项目及其他禁止行为。二级保护区内禁止新建、改建和扩建排放污染物的建设项目；已建成排放污染物的建设项目，由县级以上人民政府责令拆除或关闭。准保护区内禁止新建、扩建对水体污染严重的建设项目，改建建设项目，不得增加排污量。</w:t>
            </w:r>
          </w:p>
          <w:p>
            <w:pPr>
              <w:tabs>
                <w:tab w:val="left" w:pos="1073"/>
              </w:tabs>
              <w:snapToGrid/>
              <w:spacing w:line="360" w:lineRule="auto"/>
              <w:ind w:firstLine="420" w:firstLineChars="20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根据《饮用水水源保护区划分技术规范》(HJ/T338-2018)，二级保护区内禁止新建、改建和扩建排放污染物的建设项目。因此，堰沟水库的移民应避免安置在堰沟水库工程建库后可能划定的一、二级水源保护区内，以避免移民发生二次搬迁，专项复建交通工程设计选线避免水源一级和二级保护区内，避免对水源保护区产生影响。具体的划定工作可结合堰沟水库和输水线路的实地情况进行确定，建议由宣汉县人民政府提出划定方案，报经达州市人民政府批准后正式实行。</w:t>
            </w:r>
          </w:p>
          <w:p>
            <w:pPr>
              <w:tabs>
                <w:tab w:val="left" w:pos="1073"/>
              </w:tabs>
              <w:snapToGrid/>
              <w:spacing w:line="360" w:lineRule="auto"/>
              <w:ind w:left="48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③水源保护功能区的界定</w:t>
            </w:r>
          </w:p>
          <w:p>
            <w:pPr>
              <w:tabs>
                <w:tab w:val="left" w:pos="1073"/>
              </w:tabs>
              <w:snapToGrid/>
              <w:spacing w:line="360" w:lineRule="auto"/>
              <w:ind w:firstLine="420" w:firstLineChars="20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根据宣汉水库各个功能保护区的划定情况，明确各个功能区的地理界线，并在各个功能区边界设立界桩、界碑、公示牌、警戒线等标志，在一级、二级保护区内设置有明显标志的警示牌。初步拟定在库周设置15个水源地保护标识牌。</w:t>
            </w:r>
          </w:p>
          <w:p>
            <w:pPr>
              <w:tabs>
                <w:tab w:val="left" w:pos="1073"/>
              </w:tabs>
              <w:snapToGrid/>
              <w:spacing w:line="360" w:lineRule="auto"/>
              <w:ind w:left="48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④设置水源地保护宣传牌</w:t>
            </w:r>
          </w:p>
          <w:p>
            <w:pPr>
              <w:tabs>
                <w:tab w:val="left" w:pos="1073"/>
              </w:tabs>
              <w:snapToGrid/>
              <w:spacing w:line="360" w:lineRule="auto"/>
              <w:ind w:firstLine="420" w:firstLineChars="200"/>
              <w:jc w:val="both"/>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eastAsia="zh-CN"/>
              </w:rPr>
              <w:t>加大</w:t>
            </w:r>
            <w:r>
              <w:rPr>
                <w:rFonts w:hint="default" w:ascii="Times New Roman" w:hAnsi="Times New Roman" w:eastAsia="宋体" w:cs="Times New Roman"/>
                <w:b w:val="0"/>
                <w:bCs w:val="0"/>
                <w:color w:val="auto"/>
                <w:sz w:val="21"/>
                <w:szCs w:val="21"/>
                <w:highlight w:val="none"/>
              </w:rPr>
              <w:t>水库水源地保护的宣传力度，在水库周围设置明显的宣传标牌，标牌中应该包括以下内容：水库的地理位置，各级保护区边界的示意图；保护水库水质的意义，以及与广大公众的紧密利益；明确在水库各功能区的禁止行为，以及相关的惩罚规定。水源地保护宣传牌与标识牌为一体。</w:t>
            </w:r>
          </w:p>
          <w:p>
            <w:pPr>
              <w:tabs>
                <w:tab w:val="left" w:pos="1073"/>
              </w:tabs>
              <w:snapToGrid/>
              <w:spacing w:line="360" w:lineRule="auto"/>
              <w:ind w:firstLine="420" w:firstLineChars="20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⑤加强水源地保护法律法规的执行</w:t>
            </w:r>
          </w:p>
          <w:p>
            <w:pPr>
              <w:tabs>
                <w:tab w:val="left" w:pos="1073"/>
              </w:tabs>
              <w:snapToGrid/>
              <w:spacing w:line="360" w:lineRule="auto"/>
              <w:ind w:firstLine="420" w:firstLineChars="20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根据《中华人民共和国环境保护法</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中华人民共和国水法</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中华人民共和国水污染防治法》，结合堰沟水库及周围环境特点，切实落实水源地保护的法律法规。</w:t>
            </w:r>
          </w:p>
          <w:p>
            <w:pPr>
              <w:tabs>
                <w:tab w:val="left" w:pos="1073"/>
              </w:tabs>
              <w:snapToGrid/>
              <w:spacing w:line="360" w:lineRule="auto"/>
              <w:ind w:firstLine="420" w:firstLineChars="20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饮用水地表水源一级保护区的水质必须符合《地表水环境质量标准》（GB3838-2002）</w:t>
            </w:r>
            <w:r>
              <w:rPr>
                <w:rFonts w:hint="default" w:ascii="Times New Roman" w:hAnsi="Times New Roman" w:cs="Times New Roman"/>
                <w:b w:val="0"/>
                <w:bCs w:val="0"/>
                <w:color w:val="auto"/>
                <w:sz w:val="21"/>
                <w:szCs w:val="21"/>
                <w:highlight w:val="none"/>
                <w:lang w:eastAsia="zh-CN"/>
              </w:rPr>
              <w:t>Ⅱ类</w:t>
            </w:r>
            <w:r>
              <w:rPr>
                <w:rFonts w:hint="default" w:ascii="Times New Roman" w:hAnsi="Times New Roman" w:eastAsia="宋体" w:cs="Times New Roman"/>
                <w:b w:val="0"/>
                <w:bCs w:val="0"/>
                <w:color w:val="auto"/>
                <w:sz w:val="21"/>
                <w:szCs w:val="21"/>
                <w:highlight w:val="none"/>
              </w:rPr>
              <w:t>标准，二级保护区的水质必须符合《地表水环境质量标准》（GB3838-2002）III类标准。在饮用水地表水源保护区内还必须遵守下列规定：在饮用水水源保护区内，禁止设置排污口。</w:t>
            </w:r>
          </w:p>
          <w:p>
            <w:pPr>
              <w:tabs>
                <w:tab w:val="left" w:pos="1073"/>
              </w:tabs>
              <w:snapToGrid/>
              <w:spacing w:line="360" w:lineRule="auto"/>
              <w:ind w:firstLine="420" w:firstLineChars="20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禁止在饮用水水源一级保护区内新建、改建、扩建与供水设施和保护水源无关的建设项目，已建成的与供水设施和保护水源无关的建设项目，由当地县级以上人民政府责令拆除或者关闭。</w:t>
            </w:r>
          </w:p>
          <w:p>
            <w:pPr>
              <w:tabs>
                <w:tab w:val="left" w:pos="1073"/>
              </w:tabs>
              <w:snapToGrid/>
              <w:spacing w:line="360" w:lineRule="auto"/>
              <w:ind w:firstLine="420" w:firstLineChars="20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禁止在饮用水水源一级保护区内从事网箱养殖、旅游、游泳、垂钓或者其他可能污染饮用水水体的活动。</w:t>
            </w:r>
          </w:p>
          <w:p>
            <w:pPr>
              <w:tabs>
                <w:tab w:val="left" w:pos="1073"/>
              </w:tabs>
              <w:snapToGrid/>
              <w:spacing w:line="360" w:lineRule="auto"/>
              <w:ind w:firstLine="420" w:firstLineChars="20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禁止在饮用水水源二级保护区内新建、改建、扩建排放污染物的建设项目，已建成的排放污染物的建设项目，由当地县级以上人民政府责令拆除或者关闭。</w:t>
            </w:r>
          </w:p>
          <w:p>
            <w:pPr>
              <w:tabs>
                <w:tab w:val="left" w:pos="1073"/>
              </w:tabs>
              <w:snapToGrid/>
              <w:spacing w:line="360" w:lineRule="auto"/>
              <w:ind w:firstLine="420" w:firstLineChars="20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在饮用水水源二级保护区内从事网箱养殖、旅游等活动的，应当按照规定采取措施，防止污染饮用水水体。</w:t>
            </w:r>
          </w:p>
          <w:p>
            <w:pPr>
              <w:tabs>
                <w:tab w:val="left" w:pos="1073"/>
              </w:tabs>
              <w:snapToGrid/>
              <w:spacing w:line="360" w:lineRule="auto"/>
              <w:ind w:firstLine="420" w:firstLineChars="20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禁止在饮用水水源</w:t>
            </w:r>
            <w:r>
              <w:rPr>
                <w:rFonts w:hint="eastAsia" w:cs="Times New Roman"/>
                <w:b w:val="0"/>
                <w:bCs w:val="0"/>
                <w:color w:val="auto"/>
                <w:sz w:val="21"/>
                <w:szCs w:val="21"/>
                <w:highlight w:val="none"/>
                <w:lang w:eastAsia="zh-CN"/>
              </w:rPr>
              <w:t>地保</w:t>
            </w:r>
            <w:r>
              <w:rPr>
                <w:rFonts w:hint="default" w:ascii="Times New Roman" w:hAnsi="Times New Roman" w:eastAsia="宋体" w:cs="Times New Roman"/>
                <w:b w:val="0"/>
                <w:bCs w:val="0"/>
                <w:color w:val="auto"/>
                <w:sz w:val="21"/>
                <w:szCs w:val="21"/>
                <w:highlight w:val="none"/>
              </w:rPr>
              <w:t>护区内新建、扩建对水体污染严重的建设项目，改建建设项目，不得增加排污量。</w:t>
            </w:r>
          </w:p>
          <w:p>
            <w:pPr>
              <w:tabs>
                <w:tab w:val="left" w:pos="1073"/>
              </w:tabs>
              <w:snapToGrid/>
              <w:spacing w:line="360" w:lineRule="auto"/>
              <w:ind w:firstLine="420" w:firstLineChars="20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对位于水源保护区范围内的村庄，应做好水源保护宣传教育工作，禁止在河道内洗衣服、刷洗车辆、倾倒垃圾等；粪便污水用于浇灌农田；对当地民众进行宣传，不使用含磷洗涤剂，禁止当地含磷洗涤剂的销售。</w:t>
            </w:r>
          </w:p>
          <w:p>
            <w:pPr>
              <w:tabs>
                <w:tab w:val="left" w:pos="1073"/>
              </w:tabs>
              <w:snapToGrid/>
              <w:spacing w:line="360" w:lineRule="auto"/>
              <w:ind w:firstLine="420" w:firstLineChars="20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限制流域内化肥、农药的使用，加强管理，科学施肥，提高肥料利用率，禁止高残留、有毒有害农药的使用，大力提倡生态农业，着力推广绿色食品生产模式。</w:t>
            </w:r>
          </w:p>
          <w:p>
            <w:pPr>
              <w:tabs>
                <w:tab w:val="left" w:pos="1073"/>
              </w:tabs>
              <w:snapToGrid/>
              <w:spacing w:line="360" w:lineRule="auto"/>
              <w:ind w:firstLine="420" w:firstLineChars="20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当地县级以上人民政府应当根据保护饮用水水源的实际需要，在准保护区内采取工程措施或者建造湿地、水源涵养林等生态保护措施，防止水污染物直接排入饮用水水体。</w:t>
            </w:r>
          </w:p>
          <w:p>
            <w:pPr>
              <w:tabs>
                <w:tab w:val="left" w:pos="1073"/>
              </w:tabs>
              <w:snapToGrid/>
              <w:spacing w:line="360" w:lineRule="auto"/>
              <w:ind w:firstLine="420" w:firstLineChars="20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饮用水水源受到污染可能威胁供水安全的，当地环境保护主管部门应当责令有关企</w:t>
            </w:r>
            <w:r>
              <w:rPr>
                <w:rFonts w:hint="eastAsia" w:cs="Times New Roman"/>
                <w:b w:val="0"/>
                <w:bCs w:val="0"/>
                <w:color w:val="auto"/>
                <w:sz w:val="21"/>
                <w:szCs w:val="21"/>
                <w:highlight w:val="none"/>
                <w:lang w:eastAsia="zh-CN"/>
              </w:rPr>
              <w:t>业和</w:t>
            </w:r>
            <w:r>
              <w:rPr>
                <w:rFonts w:hint="default" w:ascii="Times New Roman" w:hAnsi="Times New Roman" w:eastAsia="宋体" w:cs="Times New Roman"/>
                <w:b w:val="0"/>
                <w:bCs w:val="0"/>
                <w:color w:val="auto"/>
                <w:sz w:val="21"/>
                <w:szCs w:val="21"/>
                <w:highlight w:val="none"/>
              </w:rPr>
              <w:t>事业单位采取停止或者减少排放水污染物等措施。</w:t>
            </w:r>
          </w:p>
          <w:p>
            <w:pPr>
              <w:tabs>
                <w:tab w:val="left" w:pos="1073"/>
              </w:tabs>
              <w:snapToGrid/>
              <w:spacing w:line="360" w:lineRule="auto"/>
              <w:ind w:firstLine="420" w:firstLineChars="20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（3）水源保护区物理隔离措施</w:t>
            </w:r>
          </w:p>
          <w:p>
            <w:pPr>
              <w:tabs>
                <w:tab w:val="left" w:pos="1073"/>
              </w:tabs>
              <w:snapToGrid/>
              <w:spacing w:line="360" w:lineRule="auto"/>
              <w:ind w:firstLine="420" w:firstLineChars="20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划定后水源保护区应建设必要的物理隔离防护带，防止人类活动等因素对水源地保护和管理的干扰，物理隔离防护带主要采用铁丝防护网，总长约7km。另外，在水源保护区范围内易受外界干扰的区域设置饮用水源地警示牌，共设置15个。</w:t>
            </w:r>
          </w:p>
          <w:p>
            <w:pPr>
              <w:tabs>
                <w:tab w:val="left" w:pos="1073"/>
              </w:tabs>
              <w:snapToGrid/>
              <w:spacing w:line="360" w:lineRule="auto"/>
              <w:ind w:firstLine="420" w:firstLineChars="20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（4）污染事故应急处理</w:t>
            </w:r>
          </w:p>
          <w:p>
            <w:pPr>
              <w:tabs>
                <w:tab w:val="left" w:pos="1073"/>
              </w:tabs>
              <w:snapToGrid/>
              <w:spacing w:line="360" w:lineRule="auto"/>
              <w:ind w:firstLine="420" w:firstLineChars="20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县级以上地方人民政府应当组织编制饮用水水源污染事故应急预案并向社会发布，建立专业应急机构和队伍，配备应急救援设施设备。</w:t>
            </w:r>
          </w:p>
          <w:p>
            <w:pPr>
              <w:tabs>
                <w:tab w:val="left" w:pos="1073"/>
              </w:tabs>
              <w:snapToGrid/>
              <w:spacing w:line="360" w:lineRule="auto"/>
              <w:ind w:firstLine="420" w:firstLineChars="20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饮用水水源保护区及附近可能发生水污染事故的企业事业单位以及供水企业，应制定污染事故应急处置方案，报当地环境保护行政主管部门备案，并适时进行应急演练。</w:t>
            </w:r>
          </w:p>
          <w:p>
            <w:pPr>
              <w:tabs>
                <w:tab w:val="left" w:pos="1073"/>
              </w:tabs>
              <w:snapToGrid/>
              <w:spacing w:line="360" w:lineRule="auto"/>
              <w:ind w:firstLine="420" w:firstLineChars="20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发生事故或者其他突发性事件或者可能造成饮用水水源污染的，责任者应当立即启动该单位的应急方案，采取消除或者减轻污染的措施，并向当地有关行政主管部门报告。</w:t>
            </w:r>
          </w:p>
          <w:p>
            <w:pPr>
              <w:tabs>
                <w:tab w:val="left" w:pos="1073"/>
              </w:tabs>
              <w:snapToGrid/>
              <w:spacing w:line="360" w:lineRule="auto"/>
              <w:ind w:firstLine="420" w:firstLineChars="20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接到报告的行政主管部门应当按照国家和省的有关规定采取应急措施，及时处理。发生饮用水水源污染事故后，县级以上人民政府应当启动饮用水水源污染事故应急预案，及时向受影响区居民发布饮用水水源污染事故警报。</w:t>
            </w:r>
          </w:p>
          <w:p>
            <w:pPr>
              <w:tabs>
                <w:tab w:val="left" w:pos="1073"/>
              </w:tabs>
              <w:snapToGrid/>
              <w:spacing w:line="360" w:lineRule="auto"/>
              <w:ind w:firstLine="420" w:firstLineChars="20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因处置水污染事故需要紧急调水的，有关流域管理机构应当做好调水工作。</w:t>
            </w:r>
          </w:p>
          <w:p>
            <w:pPr>
              <w:autoSpaceDE w:val="0"/>
              <w:autoSpaceDN w:val="0"/>
              <w:adjustRightInd w:val="0"/>
              <w:snapToGrid w:val="0"/>
              <w:spacing w:line="360" w:lineRule="auto"/>
              <w:ind w:firstLine="420" w:firstLineChars="200"/>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饮用水水源污染事故导致饮用水供应停止的，停止供水地区的县级以上地方人民政府要及时启动备用水源，或者采用其他的饮用水应急供应措施。</w:t>
            </w:r>
          </w:p>
          <w:p>
            <w:pPr>
              <w:autoSpaceDE w:val="0"/>
              <w:autoSpaceDN w:val="0"/>
              <w:adjustRightInd w:val="0"/>
              <w:snapToGrid w:val="0"/>
              <w:spacing w:line="360" w:lineRule="auto"/>
              <w:ind w:firstLine="462" w:firstLineChars="200"/>
              <w:rPr>
                <w:rFonts w:hint="default" w:ascii="Times New Roman" w:hAnsi="Times New Roman" w:cs="Times New Roman"/>
                <w:b/>
                <w:bCs w:val="0"/>
                <w:color w:val="auto"/>
                <w:spacing w:val="10"/>
                <w:sz w:val="21"/>
                <w:szCs w:val="21"/>
                <w:highlight w:val="none"/>
                <w:lang w:val="en-US" w:eastAsia="zh-CN"/>
              </w:rPr>
            </w:pPr>
            <w:r>
              <w:rPr>
                <w:rFonts w:hint="default" w:ascii="Times New Roman" w:hAnsi="Times New Roman" w:cs="Times New Roman"/>
                <w:b/>
                <w:bCs w:val="0"/>
                <w:color w:val="auto"/>
                <w:spacing w:val="10"/>
                <w:sz w:val="21"/>
                <w:szCs w:val="21"/>
                <w:highlight w:val="none"/>
              </w:rPr>
              <w:t>5.</w:t>
            </w:r>
            <w:r>
              <w:rPr>
                <w:rFonts w:hint="default" w:ascii="Times New Roman" w:hAnsi="Times New Roman" w:cs="Times New Roman"/>
                <w:b/>
                <w:bCs w:val="0"/>
                <w:color w:val="auto"/>
                <w:spacing w:val="10"/>
                <w:sz w:val="21"/>
                <w:szCs w:val="21"/>
                <w:highlight w:val="none"/>
                <w:lang w:val="en-US" w:eastAsia="zh-CN"/>
              </w:rPr>
              <w:t>12环境风险分析</w:t>
            </w:r>
          </w:p>
          <w:p>
            <w:pPr>
              <w:autoSpaceDE w:val="0"/>
              <w:autoSpaceDN w:val="0"/>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val="en-US" w:eastAsia="zh-CN"/>
              </w:rPr>
            </w:pPr>
            <w:r>
              <w:rPr>
                <w:rFonts w:hint="default" w:ascii="Times New Roman" w:hAnsi="Times New Roman" w:cs="Times New Roman"/>
                <w:b w:val="0"/>
                <w:bCs/>
                <w:color w:val="auto"/>
                <w:spacing w:val="10"/>
                <w:sz w:val="21"/>
                <w:szCs w:val="21"/>
                <w:highlight w:val="none"/>
                <w:lang w:val="en-US" w:eastAsia="zh-CN"/>
              </w:rPr>
              <w:t>按照《建设项目环境风险评价技术导则》（HJ169-2018）的要求，环境风险评价应以突发性事故导致的危险物质环境急性损害防控为目标，对建设项目的环境风险进行分析、预测和评估，提出环境风险预防、控制、减缓措施，明确环境风险监控及应急要求，为建设项目环境风险防控提出科学依据。</w:t>
            </w:r>
          </w:p>
          <w:p>
            <w:pPr>
              <w:autoSpaceDE w:val="0"/>
              <w:autoSpaceDN w:val="0"/>
              <w:adjustRightInd w:val="0"/>
              <w:snapToGrid w:val="0"/>
              <w:spacing w:line="360" w:lineRule="auto"/>
              <w:ind w:firstLine="462" w:firstLineChars="200"/>
              <w:rPr>
                <w:rFonts w:hint="default" w:ascii="Times New Roman" w:hAnsi="Times New Roman" w:cs="Times New Roman"/>
                <w:b/>
                <w:bCs w:val="0"/>
                <w:color w:val="auto"/>
                <w:spacing w:val="10"/>
                <w:sz w:val="21"/>
                <w:szCs w:val="21"/>
                <w:highlight w:val="none"/>
                <w:lang w:val="en-US" w:eastAsia="zh-CN"/>
              </w:rPr>
            </w:pPr>
            <w:r>
              <w:rPr>
                <w:rFonts w:hint="default" w:ascii="Times New Roman" w:hAnsi="Times New Roman" w:cs="Times New Roman"/>
                <w:b/>
                <w:bCs w:val="0"/>
                <w:color w:val="auto"/>
                <w:spacing w:val="10"/>
                <w:sz w:val="21"/>
                <w:szCs w:val="21"/>
                <w:highlight w:val="none"/>
                <w:lang w:val="en-US" w:eastAsia="zh-CN"/>
              </w:rPr>
              <w:t>5.12.1 风险防范措施</w:t>
            </w:r>
          </w:p>
          <w:p>
            <w:pPr>
              <w:autoSpaceDE w:val="0"/>
              <w:autoSpaceDN w:val="0"/>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val="en-US" w:eastAsia="zh-CN"/>
              </w:rPr>
            </w:pPr>
            <w:r>
              <w:rPr>
                <w:rFonts w:hint="default" w:ascii="Times New Roman" w:hAnsi="Times New Roman" w:cs="Times New Roman"/>
                <w:b w:val="0"/>
                <w:bCs/>
                <w:color w:val="auto"/>
                <w:spacing w:val="10"/>
                <w:sz w:val="21"/>
                <w:szCs w:val="21"/>
                <w:highlight w:val="none"/>
                <w:lang w:val="en-US" w:eastAsia="zh-CN"/>
              </w:rPr>
              <w:t>1、施工风险及防范措施</w:t>
            </w:r>
          </w:p>
          <w:p>
            <w:pPr>
              <w:autoSpaceDE w:val="0"/>
              <w:autoSpaceDN w:val="0"/>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val="en-US" w:eastAsia="zh-CN"/>
              </w:rPr>
            </w:pPr>
            <w:r>
              <w:rPr>
                <w:rFonts w:hint="default" w:ascii="Times New Roman" w:hAnsi="Times New Roman" w:cs="Times New Roman"/>
                <w:b w:val="0"/>
                <w:bCs/>
                <w:color w:val="auto"/>
                <w:spacing w:val="10"/>
                <w:sz w:val="21"/>
                <w:szCs w:val="21"/>
                <w:highlight w:val="none"/>
                <w:lang w:val="en-US" w:eastAsia="zh-CN"/>
              </w:rPr>
              <w:t>本项目施工风险主要来自地质条件的不确定性、气候条件的变化、原材料质量的不确定性、施工条件及人为因素等方面，其主要风险为：</w:t>
            </w:r>
          </w:p>
          <w:p>
            <w:pPr>
              <w:autoSpaceDE w:val="0"/>
              <w:autoSpaceDN w:val="0"/>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val="en-US" w:eastAsia="zh-CN"/>
              </w:rPr>
            </w:pPr>
            <w:r>
              <w:rPr>
                <w:rFonts w:hint="default" w:ascii="Times New Roman" w:hAnsi="Times New Roman" w:cs="Times New Roman"/>
                <w:b w:val="0"/>
                <w:bCs/>
                <w:color w:val="auto"/>
                <w:spacing w:val="10"/>
                <w:sz w:val="21"/>
                <w:szCs w:val="21"/>
                <w:highlight w:val="none"/>
                <w:lang w:val="en-US" w:eastAsia="zh-CN"/>
              </w:rPr>
              <w:t>（1）开挖地边坡出现塌方、滑坡；</w:t>
            </w:r>
          </w:p>
          <w:p>
            <w:pPr>
              <w:autoSpaceDE w:val="0"/>
              <w:autoSpaceDN w:val="0"/>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val="en-US" w:eastAsia="zh-CN"/>
              </w:rPr>
            </w:pPr>
            <w:r>
              <w:rPr>
                <w:rFonts w:hint="default" w:ascii="Times New Roman" w:hAnsi="Times New Roman" w:cs="Times New Roman"/>
                <w:b w:val="0"/>
                <w:bCs/>
                <w:color w:val="auto"/>
                <w:spacing w:val="10"/>
                <w:sz w:val="21"/>
                <w:szCs w:val="21"/>
                <w:highlight w:val="none"/>
                <w:lang w:val="en-US" w:eastAsia="zh-CN"/>
              </w:rPr>
              <w:t>（2）雨季的强降雨引起洪水；</w:t>
            </w:r>
          </w:p>
          <w:p>
            <w:pPr>
              <w:autoSpaceDE w:val="0"/>
              <w:autoSpaceDN w:val="0"/>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val="en-US" w:eastAsia="zh-CN"/>
              </w:rPr>
            </w:pPr>
            <w:r>
              <w:rPr>
                <w:rFonts w:hint="default" w:ascii="Times New Roman" w:hAnsi="Times New Roman" w:cs="Times New Roman"/>
                <w:b w:val="0"/>
                <w:bCs/>
                <w:color w:val="auto"/>
                <w:spacing w:val="10"/>
                <w:sz w:val="21"/>
                <w:szCs w:val="21"/>
                <w:highlight w:val="none"/>
                <w:lang w:val="en-US" w:eastAsia="zh-CN"/>
              </w:rPr>
              <w:t>（3）爆破作业对周边建筑物、设施等造成的损坏，对周围人群造成危害。</w:t>
            </w:r>
          </w:p>
          <w:p>
            <w:pPr>
              <w:autoSpaceDE w:val="0"/>
              <w:autoSpaceDN w:val="0"/>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val="en-US" w:eastAsia="zh-CN"/>
              </w:rPr>
            </w:pPr>
            <w:r>
              <w:rPr>
                <w:rFonts w:hint="default" w:ascii="Times New Roman" w:hAnsi="Times New Roman" w:cs="Times New Roman"/>
                <w:b w:val="0"/>
                <w:bCs/>
                <w:color w:val="auto"/>
                <w:spacing w:val="10"/>
                <w:sz w:val="21"/>
                <w:szCs w:val="21"/>
                <w:highlight w:val="none"/>
                <w:lang w:val="en-US" w:eastAsia="zh-CN"/>
              </w:rPr>
              <w:t>为防范上述施工风险，需做</w:t>
            </w:r>
            <w:r>
              <w:rPr>
                <w:rFonts w:hint="eastAsia" w:cs="Times New Roman"/>
                <w:b w:val="0"/>
                <w:bCs/>
                <w:color w:val="auto"/>
                <w:spacing w:val="10"/>
                <w:sz w:val="21"/>
                <w:szCs w:val="21"/>
                <w:highlight w:val="none"/>
                <w:lang w:val="en-US" w:eastAsia="zh-CN"/>
              </w:rPr>
              <w:t>详实</w:t>
            </w:r>
            <w:r>
              <w:rPr>
                <w:rFonts w:hint="default" w:ascii="Times New Roman" w:hAnsi="Times New Roman" w:cs="Times New Roman"/>
                <w:b w:val="0"/>
                <w:bCs/>
                <w:color w:val="auto"/>
                <w:spacing w:val="10"/>
                <w:sz w:val="21"/>
                <w:szCs w:val="21"/>
                <w:highlight w:val="none"/>
                <w:lang w:val="en-US" w:eastAsia="zh-CN"/>
              </w:rPr>
              <w:t>的地质勘探工作，并加强边坡防护，做好排水设施。</w:t>
            </w:r>
          </w:p>
          <w:p>
            <w:pPr>
              <w:autoSpaceDE w:val="0"/>
              <w:autoSpaceDN w:val="0"/>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val="en-US" w:eastAsia="zh-CN"/>
              </w:rPr>
            </w:pPr>
            <w:r>
              <w:rPr>
                <w:rFonts w:hint="default" w:ascii="Times New Roman" w:hAnsi="Times New Roman" w:cs="Times New Roman"/>
                <w:b w:val="0"/>
                <w:bCs/>
                <w:color w:val="auto"/>
                <w:spacing w:val="10"/>
                <w:sz w:val="21"/>
                <w:szCs w:val="21"/>
                <w:highlight w:val="none"/>
                <w:lang w:val="en-US" w:eastAsia="zh-CN"/>
              </w:rPr>
              <w:t>爆破时应根据爆破地点及爆破方式注意确定安全防护范围，并于爆破前对防护范围以内实施预警和警戒。</w:t>
            </w:r>
          </w:p>
          <w:p>
            <w:pPr>
              <w:autoSpaceDE w:val="0"/>
              <w:autoSpaceDN w:val="0"/>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val="en-US" w:eastAsia="zh-CN"/>
              </w:rPr>
            </w:pPr>
            <w:r>
              <w:rPr>
                <w:rFonts w:hint="default" w:ascii="Times New Roman" w:hAnsi="Times New Roman" w:cs="Times New Roman"/>
                <w:b w:val="0"/>
                <w:bCs/>
                <w:color w:val="auto"/>
                <w:spacing w:val="10"/>
                <w:sz w:val="21"/>
                <w:szCs w:val="21"/>
                <w:highlight w:val="none"/>
                <w:lang w:val="en-US" w:eastAsia="zh-CN"/>
              </w:rPr>
              <w:t>2、燃油风险分析及防范措施</w:t>
            </w:r>
          </w:p>
          <w:p>
            <w:pPr>
              <w:autoSpaceDE w:val="0"/>
              <w:autoSpaceDN w:val="0"/>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val="en-US" w:eastAsia="zh-CN"/>
              </w:rPr>
            </w:pPr>
            <w:r>
              <w:rPr>
                <w:rFonts w:hint="default" w:ascii="Times New Roman" w:hAnsi="Times New Roman" w:cs="Times New Roman"/>
                <w:b w:val="0"/>
                <w:bCs/>
                <w:color w:val="auto"/>
                <w:spacing w:val="10"/>
                <w:sz w:val="21"/>
                <w:szCs w:val="21"/>
                <w:highlight w:val="none"/>
                <w:lang w:val="en-US" w:eastAsia="zh-CN"/>
              </w:rPr>
              <w:t>本工程炸药和油料均采用车辆运输，在车辆运输过程中，有可能遇到或发生交通事故，引发炸药和油料爆炸或造成油料泄漏，从而污染周围生态环境和环境质量。在炸药和油料储存过程中，有可能发生泄漏引发火灾或爆炸。为确保施工期炸药、油料等危险物品在运输、储存和使用过程中的安全，应加强防护措施，防护措施如下：</w:t>
            </w:r>
          </w:p>
          <w:p>
            <w:pPr>
              <w:autoSpaceDE w:val="0"/>
              <w:autoSpaceDN w:val="0"/>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val="en-US" w:eastAsia="zh-CN"/>
              </w:rPr>
            </w:pPr>
            <w:r>
              <w:rPr>
                <w:rFonts w:hint="default" w:ascii="Times New Roman" w:hAnsi="Times New Roman" w:cs="Times New Roman"/>
                <w:b w:val="0"/>
                <w:bCs/>
                <w:color w:val="auto"/>
                <w:spacing w:val="10"/>
                <w:sz w:val="21"/>
                <w:szCs w:val="21"/>
                <w:highlight w:val="none"/>
                <w:lang w:val="en-US" w:eastAsia="zh-CN"/>
              </w:rPr>
              <w:t>（1）建立以环境保护领导小组为核心的责任制，层层签订责任书，明确各级环保人员应承担的环境风险管理责任。</w:t>
            </w:r>
          </w:p>
          <w:p>
            <w:pPr>
              <w:autoSpaceDE w:val="0"/>
              <w:autoSpaceDN w:val="0"/>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val="en-US" w:eastAsia="zh-CN"/>
              </w:rPr>
            </w:pPr>
            <w:r>
              <w:rPr>
                <w:rFonts w:hint="default" w:ascii="Times New Roman" w:hAnsi="Times New Roman" w:cs="Times New Roman"/>
                <w:b w:val="0"/>
                <w:bCs/>
                <w:color w:val="auto"/>
                <w:spacing w:val="10"/>
                <w:sz w:val="21"/>
                <w:szCs w:val="21"/>
                <w:highlight w:val="none"/>
                <w:lang w:val="en-US" w:eastAsia="zh-CN"/>
              </w:rPr>
              <w:t>（2）环境保护领导小组应加强各施工队伍的环境风险意识的宣传教育，并与运输炸药、油料的承包方签订事故责任合同，确保运输风险减缓措施得到落实。</w:t>
            </w:r>
          </w:p>
          <w:p>
            <w:pPr>
              <w:autoSpaceDE w:val="0"/>
              <w:autoSpaceDN w:val="0"/>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val="en-US" w:eastAsia="zh-CN"/>
              </w:rPr>
            </w:pPr>
            <w:r>
              <w:rPr>
                <w:rFonts w:hint="default" w:ascii="Times New Roman" w:hAnsi="Times New Roman" w:cs="Times New Roman"/>
                <w:b w:val="0"/>
                <w:bCs/>
                <w:color w:val="auto"/>
                <w:spacing w:val="10"/>
                <w:sz w:val="21"/>
                <w:szCs w:val="21"/>
                <w:highlight w:val="none"/>
                <w:lang w:val="en-US" w:eastAsia="zh-CN"/>
              </w:rPr>
              <w:t>（3）炸药和油料的运输必须事先申请并经公安、环保等有关部门批准、登记。对油库按重点防渗区进行防渗处理，防渗层要求等效黏土防渗层 Mb≥6.0m，K≤1×1</w:t>
            </w:r>
            <w:r>
              <w:rPr>
                <w:rFonts w:hint="default" w:ascii="Times New Roman" w:hAnsi="Times New Roman" w:cs="Times New Roman"/>
                <w:b w:val="0"/>
                <w:bCs/>
                <w:color w:val="auto"/>
                <w:spacing w:val="10"/>
                <w:sz w:val="21"/>
                <w:szCs w:val="21"/>
                <w:highlight w:val="none"/>
                <w:vertAlign w:val="superscript"/>
                <w:lang w:val="en-US" w:eastAsia="zh-CN"/>
              </w:rPr>
              <w:t>0-7</w:t>
            </w:r>
            <w:r>
              <w:rPr>
                <w:rFonts w:hint="default" w:ascii="Times New Roman" w:hAnsi="Times New Roman" w:cs="Times New Roman"/>
                <w:b w:val="0"/>
                <w:bCs/>
                <w:color w:val="auto"/>
                <w:spacing w:val="10"/>
                <w:sz w:val="21"/>
                <w:szCs w:val="21"/>
                <w:highlight w:val="none"/>
                <w:lang w:val="en-US" w:eastAsia="zh-CN"/>
              </w:rPr>
              <w:t>cm/s。</w:t>
            </w:r>
          </w:p>
          <w:p>
            <w:pPr>
              <w:autoSpaceDE w:val="0"/>
              <w:autoSpaceDN w:val="0"/>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val="en-US" w:eastAsia="zh-CN"/>
              </w:rPr>
            </w:pPr>
            <w:r>
              <w:rPr>
                <w:rFonts w:hint="default" w:ascii="Times New Roman" w:hAnsi="Times New Roman" w:cs="Times New Roman"/>
                <w:b w:val="0"/>
                <w:bCs/>
                <w:color w:val="auto"/>
                <w:spacing w:val="10"/>
                <w:sz w:val="21"/>
                <w:szCs w:val="21"/>
                <w:highlight w:val="none"/>
                <w:lang w:val="en-US" w:eastAsia="zh-CN"/>
              </w:rPr>
              <w:t>（4）加强运输人员的环境污染事故安全知识教育，运输人员应严格遵守易燃、易爆等危险货物运输的有关规定，具体包括《汽车危险货物运输规则</w:t>
            </w:r>
            <w:r>
              <w:rPr>
                <w:rFonts w:hint="eastAsia" w:cs="Times New Roman"/>
                <w:b w:val="0"/>
                <w:bCs/>
                <w:color w:val="auto"/>
                <w:spacing w:val="10"/>
                <w:sz w:val="21"/>
                <w:szCs w:val="21"/>
                <w:highlight w:val="none"/>
                <w:lang w:val="en-US" w:eastAsia="zh-CN"/>
              </w:rPr>
              <w:t>》《</w:t>
            </w:r>
            <w:r>
              <w:rPr>
                <w:rFonts w:hint="default" w:ascii="Times New Roman" w:hAnsi="Times New Roman" w:cs="Times New Roman"/>
                <w:b w:val="0"/>
                <w:bCs/>
                <w:color w:val="auto"/>
                <w:spacing w:val="10"/>
                <w:sz w:val="21"/>
                <w:szCs w:val="21"/>
                <w:highlight w:val="none"/>
                <w:lang w:val="en-US" w:eastAsia="zh-CN"/>
              </w:rPr>
              <w:t>汽车危险货物运输、装卸作业规程》。</w:t>
            </w:r>
          </w:p>
          <w:p>
            <w:pPr>
              <w:autoSpaceDE w:val="0"/>
              <w:autoSpaceDN w:val="0"/>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val="en-US" w:eastAsia="zh-CN"/>
              </w:rPr>
            </w:pPr>
            <w:r>
              <w:rPr>
                <w:rFonts w:hint="default" w:ascii="Times New Roman" w:hAnsi="Times New Roman" w:cs="Times New Roman"/>
                <w:b w:val="0"/>
                <w:bCs/>
                <w:color w:val="auto"/>
                <w:spacing w:val="10"/>
                <w:sz w:val="21"/>
                <w:szCs w:val="21"/>
                <w:highlight w:val="none"/>
                <w:lang w:val="en-US" w:eastAsia="zh-CN"/>
              </w:rPr>
              <w:t>（5）油料运输采用密闭性能优越的储油罐，炸药与雷管应分开运输，储存时应该按照相关规范分类、定点储存。</w:t>
            </w:r>
          </w:p>
          <w:p>
            <w:pPr>
              <w:autoSpaceDE w:val="0"/>
              <w:autoSpaceDN w:val="0"/>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val="en-US" w:eastAsia="zh-CN"/>
              </w:rPr>
            </w:pPr>
            <w:r>
              <w:rPr>
                <w:rFonts w:hint="default" w:ascii="Times New Roman" w:hAnsi="Times New Roman" w:cs="Times New Roman"/>
                <w:b w:val="0"/>
                <w:bCs/>
                <w:color w:val="auto"/>
                <w:spacing w:val="10"/>
                <w:sz w:val="21"/>
                <w:szCs w:val="21"/>
                <w:highlight w:val="none"/>
                <w:lang w:val="en-US" w:eastAsia="zh-CN"/>
              </w:rPr>
              <w:t>（6）定期检查储存场所各类电气开关和线路，防止设备老化、短路而成为事故隐患。</w:t>
            </w:r>
          </w:p>
          <w:p>
            <w:pPr>
              <w:autoSpaceDE w:val="0"/>
              <w:autoSpaceDN w:val="0"/>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val="en-US" w:eastAsia="zh-CN"/>
              </w:rPr>
            </w:pPr>
            <w:r>
              <w:rPr>
                <w:rFonts w:hint="default" w:ascii="Times New Roman" w:hAnsi="Times New Roman" w:cs="Times New Roman"/>
                <w:b w:val="0"/>
                <w:bCs/>
                <w:color w:val="auto"/>
                <w:spacing w:val="10"/>
                <w:sz w:val="21"/>
                <w:szCs w:val="21"/>
                <w:highlight w:val="none"/>
                <w:lang w:val="en-US" w:eastAsia="zh-CN"/>
              </w:rPr>
              <w:t>（7）油库设置防静电装置。油库区的电源箱、控制箱、开关、灯具、电动阀门和油泵等均应选择防爆型。</w:t>
            </w:r>
          </w:p>
          <w:p>
            <w:pPr>
              <w:autoSpaceDE w:val="0"/>
              <w:autoSpaceDN w:val="0"/>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val="en-US" w:eastAsia="zh-CN"/>
              </w:rPr>
            </w:pPr>
            <w:r>
              <w:rPr>
                <w:rFonts w:hint="default" w:ascii="Times New Roman" w:hAnsi="Times New Roman" w:cs="Times New Roman"/>
                <w:b w:val="0"/>
                <w:bCs/>
                <w:color w:val="auto"/>
                <w:spacing w:val="10"/>
                <w:sz w:val="21"/>
                <w:szCs w:val="21"/>
                <w:highlight w:val="none"/>
                <w:lang w:val="en-US" w:eastAsia="zh-CN"/>
              </w:rPr>
              <w:t>（8）配备必需的消防器材，定期更换，以保证消防器材在任何时候均处于有效状态。</w:t>
            </w:r>
          </w:p>
          <w:p>
            <w:pPr>
              <w:autoSpaceDE w:val="0"/>
              <w:autoSpaceDN w:val="0"/>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val="en-US" w:eastAsia="zh-CN"/>
              </w:rPr>
            </w:pPr>
            <w:r>
              <w:rPr>
                <w:rFonts w:hint="default" w:ascii="Times New Roman" w:hAnsi="Times New Roman" w:cs="Times New Roman"/>
                <w:b w:val="0"/>
                <w:bCs/>
                <w:color w:val="auto"/>
                <w:spacing w:val="10"/>
                <w:sz w:val="21"/>
                <w:szCs w:val="21"/>
                <w:highlight w:val="none"/>
                <w:lang w:val="en-US" w:eastAsia="zh-CN"/>
              </w:rPr>
              <w:t>3、施工期水污染事故风险分析及防范措施</w:t>
            </w:r>
          </w:p>
          <w:p>
            <w:pPr>
              <w:autoSpaceDE w:val="0"/>
              <w:autoSpaceDN w:val="0"/>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val="en-US" w:eastAsia="zh-CN"/>
              </w:rPr>
            </w:pPr>
            <w:r>
              <w:rPr>
                <w:rFonts w:hint="default" w:ascii="Times New Roman" w:hAnsi="Times New Roman" w:cs="Times New Roman"/>
                <w:b w:val="0"/>
                <w:bCs/>
                <w:color w:val="auto"/>
                <w:spacing w:val="10"/>
                <w:sz w:val="21"/>
                <w:szCs w:val="21"/>
                <w:highlight w:val="none"/>
                <w:lang w:val="en-US" w:eastAsia="zh-CN"/>
              </w:rPr>
              <w:t>正常情况下，施工期间施工废水经处理后回用，生活污水处理后作为农肥使用，均不外排。但一旦水处理设备失效，废污水将有可能直接进入受纳水体而污染水质。</w:t>
            </w:r>
          </w:p>
          <w:p>
            <w:pPr>
              <w:autoSpaceDE w:val="0"/>
              <w:autoSpaceDN w:val="0"/>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val="en-US" w:eastAsia="zh-CN"/>
              </w:rPr>
            </w:pPr>
            <w:r>
              <w:rPr>
                <w:rFonts w:hint="default" w:ascii="Times New Roman" w:hAnsi="Times New Roman" w:cs="Times New Roman"/>
                <w:b w:val="0"/>
                <w:bCs/>
                <w:color w:val="auto"/>
                <w:spacing w:val="10"/>
                <w:sz w:val="21"/>
                <w:szCs w:val="21"/>
                <w:highlight w:val="none"/>
                <w:lang w:val="en-US" w:eastAsia="zh-CN"/>
              </w:rPr>
              <w:t>为减小废水排放风险，工程环境管理部门应加强对废水处理的监控和管理。对操作人员实行培训上岗，发现事故排放造成的污染时应及时通知现场负责人和环境管理单位，并协助调查处理。针对各类废水处理系统的检修，提出完善的管理制度和施工安排；废水处理设施一旦出现故障，立即停止相关设备的运行，并将废水暂存，排除隐患后方可继续运行。</w:t>
            </w:r>
          </w:p>
          <w:p>
            <w:pPr>
              <w:autoSpaceDE w:val="0"/>
              <w:autoSpaceDN w:val="0"/>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val="en-US" w:eastAsia="zh-CN"/>
              </w:rPr>
            </w:pPr>
            <w:r>
              <w:rPr>
                <w:rFonts w:hint="default" w:ascii="Times New Roman" w:hAnsi="Times New Roman" w:cs="Times New Roman"/>
                <w:b w:val="0"/>
                <w:bCs/>
                <w:color w:val="auto"/>
                <w:spacing w:val="10"/>
                <w:sz w:val="21"/>
                <w:szCs w:val="21"/>
                <w:highlight w:val="none"/>
                <w:lang w:val="en-US" w:eastAsia="zh-CN"/>
              </w:rPr>
              <w:t>4、运行期水质污染风险分析及防范措施</w:t>
            </w:r>
          </w:p>
          <w:p>
            <w:pPr>
              <w:autoSpaceDE w:val="0"/>
              <w:autoSpaceDN w:val="0"/>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val="en-US" w:eastAsia="zh-CN"/>
              </w:rPr>
            </w:pPr>
            <w:r>
              <w:rPr>
                <w:rFonts w:hint="default" w:ascii="Times New Roman" w:hAnsi="Times New Roman" w:cs="Times New Roman"/>
                <w:b w:val="0"/>
                <w:bCs/>
                <w:color w:val="auto"/>
                <w:spacing w:val="10"/>
                <w:sz w:val="21"/>
                <w:szCs w:val="21"/>
                <w:highlight w:val="none"/>
                <w:lang w:val="en-US" w:eastAsia="zh-CN"/>
              </w:rPr>
              <w:t>为保障下游生态用水，需定期对生态放水管及设备进行检修，同时加强环境管理，防止大型固体废弃物将生态放水管进口堵塞。</w:t>
            </w:r>
          </w:p>
          <w:p>
            <w:pPr>
              <w:autoSpaceDE w:val="0"/>
              <w:autoSpaceDN w:val="0"/>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val="en-US" w:eastAsia="zh-CN"/>
              </w:rPr>
            </w:pPr>
            <w:r>
              <w:rPr>
                <w:rFonts w:hint="default" w:ascii="Times New Roman" w:hAnsi="Times New Roman" w:cs="Times New Roman"/>
                <w:b w:val="0"/>
                <w:bCs/>
                <w:color w:val="auto"/>
                <w:spacing w:val="10"/>
                <w:sz w:val="21"/>
                <w:szCs w:val="21"/>
                <w:highlight w:val="none"/>
                <w:lang w:val="en-US" w:eastAsia="zh-CN"/>
              </w:rPr>
              <w:t>库周及上游居民分布较少，产生的垃圾量小，水库成库后加强库周居民的管理，严禁居民倾倒垃圾在库周，可以避免洪水季节将垃圾冲入库区内，从源头上控制库区内的污染物，减少消落带滞留的垃圾。</w:t>
            </w:r>
          </w:p>
          <w:p>
            <w:pPr>
              <w:autoSpaceDE w:val="0"/>
              <w:autoSpaceDN w:val="0"/>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val="en-US" w:eastAsia="zh-CN"/>
              </w:rPr>
            </w:pPr>
            <w:r>
              <w:rPr>
                <w:rFonts w:hint="default" w:ascii="Times New Roman" w:hAnsi="Times New Roman" w:cs="Times New Roman"/>
                <w:b w:val="0"/>
                <w:bCs/>
                <w:color w:val="auto"/>
                <w:spacing w:val="10"/>
                <w:sz w:val="21"/>
                <w:szCs w:val="21"/>
                <w:highlight w:val="none"/>
                <w:lang w:val="en-US" w:eastAsia="zh-CN"/>
              </w:rPr>
              <w:t>加强库周农田旱地管理，减少化肥、农药施肥量，保障库区水质不受农业面源污染。</w:t>
            </w:r>
          </w:p>
          <w:p>
            <w:pPr>
              <w:autoSpaceDE w:val="0"/>
              <w:autoSpaceDN w:val="0"/>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val="en-US" w:eastAsia="zh-CN"/>
              </w:rPr>
            </w:pPr>
            <w:r>
              <w:rPr>
                <w:rFonts w:hint="default" w:ascii="Times New Roman" w:hAnsi="Times New Roman" w:cs="Times New Roman"/>
                <w:b w:val="0"/>
                <w:bCs/>
                <w:color w:val="auto"/>
                <w:spacing w:val="10"/>
                <w:sz w:val="21"/>
                <w:szCs w:val="21"/>
                <w:highlight w:val="none"/>
                <w:lang w:val="en-US" w:eastAsia="zh-CN"/>
              </w:rPr>
              <w:t>5、蓄水期风险分析防范措施</w:t>
            </w:r>
          </w:p>
          <w:p>
            <w:pPr>
              <w:autoSpaceDE w:val="0"/>
              <w:autoSpaceDN w:val="0"/>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val="en-US" w:eastAsia="zh-CN"/>
              </w:rPr>
            </w:pPr>
            <w:r>
              <w:rPr>
                <w:rFonts w:hint="default" w:ascii="Times New Roman" w:hAnsi="Times New Roman" w:cs="Times New Roman"/>
                <w:b w:val="0"/>
                <w:bCs/>
                <w:color w:val="auto"/>
                <w:spacing w:val="10"/>
                <w:sz w:val="21"/>
                <w:szCs w:val="21"/>
                <w:highlight w:val="none"/>
                <w:lang w:val="en-US" w:eastAsia="zh-CN"/>
              </w:rPr>
              <w:t>在蓄水前，应对库区进行清理，以免水质受到污染，清理内容如下：</w:t>
            </w:r>
          </w:p>
          <w:p>
            <w:pPr>
              <w:autoSpaceDE w:val="0"/>
              <w:autoSpaceDN w:val="0"/>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val="en-US" w:eastAsia="zh-CN"/>
              </w:rPr>
            </w:pPr>
            <w:r>
              <w:rPr>
                <w:rFonts w:hint="default" w:ascii="Times New Roman" w:hAnsi="Times New Roman" w:cs="Times New Roman"/>
                <w:b w:val="0"/>
                <w:bCs/>
                <w:color w:val="auto"/>
                <w:spacing w:val="10"/>
                <w:sz w:val="21"/>
                <w:szCs w:val="21"/>
                <w:highlight w:val="none"/>
                <w:lang w:val="en-US" w:eastAsia="zh-CN"/>
              </w:rPr>
              <w:t>①林木清理；</w:t>
            </w:r>
          </w:p>
          <w:p>
            <w:pPr>
              <w:autoSpaceDE w:val="0"/>
              <w:autoSpaceDN w:val="0"/>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val="en-US" w:eastAsia="zh-CN"/>
              </w:rPr>
            </w:pPr>
            <w:r>
              <w:rPr>
                <w:rFonts w:hint="default" w:ascii="Times New Roman" w:hAnsi="Times New Roman" w:cs="Times New Roman"/>
                <w:b w:val="0"/>
                <w:bCs/>
                <w:color w:val="auto"/>
                <w:spacing w:val="10"/>
                <w:sz w:val="21"/>
                <w:szCs w:val="21"/>
                <w:highlight w:val="none"/>
                <w:lang w:val="en-US" w:eastAsia="zh-CN"/>
              </w:rPr>
              <w:t>②建（构）筑物的清理；</w:t>
            </w:r>
          </w:p>
          <w:p>
            <w:pPr>
              <w:autoSpaceDE w:val="0"/>
              <w:autoSpaceDN w:val="0"/>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val="en-US" w:eastAsia="zh-CN"/>
              </w:rPr>
            </w:pPr>
            <w:r>
              <w:rPr>
                <w:rFonts w:hint="default" w:ascii="Times New Roman" w:hAnsi="Times New Roman" w:cs="Times New Roman"/>
                <w:b w:val="0"/>
                <w:bCs/>
                <w:color w:val="auto"/>
                <w:spacing w:val="10"/>
                <w:sz w:val="21"/>
                <w:szCs w:val="21"/>
                <w:highlight w:val="none"/>
                <w:lang w:val="en-US" w:eastAsia="zh-CN"/>
              </w:rPr>
              <w:t>③卫生防疫清理。</w:t>
            </w:r>
          </w:p>
          <w:p>
            <w:pPr>
              <w:autoSpaceDE w:val="0"/>
              <w:autoSpaceDN w:val="0"/>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val="en-US" w:eastAsia="zh-CN"/>
              </w:rPr>
            </w:pPr>
            <w:r>
              <w:rPr>
                <w:rFonts w:hint="default" w:ascii="Times New Roman" w:hAnsi="Times New Roman" w:cs="Times New Roman"/>
                <w:b w:val="0"/>
                <w:bCs/>
                <w:color w:val="auto"/>
                <w:spacing w:val="10"/>
                <w:sz w:val="21"/>
                <w:szCs w:val="21"/>
                <w:highlight w:val="none"/>
                <w:lang w:val="en-US" w:eastAsia="zh-CN"/>
              </w:rPr>
              <w:t>库区若不进行清理，将会产生漂浮物，污染水质。库区粪坑、坟墓含有大肠杆菌、炭疽芽孢杆菌，动物的尸体如老鼠等带有病原体，这些将会严重影响水质。以上须严格按照相关规定对库区进行清理。</w:t>
            </w:r>
          </w:p>
          <w:p>
            <w:pPr>
              <w:autoSpaceDE w:val="0"/>
              <w:autoSpaceDN w:val="0"/>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val="en-US" w:eastAsia="zh-CN"/>
              </w:rPr>
            </w:pPr>
            <w:r>
              <w:rPr>
                <w:rFonts w:hint="default" w:ascii="Times New Roman" w:hAnsi="Times New Roman" w:cs="Times New Roman"/>
                <w:b w:val="0"/>
                <w:bCs/>
                <w:color w:val="auto"/>
                <w:spacing w:val="10"/>
                <w:sz w:val="21"/>
                <w:szCs w:val="21"/>
                <w:highlight w:val="none"/>
                <w:lang w:val="en-US" w:eastAsia="zh-CN"/>
              </w:rPr>
              <w:t>库底清理工作由</w:t>
            </w:r>
            <w:r>
              <w:rPr>
                <w:rFonts w:hint="eastAsia" w:cs="Times New Roman"/>
                <w:b w:val="0"/>
                <w:bCs/>
                <w:color w:val="auto"/>
                <w:spacing w:val="10"/>
                <w:sz w:val="21"/>
                <w:szCs w:val="21"/>
                <w:highlight w:val="none"/>
                <w:lang w:val="en-US" w:eastAsia="zh-CN"/>
              </w:rPr>
              <w:t>宣汉</w:t>
            </w:r>
            <w:r>
              <w:rPr>
                <w:rFonts w:hint="default" w:ascii="Times New Roman" w:hAnsi="Times New Roman" w:cs="Times New Roman"/>
                <w:b w:val="0"/>
                <w:bCs/>
                <w:color w:val="auto"/>
                <w:spacing w:val="10"/>
                <w:sz w:val="21"/>
                <w:szCs w:val="21"/>
                <w:highlight w:val="none"/>
                <w:lang w:val="en-US" w:eastAsia="zh-CN"/>
              </w:rPr>
              <w:t>县人民政府负责，组织移民、水利、卫生、环保、城建、民政、公安、林业、宣传等部门成立临时清库领导小组，对清理人员进行技术培训，负责库底清理实施组织协调工作。</w:t>
            </w:r>
          </w:p>
          <w:p>
            <w:pPr>
              <w:autoSpaceDE w:val="0"/>
              <w:autoSpaceDN w:val="0"/>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val="en-US" w:eastAsia="zh-CN"/>
              </w:rPr>
            </w:pPr>
            <w:r>
              <w:rPr>
                <w:rFonts w:hint="default" w:ascii="Times New Roman" w:hAnsi="Times New Roman" w:cs="Times New Roman"/>
                <w:b w:val="0"/>
                <w:bCs/>
                <w:color w:val="auto"/>
                <w:spacing w:val="10"/>
                <w:sz w:val="21"/>
                <w:szCs w:val="21"/>
                <w:highlight w:val="none"/>
                <w:lang w:val="en-US" w:eastAsia="zh-CN"/>
              </w:rPr>
              <w:t>由于库底清理有较强的技术要求和一定的危险性，涉及镇及各村应配备专职清理人员，负责清理中的技术问题、安全防护及安全检查，并对清理后的场地进行检查。应对专职清理人员组织技术培训。</w:t>
            </w:r>
          </w:p>
          <w:p>
            <w:pPr>
              <w:autoSpaceDE w:val="0"/>
              <w:autoSpaceDN w:val="0"/>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val="en-US" w:eastAsia="zh-CN"/>
              </w:rPr>
            </w:pPr>
            <w:r>
              <w:rPr>
                <w:rFonts w:hint="default" w:ascii="Times New Roman" w:hAnsi="Times New Roman" w:cs="Times New Roman"/>
                <w:b w:val="0"/>
                <w:bCs/>
                <w:color w:val="auto"/>
                <w:spacing w:val="10"/>
                <w:sz w:val="21"/>
                <w:szCs w:val="21"/>
                <w:highlight w:val="none"/>
                <w:lang w:val="en-US" w:eastAsia="zh-CN"/>
              </w:rPr>
              <w:t>库底清理工作完成后，由</w:t>
            </w:r>
            <w:r>
              <w:rPr>
                <w:rFonts w:hint="eastAsia" w:cs="Times New Roman"/>
                <w:b w:val="0"/>
                <w:bCs/>
                <w:color w:val="auto"/>
                <w:spacing w:val="10"/>
                <w:sz w:val="21"/>
                <w:szCs w:val="21"/>
                <w:highlight w:val="none"/>
                <w:lang w:val="en-US" w:eastAsia="zh-CN"/>
              </w:rPr>
              <w:t>宣汉</w:t>
            </w:r>
            <w:r>
              <w:rPr>
                <w:rFonts w:hint="default" w:ascii="Times New Roman" w:hAnsi="Times New Roman" w:cs="Times New Roman"/>
                <w:b w:val="0"/>
                <w:bCs/>
                <w:color w:val="auto"/>
                <w:spacing w:val="10"/>
                <w:sz w:val="21"/>
                <w:szCs w:val="21"/>
                <w:highlight w:val="none"/>
                <w:lang w:val="en-US" w:eastAsia="zh-CN"/>
              </w:rPr>
              <w:t>县人民政府组织有关部门共同进行初验，并将初验结果和必需的资料报送工程验收委员会，经复验合格并批准后方能下闸蓄水。</w:t>
            </w:r>
          </w:p>
          <w:p>
            <w:pPr>
              <w:autoSpaceDE w:val="0"/>
              <w:autoSpaceDN w:val="0"/>
              <w:adjustRightInd w:val="0"/>
              <w:snapToGrid w:val="0"/>
              <w:spacing w:line="360" w:lineRule="auto"/>
              <w:ind w:firstLine="462" w:firstLineChars="200"/>
              <w:rPr>
                <w:rFonts w:hint="default" w:ascii="Times New Roman" w:hAnsi="Times New Roman" w:cs="Times New Roman"/>
                <w:b/>
                <w:bCs w:val="0"/>
                <w:color w:val="auto"/>
                <w:spacing w:val="10"/>
                <w:sz w:val="21"/>
                <w:szCs w:val="21"/>
                <w:highlight w:val="none"/>
                <w:lang w:val="en-US" w:eastAsia="zh-CN"/>
              </w:rPr>
            </w:pPr>
            <w:r>
              <w:rPr>
                <w:rFonts w:hint="default" w:ascii="Times New Roman" w:hAnsi="Times New Roman" w:cs="Times New Roman"/>
                <w:b/>
                <w:bCs w:val="0"/>
                <w:color w:val="auto"/>
                <w:spacing w:val="10"/>
                <w:sz w:val="21"/>
                <w:szCs w:val="21"/>
                <w:highlight w:val="none"/>
                <w:lang w:val="en-US" w:eastAsia="zh-CN"/>
              </w:rPr>
              <w:t>5.12.2 应急措施及预案</w:t>
            </w:r>
          </w:p>
          <w:p>
            <w:pPr>
              <w:autoSpaceDE w:val="0"/>
              <w:autoSpaceDN w:val="0"/>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val="en-US" w:eastAsia="zh-CN"/>
              </w:rPr>
            </w:pPr>
            <w:r>
              <w:rPr>
                <w:rFonts w:hint="default" w:ascii="Times New Roman" w:hAnsi="Times New Roman" w:cs="Times New Roman"/>
                <w:b w:val="0"/>
                <w:bCs/>
                <w:color w:val="auto"/>
                <w:spacing w:val="10"/>
                <w:sz w:val="21"/>
                <w:szCs w:val="21"/>
                <w:highlight w:val="none"/>
                <w:lang w:val="en-US" w:eastAsia="zh-CN"/>
              </w:rPr>
              <w:t>为预防风险事件对供水安全的影响，按照《突发环境事件应急管理办法》（环境保护部令 2015 年第 34 号）、《关于切实加强风险防范严格环境影响评价管理的通知》（环发〔2012〕98 号）要求，企业事业单位应当按照相关法律法规和标准规范的要求，履行下列义务：（一）开展突发环境事件风险评估；（二）完善突发环境事件风险防控措施；（三）排查治理环境安全隐患；（四）制定突发环境事件应急预案并备案、演练；（五）加强环境应急能力保障建设。</w:t>
            </w:r>
          </w:p>
          <w:p>
            <w:pPr>
              <w:autoSpaceDE w:val="0"/>
              <w:autoSpaceDN w:val="0"/>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val="en-US" w:eastAsia="zh-CN"/>
              </w:rPr>
            </w:pPr>
            <w:r>
              <w:rPr>
                <w:rFonts w:hint="default" w:ascii="Times New Roman" w:hAnsi="Times New Roman" w:cs="Times New Roman"/>
                <w:b w:val="0"/>
                <w:bCs/>
                <w:color w:val="auto"/>
                <w:spacing w:val="10"/>
                <w:sz w:val="21"/>
                <w:szCs w:val="21"/>
                <w:highlight w:val="none"/>
                <w:lang w:val="en-US" w:eastAsia="zh-CN"/>
              </w:rPr>
              <w:t>根据《集中式地表饮用水水源地环境应急管理工作指南（试行）》（环办〔2011〕93号），项目应设置水源水质保护应急预案，应急预案内容应包括：①环境风险防范，包括水源地外的风险防范、连接水体的风险防范、水源地的风险防范、特殊时期的风险防范等；②水源地预警体系建设，包括预警系统建设、信息研判、预警公告等；③环境应急准备，包括预案体系建设、指挥系统建设、联动机制建设、能力保障等；④环境应急响应，包括责任单位的应急响应与处置、生态环境保护部门的应急响应（指挥、监测、处置、信息发布、应急终止等）；⑤事后管理，包括事件总结、原因调查与追责、事件评估、措施改进。</w:t>
            </w:r>
          </w:p>
          <w:p>
            <w:pPr>
              <w:autoSpaceDE w:val="0"/>
              <w:autoSpaceDN w:val="0"/>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val="en-US" w:eastAsia="zh-CN"/>
              </w:rPr>
            </w:pPr>
            <w:r>
              <w:rPr>
                <w:rFonts w:hint="default" w:ascii="Times New Roman" w:hAnsi="Times New Roman" w:cs="Times New Roman"/>
                <w:b w:val="0"/>
                <w:bCs/>
                <w:color w:val="auto"/>
                <w:spacing w:val="10"/>
                <w:sz w:val="21"/>
                <w:szCs w:val="21"/>
                <w:highlight w:val="none"/>
                <w:lang w:val="en-US" w:eastAsia="zh-CN"/>
              </w:rPr>
              <w:t>根</w:t>
            </w:r>
            <w:r>
              <w:rPr>
                <w:rFonts w:hint="eastAsia" w:cs="Times New Roman"/>
                <w:b w:val="0"/>
                <w:bCs/>
                <w:color w:val="auto"/>
                <w:spacing w:val="10"/>
                <w:sz w:val="21"/>
                <w:szCs w:val="21"/>
                <w:highlight w:val="none"/>
                <w:lang w:val="en-US" w:eastAsia="zh-CN"/>
              </w:rPr>
              <w:t>据不</w:t>
            </w:r>
            <w:r>
              <w:rPr>
                <w:rFonts w:hint="default" w:ascii="Times New Roman" w:hAnsi="Times New Roman" w:cs="Times New Roman"/>
                <w:b w:val="0"/>
                <w:bCs/>
                <w:color w:val="auto"/>
                <w:spacing w:val="10"/>
                <w:sz w:val="21"/>
                <w:szCs w:val="21"/>
                <w:highlight w:val="none"/>
                <w:lang w:val="en-US" w:eastAsia="zh-CN"/>
              </w:rPr>
              <w:t>同类型的水库制定的应急预案，采取的监控和应急措施包括：①设立水源水质自动监测点，对突发污染事件或累积性污染事件进行长期监测与报警。同时，水源水质自动监测的数据，既可为水厂制水提供季节性和时段性的参考，又可为深度处理的实施提供有力的依据。②在水源地边界应设置明显的水源保护标识。③发生一般污染风险事故时，立即督促供水企业采取停水、减压供水、改路供水，启用备用水源；迅速采取有效措施，降低污染物浓度和影响程度，关闭相应的闸口，将受污染水体疏导排放至安全区域，并通知沿途居民停止取水、用水；必要时通知下游水厂停止供水或采取保护措施。④如是危险品事故，在第③条的基础上，公安部门实施交通管制、疏散人群、保护高危人群等措施，保护公众生命安全与身体健康。公安交警部门迅速处置事故车辆，向有关部门报告事故情况，并协助做好危险化学品的收储工作，防止污染进一步蔓延；公安消防部门迅速处置因危险化学品污染事故引发的火灾，参加有关危险化学品的处置工作。生态环境保护部门按照其预先制定的应急预案，迅速采取有效措施，消除污染源，开展应急现场监测工作，跟踪水质变化情况。</w:t>
            </w:r>
          </w:p>
          <w:p>
            <w:pPr>
              <w:autoSpaceDE w:val="0"/>
              <w:autoSpaceDN w:val="0"/>
              <w:adjustRightInd w:val="0"/>
              <w:snapToGrid w:val="0"/>
              <w:spacing w:line="360" w:lineRule="auto"/>
              <w:ind w:firstLine="460" w:firstLineChars="200"/>
              <w:rPr>
                <w:rFonts w:hint="default" w:ascii="Times New Roman" w:hAnsi="Times New Roman" w:eastAsia="宋体" w:cs="Times New Roman"/>
                <w:bCs/>
                <w:color w:val="auto"/>
                <w:spacing w:val="10"/>
                <w:sz w:val="21"/>
                <w:szCs w:val="21"/>
                <w:highlight w:val="none"/>
                <w:lang w:val="en-US" w:eastAsia="zh-CN"/>
              </w:rPr>
            </w:pPr>
            <w:r>
              <w:rPr>
                <w:rFonts w:hint="default" w:ascii="Times New Roman" w:hAnsi="Times New Roman" w:cs="Times New Roman"/>
                <w:b w:val="0"/>
                <w:bCs/>
                <w:color w:val="auto"/>
                <w:spacing w:val="10"/>
                <w:sz w:val="21"/>
                <w:szCs w:val="21"/>
                <w:highlight w:val="none"/>
                <w:lang w:val="en-US" w:eastAsia="zh-CN"/>
              </w:rPr>
              <w:t>综上所述，本项目建设和运行的风险可信度均较小，不构成影响工程能否建设或运行的关键因素。因此，本评价认为项目环境风险可控。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53" w:type="dxa"/>
            <w:vAlign w:val="center"/>
          </w:tcPr>
          <w:p>
            <w:pPr>
              <w:adjustRightInd w:val="0"/>
              <w:snapToGrid w:val="0"/>
              <w:spacing w:line="360" w:lineRule="auto"/>
              <w:jc w:val="center"/>
              <w:rPr>
                <w:rFonts w:hint="default" w:ascii="Times New Roman" w:hAnsi="Times New Roman" w:cs="Times New Roman"/>
                <w:bCs/>
                <w:color w:val="auto"/>
                <w:spacing w:val="10"/>
                <w:sz w:val="21"/>
                <w:szCs w:val="21"/>
                <w:highlight w:val="none"/>
              </w:rPr>
            </w:pPr>
            <w:r>
              <w:rPr>
                <w:rFonts w:hint="default" w:ascii="Times New Roman" w:hAnsi="Times New Roman" w:cs="Times New Roman"/>
                <w:bCs/>
                <w:color w:val="auto"/>
                <w:sz w:val="21"/>
                <w:szCs w:val="21"/>
                <w:highlight w:val="none"/>
              </w:rPr>
              <w:t>其他</w:t>
            </w:r>
          </w:p>
        </w:tc>
        <w:tc>
          <w:tcPr>
            <w:tcW w:w="8457" w:type="dxa"/>
            <w:vAlign w:val="center"/>
          </w:tcPr>
          <w:p>
            <w:pPr>
              <w:adjustRightInd w:val="0"/>
              <w:snapToGrid w:val="0"/>
              <w:spacing w:line="360" w:lineRule="auto"/>
              <w:rPr>
                <w:rFonts w:hint="default" w:ascii="Times New Roman" w:hAnsi="Times New Roman" w:cs="Times New Roman"/>
                <w:b/>
                <w:bCs w:val="0"/>
                <w:color w:val="auto"/>
                <w:spacing w:val="10"/>
                <w:sz w:val="21"/>
                <w:szCs w:val="21"/>
                <w:highlight w:val="none"/>
              </w:rPr>
            </w:pPr>
            <w:r>
              <w:rPr>
                <w:rFonts w:hint="default" w:ascii="Times New Roman" w:hAnsi="Times New Roman" w:cs="Times New Roman"/>
                <w:b/>
                <w:bCs w:val="0"/>
                <w:color w:val="auto"/>
                <w:spacing w:val="10"/>
                <w:sz w:val="21"/>
                <w:szCs w:val="21"/>
                <w:highlight w:val="none"/>
              </w:rPr>
              <w:t>5.</w:t>
            </w:r>
            <w:r>
              <w:rPr>
                <w:rFonts w:hint="default" w:ascii="Times New Roman" w:hAnsi="Times New Roman" w:cs="Times New Roman"/>
                <w:b/>
                <w:bCs w:val="0"/>
                <w:color w:val="auto"/>
                <w:spacing w:val="10"/>
                <w:sz w:val="21"/>
                <w:szCs w:val="21"/>
                <w:highlight w:val="none"/>
                <w:lang w:val="en-US" w:eastAsia="zh-CN"/>
              </w:rPr>
              <w:t>13</w:t>
            </w:r>
            <w:r>
              <w:rPr>
                <w:rFonts w:hint="default" w:ascii="Times New Roman" w:hAnsi="Times New Roman" w:cs="Times New Roman"/>
                <w:b/>
                <w:bCs w:val="0"/>
                <w:color w:val="auto"/>
                <w:spacing w:val="10"/>
                <w:sz w:val="21"/>
                <w:szCs w:val="21"/>
                <w:highlight w:val="none"/>
              </w:rPr>
              <w:t xml:space="preserve"> 环境管理及监测计划</w:t>
            </w:r>
          </w:p>
          <w:p>
            <w:pPr>
              <w:adjustRightInd w:val="0"/>
              <w:snapToGrid w:val="0"/>
              <w:spacing w:line="360" w:lineRule="auto"/>
              <w:ind w:firstLine="462" w:firstLineChars="200"/>
              <w:rPr>
                <w:rFonts w:hint="default" w:ascii="Times New Roman" w:hAnsi="Times New Roman" w:cs="Times New Roman"/>
                <w:b/>
                <w:bCs w:val="0"/>
                <w:color w:val="auto"/>
                <w:spacing w:val="10"/>
                <w:sz w:val="21"/>
                <w:szCs w:val="21"/>
                <w:highlight w:val="none"/>
              </w:rPr>
            </w:pPr>
            <w:r>
              <w:rPr>
                <w:rFonts w:hint="default" w:ascii="Times New Roman" w:hAnsi="Times New Roman" w:cs="Times New Roman"/>
                <w:b/>
                <w:bCs w:val="0"/>
                <w:color w:val="auto"/>
                <w:spacing w:val="10"/>
                <w:sz w:val="21"/>
                <w:szCs w:val="21"/>
                <w:highlight w:val="none"/>
              </w:rPr>
              <w:t>5.</w:t>
            </w:r>
            <w:r>
              <w:rPr>
                <w:rFonts w:hint="default" w:ascii="Times New Roman" w:hAnsi="Times New Roman" w:cs="Times New Roman"/>
                <w:b/>
                <w:bCs w:val="0"/>
                <w:color w:val="auto"/>
                <w:spacing w:val="10"/>
                <w:sz w:val="21"/>
                <w:szCs w:val="21"/>
                <w:highlight w:val="none"/>
                <w:lang w:val="en-US" w:eastAsia="zh-CN"/>
              </w:rPr>
              <w:t>13.1</w:t>
            </w:r>
            <w:r>
              <w:rPr>
                <w:rFonts w:hint="default" w:ascii="Times New Roman" w:hAnsi="Times New Roman" w:cs="Times New Roman"/>
                <w:b/>
                <w:bCs w:val="0"/>
                <w:color w:val="auto"/>
                <w:spacing w:val="10"/>
                <w:sz w:val="21"/>
                <w:szCs w:val="21"/>
                <w:highlight w:val="none"/>
              </w:rPr>
              <w:t>环境管理</w:t>
            </w:r>
          </w:p>
          <w:p>
            <w:pPr>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rPr>
            </w:pPr>
            <w:r>
              <w:rPr>
                <w:rFonts w:hint="default" w:ascii="Times New Roman" w:hAnsi="Times New Roman" w:cs="Times New Roman"/>
                <w:b w:val="0"/>
                <w:bCs/>
                <w:color w:val="auto"/>
                <w:spacing w:val="10"/>
                <w:sz w:val="21"/>
                <w:szCs w:val="21"/>
                <w:highlight w:val="none"/>
                <w:lang w:val="en-US" w:eastAsia="zh-CN"/>
              </w:rPr>
              <w:t>1、</w:t>
            </w:r>
            <w:r>
              <w:rPr>
                <w:rFonts w:hint="default" w:ascii="Times New Roman" w:hAnsi="Times New Roman" w:cs="Times New Roman"/>
                <w:b w:val="0"/>
                <w:bCs/>
                <w:color w:val="auto"/>
                <w:spacing w:val="10"/>
                <w:sz w:val="21"/>
                <w:szCs w:val="21"/>
                <w:highlight w:val="none"/>
              </w:rPr>
              <w:t>环境管理机构</w:t>
            </w:r>
          </w:p>
          <w:p>
            <w:pPr>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rPr>
            </w:pPr>
            <w:r>
              <w:rPr>
                <w:rFonts w:hint="default" w:ascii="Times New Roman" w:hAnsi="Times New Roman" w:cs="Times New Roman"/>
                <w:b w:val="0"/>
                <w:bCs/>
                <w:color w:val="auto"/>
                <w:spacing w:val="10"/>
                <w:sz w:val="21"/>
                <w:szCs w:val="21"/>
                <w:highlight w:val="none"/>
              </w:rPr>
              <w:t>环境管理是工程管理的重要组成部分，是工程建设和运行中各项环保措施能否实施的关键，它与施工、移民安置与开发、水库调度等方面有密切的关系。建议在拟建项目筹建阶段就建立适合本行业特点的统一的环境管理机构。除机构建设要搞好外，还要建立与当地政府各主管部门间相互协调、分工负责、互相配合的综合环境管理体系。建立环境管理机构是落实水利枢纽工程环保各项任务的保证。</w:t>
            </w:r>
          </w:p>
          <w:p>
            <w:pPr>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rPr>
            </w:pPr>
            <w:r>
              <w:rPr>
                <w:rFonts w:hint="default" w:ascii="Times New Roman" w:hAnsi="Times New Roman" w:cs="Times New Roman"/>
                <w:b w:val="0"/>
                <w:bCs/>
                <w:color w:val="auto"/>
                <w:spacing w:val="10"/>
                <w:sz w:val="21"/>
                <w:szCs w:val="21"/>
                <w:highlight w:val="none"/>
              </w:rPr>
              <w:t>拟建项目的建设和运行将在一定程度上改变库区现有的生态环境，促进当地社会经济的发展。为保证工程的社会经济效益与环境效益相协调，实现可持续发展的目标，应加强对工程建设期和运营期的环境管理工作，并设置专门机构负责。</w:t>
            </w:r>
          </w:p>
          <w:p>
            <w:pPr>
              <w:adjustRightInd w:val="0"/>
              <w:snapToGrid w:val="0"/>
              <w:spacing w:line="360" w:lineRule="auto"/>
              <w:ind w:firstLine="460" w:firstLineChars="200"/>
              <w:rPr>
                <w:rFonts w:hint="default" w:ascii="Times New Roman" w:hAnsi="Times New Roman" w:eastAsia="宋体" w:cs="Times New Roman"/>
                <w:b w:val="0"/>
                <w:bCs/>
                <w:color w:val="auto"/>
                <w:spacing w:val="10"/>
                <w:sz w:val="21"/>
                <w:szCs w:val="21"/>
                <w:highlight w:val="none"/>
                <w:lang w:eastAsia="zh-CN"/>
              </w:rPr>
            </w:pPr>
            <w:r>
              <w:rPr>
                <w:rFonts w:hint="default" w:ascii="Times New Roman" w:hAnsi="Times New Roman" w:cs="Times New Roman"/>
                <w:b w:val="0"/>
                <w:bCs/>
                <w:color w:val="auto"/>
                <w:spacing w:val="10"/>
                <w:sz w:val="21"/>
                <w:szCs w:val="21"/>
                <w:highlight w:val="none"/>
              </w:rPr>
              <w:t>该项目环境管理机构至少需安排专职环境管理人员 1~2 人</w:t>
            </w:r>
            <w:r>
              <w:rPr>
                <w:rFonts w:hint="default" w:ascii="Times New Roman" w:hAnsi="Times New Roman" w:cs="Times New Roman"/>
                <w:b w:val="0"/>
                <w:bCs/>
                <w:color w:val="auto"/>
                <w:spacing w:val="10"/>
                <w:sz w:val="21"/>
                <w:szCs w:val="21"/>
                <w:highlight w:val="none"/>
                <w:lang w:eastAsia="zh-CN"/>
              </w:rPr>
              <w:t>。</w:t>
            </w:r>
          </w:p>
          <w:p>
            <w:pPr>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rPr>
            </w:pPr>
            <w:r>
              <w:rPr>
                <w:rFonts w:hint="default" w:ascii="Times New Roman" w:hAnsi="Times New Roman" w:cs="Times New Roman"/>
                <w:b w:val="0"/>
                <w:bCs/>
                <w:color w:val="auto"/>
                <w:spacing w:val="10"/>
                <w:sz w:val="21"/>
                <w:szCs w:val="21"/>
                <w:highlight w:val="none"/>
                <w:lang w:val="en-US" w:eastAsia="zh-CN"/>
              </w:rPr>
              <w:t>2、</w:t>
            </w:r>
            <w:r>
              <w:rPr>
                <w:rFonts w:hint="default" w:ascii="Times New Roman" w:hAnsi="Times New Roman" w:cs="Times New Roman"/>
                <w:b w:val="0"/>
                <w:bCs/>
                <w:color w:val="auto"/>
                <w:spacing w:val="10"/>
                <w:sz w:val="21"/>
                <w:szCs w:val="21"/>
                <w:highlight w:val="none"/>
              </w:rPr>
              <w:t>环境管理机构职责</w:t>
            </w:r>
          </w:p>
          <w:p>
            <w:pPr>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rPr>
            </w:pPr>
            <w:r>
              <w:rPr>
                <w:rFonts w:hint="default" w:ascii="Times New Roman" w:hAnsi="Times New Roman" w:cs="Times New Roman"/>
                <w:b w:val="0"/>
                <w:bCs/>
                <w:color w:val="auto"/>
                <w:spacing w:val="10"/>
                <w:sz w:val="21"/>
                <w:szCs w:val="21"/>
                <w:highlight w:val="none"/>
              </w:rPr>
              <w:t>①执行国家及地方的环保方针、政策和有关法律、法规，协助</w:t>
            </w:r>
            <w:r>
              <w:rPr>
                <w:rFonts w:hint="eastAsia" w:cs="Times New Roman"/>
                <w:b w:val="0"/>
                <w:bCs/>
                <w:color w:val="auto"/>
                <w:spacing w:val="10"/>
                <w:sz w:val="21"/>
                <w:szCs w:val="21"/>
                <w:highlight w:val="none"/>
                <w:lang w:eastAsia="zh-CN"/>
              </w:rPr>
              <w:t>制定</w:t>
            </w:r>
            <w:r>
              <w:rPr>
                <w:rFonts w:hint="default" w:ascii="Times New Roman" w:hAnsi="Times New Roman" w:cs="Times New Roman"/>
                <w:b w:val="0"/>
                <w:bCs/>
                <w:color w:val="auto"/>
                <w:spacing w:val="10"/>
                <w:sz w:val="21"/>
                <w:szCs w:val="21"/>
                <w:highlight w:val="none"/>
              </w:rPr>
              <w:t>与实施水库环境保护规划，配合有关部门审查落实工程设计中的环保设施设计内容及工程环保设施的竣工验收。</w:t>
            </w:r>
          </w:p>
          <w:p>
            <w:pPr>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rPr>
            </w:pPr>
            <w:r>
              <w:rPr>
                <w:rFonts w:hint="default" w:ascii="Times New Roman" w:hAnsi="Times New Roman" w:cs="Times New Roman"/>
                <w:b w:val="0"/>
                <w:bCs/>
                <w:color w:val="auto"/>
                <w:spacing w:val="10"/>
                <w:sz w:val="21"/>
                <w:szCs w:val="21"/>
                <w:highlight w:val="none"/>
              </w:rPr>
              <w:t>②组织协调本报告书和审批意见提出的各项任务，落实生态补偿和污染防治的各项经费。建立健全环境保护工作规章制度，明确环保责任制及其奖惩办法。</w:t>
            </w:r>
          </w:p>
          <w:p>
            <w:pPr>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rPr>
            </w:pPr>
            <w:r>
              <w:rPr>
                <w:rFonts w:hint="default" w:ascii="Times New Roman" w:hAnsi="Times New Roman" w:cs="Times New Roman"/>
                <w:b w:val="0"/>
                <w:bCs/>
                <w:color w:val="auto"/>
                <w:spacing w:val="10"/>
                <w:sz w:val="21"/>
                <w:szCs w:val="21"/>
                <w:highlight w:val="none"/>
              </w:rPr>
              <w:t>③在施工期做好以下环境管理工作：</w:t>
            </w:r>
          </w:p>
          <w:p>
            <w:pPr>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rPr>
            </w:pPr>
            <w:r>
              <w:rPr>
                <w:rFonts w:hint="default" w:ascii="Times New Roman" w:hAnsi="Times New Roman" w:cs="Times New Roman"/>
                <w:b w:val="0"/>
                <w:bCs/>
                <w:color w:val="auto"/>
                <w:spacing w:val="10"/>
                <w:sz w:val="21"/>
                <w:szCs w:val="21"/>
                <w:highlight w:val="none"/>
              </w:rPr>
              <w:t>A</w:t>
            </w:r>
            <w:r>
              <w:rPr>
                <w:rFonts w:hint="default" w:ascii="Times New Roman" w:hAnsi="Times New Roman" w:cs="Times New Roman"/>
                <w:b w:val="0"/>
                <w:bCs/>
                <w:color w:val="auto"/>
                <w:spacing w:val="10"/>
                <w:sz w:val="21"/>
                <w:szCs w:val="21"/>
                <w:highlight w:val="none"/>
                <w:lang w:eastAsia="zh-CN"/>
              </w:rPr>
              <w:t>、</w:t>
            </w:r>
            <w:r>
              <w:rPr>
                <w:rFonts w:hint="default" w:ascii="Times New Roman" w:hAnsi="Times New Roman" w:cs="Times New Roman"/>
                <w:b w:val="0"/>
                <w:bCs/>
                <w:color w:val="auto"/>
                <w:spacing w:val="10"/>
                <w:sz w:val="21"/>
                <w:szCs w:val="21"/>
                <w:highlight w:val="none"/>
              </w:rPr>
              <w:t>组织施工期环境监理与监测，定期编制施工区环境质量报告，报上级主管部门。</w:t>
            </w:r>
          </w:p>
          <w:p>
            <w:pPr>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rPr>
            </w:pPr>
            <w:r>
              <w:rPr>
                <w:rFonts w:hint="default" w:ascii="Times New Roman" w:hAnsi="Times New Roman" w:cs="Times New Roman"/>
                <w:b w:val="0"/>
                <w:bCs/>
                <w:color w:val="auto"/>
                <w:spacing w:val="10"/>
                <w:sz w:val="21"/>
                <w:szCs w:val="21"/>
                <w:highlight w:val="none"/>
              </w:rPr>
              <w:t>B</w:t>
            </w:r>
            <w:r>
              <w:rPr>
                <w:rFonts w:hint="default" w:ascii="Times New Roman" w:hAnsi="Times New Roman" w:cs="Times New Roman"/>
                <w:b w:val="0"/>
                <w:bCs/>
                <w:color w:val="auto"/>
                <w:spacing w:val="10"/>
                <w:sz w:val="21"/>
                <w:szCs w:val="21"/>
                <w:highlight w:val="none"/>
                <w:lang w:eastAsia="zh-CN"/>
              </w:rPr>
              <w:t>、</w:t>
            </w:r>
            <w:r>
              <w:rPr>
                <w:rFonts w:hint="default" w:ascii="Times New Roman" w:hAnsi="Times New Roman" w:cs="Times New Roman"/>
                <w:b w:val="0"/>
                <w:bCs/>
                <w:color w:val="auto"/>
                <w:spacing w:val="10"/>
                <w:sz w:val="21"/>
                <w:szCs w:val="21"/>
                <w:highlight w:val="none"/>
              </w:rPr>
              <w:t>做好施工期生态破坏和污染事故的预防工作，对突发性事故要有应急处理措施。</w:t>
            </w:r>
          </w:p>
          <w:p>
            <w:pPr>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rPr>
            </w:pPr>
            <w:r>
              <w:rPr>
                <w:rFonts w:hint="default" w:ascii="Times New Roman" w:hAnsi="Times New Roman" w:cs="Times New Roman"/>
                <w:b w:val="0"/>
                <w:bCs/>
                <w:color w:val="auto"/>
                <w:spacing w:val="10"/>
                <w:sz w:val="21"/>
                <w:szCs w:val="21"/>
                <w:highlight w:val="none"/>
              </w:rPr>
              <w:t>C</w:t>
            </w:r>
            <w:r>
              <w:rPr>
                <w:rFonts w:hint="default" w:ascii="Times New Roman" w:hAnsi="Times New Roman" w:cs="Times New Roman"/>
                <w:b w:val="0"/>
                <w:bCs/>
                <w:color w:val="auto"/>
                <w:spacing w:val="10"/>
                <w:sz w:val="21"/>
                <w:szCs w:val="21"/>
                <w:highlight w:val="none"/>
                <w:lang w:eastAsia="zh-CN"/>
              </w:rPr>
              <w:t>、</w:t>
            </w:r>
            <w:r>
              <w:rPr>
                <w:rFonts w:hint="default" w:ascii="Times New Roman" w:hAnsi="Times New Roman" w:cs="Times New Roman"/>
                <w:b w:val="0"/>
                <w:bCs/>
                <w:color w:val="auto"/>
                <w:spacing w:val="10"/>
                <w:sz w:val="21"/>
                <w:szCs w:val="21"/>
                <w:highlight w:val="none"/>
              </w:rPr>
              <w:t>在施工后期，组织好施工区生态环境恢复和改善工作，如施工迹地恢复、施工区绿化等等；</w:t>
            </w:r>
          </w:p>
          <w:p>
            <w:pPr>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rPr>
            </w:pPr>
            <w:r>
              <w:rPr>
                <w:rFonts w:hint="default" w:ascii="Times New Roman" w:hAnsi="Times New Roman" w:cs="Times New Roman"/>
                <w:b w:val="0"/>
                <w:bCs/>
                <w:color w:val="auto"/>
                <w:spacing w:val="10"/>
                <w:sz w:val="21"/>
                <w:szCs w:val="21"/>
                <w:highlight w:val="none"/>
              </w:rPr>
              <w:t>D</w:t>
            </w:r>
            <w:r>
              <w:rPr>
                <w:rFonts w:hint="default" w:ascii="Times New Roman" w:hAnsi="Times New Roman" w:cs="Times New Roman"/>
                <w:b w:val="0"/>
                <w:bCs/>
                <w:color w:val="auto"/>
                <w:spacing w:val="10"/>
                <w:sz w:val="21"/>
                <w:szCs w:val="21"/>
                <w:highlight w:val="none"/>
                <w:lang w:eastAsia="zh-CN"/>
              </w:rPr>
              <w:t>、</w:t>
            </w:r>
            <w:r>
              <w:rPr>
                <w:rFonts w:hint="default" w:ascii="Times New Roman" w:hAnsi="Times New Roman" w:cs="Times New Roman"/>
                <w:b w:val="0"/>
                <w:bCs/>
                <w:color w:val="auto"/>
                <w:spacing w:val="10"/>
                <w:sz w:val="21"/>
                <w:szCs w:val="21"/>
                <w:highlight w:val="none"/>
              </w:rPr>
              <w:t>水库蓄水前，结合库底清理工作，</w:t>
            </w:r>
            <w:r>
              <w:rPr>
                <w:rFonts w:hint="eastAsia" w:cs="Times New Roman"/>
                <w:b w:val="0"/>
                <w:bCs/>
                <w:color w:val="auto"/>
                <w:spacing w:val="10"/>
                <w:sz w:val="21"/>
                <w:szCs w:val="21"/>
                <w:highlight w:val="none"/>
                <w:lang w:eastAsia="zh-CN"/>
              </w:rPr>
              <w:t>做好</w:t>
            </w:r>
            <w:r>
              <w:rPr>
                <w:rFonts w:hint="default" w:ascii="Times New Roman" w:hAnsi="Times New Roman" w:cs="Times New Roman"/>
                <w:b w:val="0"/>
                <w:bCs/>
                <w:color w:val="auto"/>
                <w:spacing w:val="10"/>
                <w:sz w:val="21"/>
                <w:szCs w:val="21"/>
                <w:highlight w:val="none"/>
              </w:rPr>
              <w:t>库区环境卫生管理、弃渣处理及移民安置区的环境保护工作。</w:t>
            </w:r>
          </w:p>
          <w:p>
            <w:pPr>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rPr>
            </w:pPr>
            <w:r>
              <w:rPr>
                <w:rFonts w:hint="default" w:ascii="Times New Roman" w:hAnsi="Times New Roman" w:cs="Times New Roman"/>
                <w:b w:val="0"/>
                <w:bCs/>
                <w:color w:val="auto"/>
                <w:spacing w:val="10"/>
                <w:sz w:val="21"/>
                <w:szCs w:val="21"/>
                <w:highlight w:val="none"/>
              </w:rPr>
              <w:t>④在水库运营期做好以下环境管理工作：</w:t>
            </w:r>
          </w:p>
          <w:p>
            <w:pPr>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rPr>
            </w:pPr>
            <w:r>
              <w:rPr>
                <w:rFonts w:hint="default" w:ascii="Times New Roman" w:hAnsi="Times New Roman" w:cs="Times New Roman"/>
                <w:b w:val="0"/>
                <w:bCs/>
                <w:color w:val="auto"/>
                <w:spacing w:val="10"/>
                <w:sz w:val="21"/>
                <w:szCs w:val="21"/>
                <w:highlight w:val="none"/>
              </w:rPr>
              <w:t>A</w:t>
            </w:r>
            <w:r>
              <w:rPr>
                <w:rFonts w:hint="default" w:ascii="Times New Roman" w:hAnsi="Times New Roman" w:cs="Times New Roman"/>
                <w:b w:val="0"/>
                <w:bCs/>
                <w:color w:val="auto"/>
                <w:spacing w:val="10"/>
                <w:sz w:val="21"/>
                <w:szCs w:val="21"/>
                <w:highlight w:val="none"/>
                <w:lang w:eastAsia="zh-CN"/>
              </w:rPr>
              <w:t>、</w:t>
            </w:r>
            <w:r>
              <w:rPr>
                <w:rFonts w:hint="default" w:ascii="Times New Roman" w:hAnsi="Times New Roman" w:cs="Times New Roman"/>
                <w:b w:val="0"/>
                <w:bCs/>
                <w:color w:val="auto"/>
                <w:spacing w:val="10"/>
                <w:sz w:val="21"/>
                <w:szCs w:val="21"/>
                <w:highlight w:val="none"/>
              </w:rPr>
              <w:t>做好水库水源及库水水质的保护工作；</w:t>
            </w:r>
          </w:p>
          <w:p>
            <w:pPr>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rPr>
            </w:pPr>
            <w:r>
              <w:rPr>
                <w:rFonts w:hint="default" w:ascii="Times New Roman" w:hAnsi="Times New Roman" w:cs="Times New Roman"/>
                <w:b w:val="0"/>
                <w:bCs/>
                <w:color w:val="auto"/>
                <w:spacing w:val="10"/>
                <w:sz w:val="21"/>
                <w:szCs w:val="21"/>
                <w:highlight w:val="none"/>
              </w:rPr>
              <w:t>B</w:t>
            </w:r>
            <w:r>
              <w:rPr>
                <w:rFonts w:hint="default" w:ascii="Times New Roman" w:hAnsi="Times New Roman" w:cs="Times New Roman"/>
                <w:b w:val="0"/>
                <w:bCs/>
                <w:color w:val="auto"/>
                <w:spacing w:val="10"/>
                <w:sz w:val="21"/>
                <w:szCs w:val="21"/>
                <w:highlight w:val="none"/>
                <w:lang w:eastAsia="zh-CN"/>
              </w:rPr>
              <w:t>、</w:t>
            </w:r>
            <w:r>
              <w:rPr>
                <w:rFonts w:hint="default" w:ascii="Times New Roman" w:hAnsi="Times New Roman" w:cs="Times New Roman"/>
                <w:b w:val="0"/>
                <w:bCs/>
                <w:color w:val="auto"/>
                <w:spacing w:val="10"/>
                <w:sz w:val="21"/>
                <w:szCs w:val="21"/>
                <w:highlight w:val="none"/>
              </w:rPr>
              <w:t>组织实施水库运营期的生物、水质、水文、泥沙等监测工作；</w:t>
            </w:r>
          </w:p>
          <w:p>
            <w:pPr>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rPr>
            </w:pPr>
            <w:r>
              <w:rPr>
                <w:rFonts w:hint="default" w:ascii="Times New Roman" w:hAnsi="Times New Roman" w:cs="Times New Roman"/>
                <w:b w:val="0"/>
                <w:bCs/>
                <w:color w:val="auto"/>
                <w:spacing w:val="10"/>
                <w:sz w:val="21"/>
                <w:szCs w:val="21"/>
                <w:highlight w:val="none"/>
              </w:rPr>
              <w:t>C</w:t>
            </w:r>
            <w:r>
              <w:rPr>
                <w:rFonts w:hint="default" w:ascii="Times New Roman" w:hAnsi="Times New Roman" w:cs="Times New Roman"/>
                <w:b w:val="0"/>
                <w:bCs/>
                <w:color w:val="auto"/>
                <w:spacing w:val="10"/>
                <w:sz w:val="21"/>
                <w:szCs w:val="21"/>
                <w:highlight w:val="none"/>
                <w:lang w:eastAsia="zh-CN"/>
              </w:rPr>
              <w:t>、</w:t>
            </w:r>
            <w:r>
              <w:rPr>
                <w:rFonts w:hint="default" w:ascii="Times New Roman" w:hAnsi="Times New Roman" w:cs="Times New Roman"/>
                <w:b w:val="0"/>
                <w:bCs/>
                <w:color w:val="auto"/>
                <w:spacing w:val="10"/>
                <w:sz w:val="21"/>
                <w:szCs w:val="21"/>
                <w:highlight w:val="none"/>
              </w:rPr>
              <w:t>协调解决在供水等方面产生的生态和环境问题；</w:t>
            </w:r>
          </w:p>
          <w:p>
            <w:pPr>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rPr>
            </w:pPr>
            <w:r>
              <w:rPr>
                <w:rFonts w:hint="default" w:ascii="Times New Roman" w:hAnsi="Times New Roman" w:cs="Times New Roman"/>
                <w:b w:val="0"/>
                <w:bCs/>
                <w:color w:val="auto"/>
                <w:spacing w:val="10"/>
                <w:sz w:val="21"/>
                <w:szCs w:val="21"/>
                <w:highlight w:val="none"/>
              </w:rPr>
              <w:t>D</w:t>
            </w:r>
            <w:r>
              <w:rPr>
                <w:rFonts w:hint="default" w:ascii="Times New Roman" w:hAnsi="Times New Roman" w:cs="Times New Roman"/>
                <w:b w:val="0"/>
                <w:bCs/>
                <w:color w:val="auto"/>
                <w:spacing w:val="10"/>
                <w:sz w:val="21"/>
                <w:szCs w:val="21"/>
                <w:highlight w:val="none"/>
                <w:lang w:eastAsia="zh-CN"/>
              </w:rPr>
              <w:t>、</w:t>
            </w:r>
            <w:r>
              <w:rPr>
                <w:rFonts w:hint="default" w:ascii="Times New Roman" w:hAnsi="Times New Roman" w:cs="Times New Roman"/>
                <w:b w:val="0"/>
                <w:bCs/>
                <w:color w:val="auto"/>
                <w:spacing w:val="10"/>
                <w:sz w:val="21"/>
                <w:szCs w:val="21"/>
                <w:highlight w:val="none"/>
              </w:rPr>
              <w:t>负责对水污染事故和破坏生态事故的处理。</w:t>
            </w:r>
          </w:p>
          <w:p>
            <w:pPr>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rPr>
            </w:pPr>
            <w:r>
              <w:rPr>
                <w:rFonts w:hint="default" w:ascii="Times New Roman" w:hAnsi="Times New Roman" w:cs="Times New Roman"/>
                <w:b w:val="0"/>
                <w:bCs/>
                <w:color w:val="auto"/>
                <w:spacing w:val="10"/>
                <w:sz w:val="21"/>
                <w:szCs w:val="21"/>
                <w:highlight w:val="none"/>
              </w:rPr>
              <w:t>⑤收集与管理有关环保法规（尤其是生态环境保护方面的）、环保技术资料、监测资料，建立环保档案。</w:t>
            </w:r>
          </w:p>
          <w:p>
            <w:pPr>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rPr>
            </w:pPr>
            <w:r>
              <w:rPr>
                <w:rFonts w:hint="default" w:ascii="Times New Roman" w:hAnsi="Times New Roman" w:cs="Times New Roman"/>
                <w:b w:val="0"/>
                <w:bCs/>
                <w:color w:val="auto"/>
                <w:spacing w:val="10"/>
                <w:sz w:val="21"/>
                <w:szCs w:val="21"/>
                <w:highlight w:val="none"/>
              </w:rPr>
              <w:t>⑥组织环保教育，搞好环境宣传，提高职工、施工人员及库区周围群众的环保意识。</w:t>
            </w:r>
          </w:p>
          <w:p>
            <w:pPr>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rPr>
            </w:pPr>
            <w:r>
              <w:rPr>
                <w:rFonts w:hint="default" w:ascii="Times New Roman" w:hAnsi="Times New Roman" w:cs="Times New Roman"/>
                <w:b w:val="0"/>
                <w:bCs/>
                <w:color w:val="auto"/>
                <w:spacing w:val="10"/>
                <w:sz w:val="21"/>
                <w:szCs w:val="21"/>
                <w:highlight w:val="none"/>
              </w:rPr>
              <w:t>⑦协助当地生态环境部门开展环境保护工作，排查和控制大坝集雨范围内污染源，保障库区水源水质安全，处理与工程有关的环境问题。</w:t>
            </w:r>
          </w:p>
          <w:p>
            <w:pPr>
              <w:adjustRightInd w:val="0"/>
              <w:snapToGrid w:val="0"/>
              <w:spacing w:line="360" w:lineRule="auto"/>
              <w:ind w:firstLine="462" w:firstLineChars="200"/>
              <w:rPr>
                <w:rFonts w:hint="default" w:ascii="Times New Roman" w:hAnsi="Times New Roman" w:cs="Times New Roman"/>
                <w:b/>
                <w:bCs w:val="0"/>
                <w:color w:val="auto"/>
                <w:spacing w:val="10"/>
                <w:sz w:val="21"/>
                <w:szCs w:val="21"/>
                <w:highlight w:val="none"/>
              </w:rPr>
            </w:pPr>
            <w:r>
              <w:rPr>
                <w:rFonts w:hint="default" w:ascii="Times New Roman" w:hAnsi="Times New Roman" w:cs="Times New Roman"/>
                <w:b/>
                <w:bCs w:val="0"/>
                <w:color w:val="auto"/>
                <w:spacing w:val="10"/>
                <w:sz w:val="21"/>
                <w:szCs w:val="21"/>
                <w:highlight w:val="none"/>
              </w:rPr>
              <w:t>5.</w:t>
            </w:r>
            <w:r>
              <w:rPr>
                <w:rFonts w:hint="default" w:ascii="Times New Roman" w:hAnsi="Times New Roman" w:cs="Times New Roman"/>
                <w:b/>
                <w:bCs w:val="0"/>
                <w:color w:val="auto"/>
                <w:spacing w:val="10"/>
                <w:sz w:val="21"/>
                <w:szCs w:val="21"/>
                <w:highlight w:val="none"/>
                <w:lang w:val="en-US" w:eastAsia="zh-CN"/>
              </w:rPr>
              <w:t>13.2</w:t>
            </w:r>
            <w:r>
              <w:rPr>
                <w:rFonts w:hint="default" w:ascii="Times New Roman" w:hAnsi="Times New Roman" w:cs="Times New Roman"/>
                <w:b/>
                <w:bCs w:val="0"/>
                <w:color w:val="auto"/>
                <w:spacing w:val="10"/>
                <w:sz w:val="21"/>
                <w:szCs w:val="21"/>
                <w:highlight w:val="none"/>
              </w:rPr>
              <w:t>环境监测</w:t>
            </w:r>
          </w:p>
          <w:p>
            <w:pPr>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eastAsia="zh-CN"/>
              </w:rPr>
            </w:pPr>
            <w:r>
              <w:rPr>
                <w:rFonts w:hint="default" w:ascii="Times New Roman" w:hAnsi="Times New Roman" w:cs="Times New Roman"/>
                <w:b w:val="0"/>
                <w:bCs/>
                <w:color w:val="auto"/>
                <w:spacing w:val="10"/>
                <w:sz w:val="21"/>
                <w:szCs w:val="21"/>
                <w:highlight w:val="none"/>
                <w:lang w:eastAsia="zh-CN"/>
              </w:rPr>
              <w:t>（1）施工期环境监测计划</w:t>
            </w:r>
          </w:p>
          <w:p>
            <w:pPr>
              <w:pStyle w:val="104"/>
              <w:snapToGrid/>
              <w:spacing w:line="36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①水质监测</w:t>
            </w:r>
          </w:p>
          <w:p>
            <w:pPr>
              <w:pStyle w:val="104"/>
              <w:snapToGrid/>
              <w:spacing w:line="36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监测断面布设：</w:t>
            </w:r>
          </w:p>
          <w:p>
            <w:pPr>
              <w:pStyle w:val="104"/>
              <w:snapToGrid/>
              <w:spacing w:line="36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地表水：水库坝址、减水河段、工区废水排放口</w:t>
            </w:r>
          </w:p>
          <w:p>
            <w:pPr>
              <w:pStyle w:val="104"/>
              <w:snapToGrid/>
              <w:spacing w:line="36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污水：生产废水产污口</w:t>
            </w:r>
          </w:p>
          <w:p>
            <w:pPr>
              <w:pStyle w:val="104"/>
              <w:snapToGrid/>
              <w:spacing w:line="36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监测项目：</w:t>
            </w:r>
          </w:p>
          <w:p>
            <w:pPr>
              <w:pStyle w:val="104"/>
              <w:snapToGrid/>
              <w:spacing w:line="36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地表水：水温、PH、DO、CODcr、BOD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、氨氮、总N、总P、石油类、六价铬、汞、氟化物、挥发酚、粪大肠菌群。</w:t>
            </w:r>
          </w:p>
          <w:p>
            <w:pPr>
              <w:pStyle w:val="104"/>
              <w:snapToGrid/>
              <w:spacing w:line="36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生产废水：pH、悬浮物、石油类。</w:t>
            </w:r>
          </w:p>
          <w:p>
            <w:pPr>
              <w:pStyle w:val="104"/>
              <w:snapToGrid/>
              <w:spacing w:line="36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生活污水：SS、COD、BOD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、粪大肠菌群。</w:t>
            </w:r>
          </w:p>
          <w:p>
            <w:pPr>
              <w:pStyle w:val="104"/>
              <w:snapToGrid/>
              <w:spacing w:line="36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监测频率：</w:t>
            </w:r>
          </w:p>
          <w:p>
            <w:pPr>
              <w:pStyle w:val="104"/>
              <w:snapToGrid/>
              <w:spacing w:line="36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施工期高峰期每年一次。</w:t>
            </w:r>
          </w:p>
          <w:p>
            <w:pPr>
              <w:pStyle w:val="104"/>
              <w:snapToGrid/>
              <w:spacing w:line="36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监测单位：</w:t>
            </w:r>
          </w:p>
          <w:p>
            <w:pPr>
              <w:pStyle w:val="104"/>
              <w:snapToGrid/>
              <w:spacing w:line="36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委托有计量</w:t>
            </w:r>
            <w:r>
              <w:rPr>
                <w:rFonts w:hint="eastAsia" w:cs="Times New Roman"/>
                <w:color w:val="auto"/>
                <w:sz w:val="21"/>
                <w:szCs w:val="21"/>
                <w:highlight w:val="none"/>
                <w:lang w:eastAsia="zh-CN"/>
              </w:rPr>
              <w:t>资质</w:t>
            </w:r>
            <w:r>
              <w:rPr>
                <w:rFonts w:hint="default" w:ascii="Times New Roman" w:hAnsi="Times New Roman" w:eastAsia="宋体" w:cs="Times New Roman"/>
                <w:color w:val="auto"/>
                <w:sz w:val="21"/>
                <w:szCs w:val="21"/>
                <w:highlight w:val="none"/>
              </w:rPr>
              <w:t>和监测资质的环境监测站进行监测。</w:t>
            </w:r>
          </w:p>
          <w:p>
            <w:pPr>
              <w:pStyle w:val="104"/>
              <w:snapToGrid/>
              <w:spacing w:line="36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②空气质量监测</w:t>
            </w:r>
          </w:p>
          <w:p>
            <w:pPr>
              <w:pStyle w:val="104"/>
              <w:snapToGrid/>
              <w:spacing w:line="36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监测点布设：在施工生产生活区各设1个监测点。</w:t>
            </w:r>
          </w:p>
          <w:p>
            <w:pPr>
              <w:pStyle w:val="104"/>
              <w:snapToGrid/>
              <w:spacing w:line="36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监测项目：PM</w:t>
            </w:r>
            <w:r>
              <w:rPr>
                <w:rFonts w:hint="default" w:ascii="Times New Roman" w:hAnsi="Times New Roman" w:eastAsia="宋体" w:cs="Times New Roman"/>
                <w:color w:val="auto"/>
                <w:sz w:val="21"/>
                <w:szCs w:val="21"/>
                <w:highlight w:val="none"/>
                <w:vertAlign w:val="subscript"/>
              </w:rPr>
              <w:t>10</w:t>
            </w: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w:t>
            </w:r>
          </w:p>
          <w:p>
            <w:pPr>
              <w:pStyle w:val="104"/>
              <w:snapToGrid/>
              <w:spacing w:line="36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监测频率：开挖高峰期监测1次，每次监测3天。</w:t>
            </w:r>
          </w:p>
          <w:p>
            <w:pPr>
              <w:pStyle w:val="104"/>
              <w:snapToGrid/>
              <w:spacing w:line="36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③噪声监测</w:t>
            </w:r>
          </w:p>
          <w:p>
            <w:pPr>
              <w:pStyle w:val="104"/>
              <w:snapToGrid/>
              <w:spacing w:line="36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监测点布设：在施工生产生活区各设1个监测点。</w:t>
            </w:r>
          </w:p>
          <w:p>
            <w:pPr>
              <w:pStyle w:val="104"/>
              <w:snapToGrid/>
              <w:spacing w:line="36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监测项目：等效连续A声级（Leq）。</w:t>
            </w:r>
          </w:p>
          <w:p>
            <w:pPr>
              <w:adjustRightInd w:val="0"/>
              <w:snapToGrid w:val="0"/>
              <w:spacing w:line="360" w:lineRule="auto"/>
              <w:ind w:firstLine="420" w:firstLineChars="200"/>
              <w:rPr>
                <w:rFonts w:hint="default" w:ascii="Times New Roman" w:hAnsi="Times New Roman" w:eastAsia="宋体" w:cs="Times New Roman"/>
                <w:b w:val="0"/>
                <w:bCs/>
                <w:color w:val="auto"/>
                <w:spacing w:val="10"/>
                <w:sz w:val="21"/>
                <w:szCs w:val="21"/>
                <w:highlight w:val="none"/>
                <w:lang w:eastAsia="zh-CN"/>
              </w:rPr>
            </w:pPr>
            <w:r>
              <w:rPr>
                <w:rFonts w:hint="default" w:ascii="Times New Roman" w:hAnsi="Times New Roman" w:eastAsia="宋体" w:cs="Times New Roman"/>
                <w:color w:val="auto"/>
                <w:sz w:val="21"/>
                <w:szCs w:val="21"/>
                <w:highlight w:val="none"/>
              </w:rPr>
              <w:t>监测频率：施工高峰期监测1次，每次监测3天。</w:t>
            </w:r>
          </w:p>
          <w:p>
            <w:pPr>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eastAsia="zh-CN"/>
              </w:rPr>
            </w:pPr>
            <w:r>
              <w:rPr>
                <w:rFonts w:hint="default" w:ascii="Times New Roman" w:hAnsi="Times New Roman" w:cs="Times New Roman"/>
                <w:b w:val="0"/>
                <w:bCs/>
                <w:color w:val="auto"/>
                <w:spacing w:val="10"/>
                <w:sz w:val="21"/>
                <w:szCs w:val="21"/>
                <w:highlight w:val="none"/>
                <w:lang w:eastAsia="zh-CN"/>
              </w:rPr>
              <w:t>（2）运行期环境监测计划</w:t>
            </w:r>
          </w:p>
          <w:p>
            <w:pPr>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eastAsia="zh-CN"/>
              </w:rPr>
            </w:pPr>
            <w:r>
              <w:rPr>
                <w:rFonts w:hint="default" w:ascii="Times New Roman" w:hAnsi="Times New Roman" w:cs="Times New Roman"/>
                <w:b w:val="0"/>
                <w:bCs/>
                <w:color w:val="auto"/>
                <w:spacing w:val="10"/>
                <w:sz w:val="21"/>
                <w:szCs w:val="21"/>
                <w:highlight w:val="none"/>
                <w:lang w:eastAsia="zh-CN"/>
              </w:rPr>
              <w:t>①水库水质监测计划</w:t>
            </w:r>
          </w:p>
          <w:p>
            <w:pPr>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eastAsia="zh-CN"/>
              </w:rPr>
            </w:pPr>
            <w:r>
              <w:rPr>
                <w:rFonts w:hint="default" w:ascii="Times New Roman" w:hAnsi="Times New Roman" w:cs="Times New Roman"/>
                <w:b w:val="0"/>
                <w:bCs/>
                <w:color w:val="auto"/>
                <w:spacing w:val="10"/>
                <w:sz w:val="21"/>
                <w:szCs w:val="21"/>
                <w:highlight w:val="none"/>
                <w:lang w:eastAsia="zh-CN"/>
              </w:rPr>
              <w:t>监测位置：水库库尾和取水口。</w:t>
            </w:r>
          </w:p>
          <w:p>
            <w:pPr>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eastAsia="zh-CN"/>
              </w:rPr>
            </w:pPr>
            <w:r>
              <w:rPr>
                <w:rFonts w:hint="default" w:ascii="Times New Roman" w:hAnsi="Times New Roman" w:cs="Times New Roman"/>
                <w:b w:val="0"/>
                <w:bCs/>
                <w:color w:val="auto"/>
                <w:spacing w:val="10"/>
                <w:sz w:val="21"/>
                <w:szCs w:val="21"/>
                <w:highlight w:val="none"/>
                <w:lang w:eastAsia="zh-CN"/>
              </w:rPr>
              <w:t>监测项目：水温、pH、SS、透明度、总硬度、叶绿素a、DO、高锰酸盐指数、BOD</w:t>
            </w:r>
            <w:r>
              <w:rPr>
                <w:rFonts w:hint="default" w:ascii="Times New Roman" w:hAnsi="Times New Roman" w:cs="Times New Roman"/>
                <w:b w:val="0"/>
                <w:bCs/>
                <w:color w:val="auto"/>
                <w:spacing w:val="10"/>
                <w:sz w:val="21"/>
                <w:szCs w:val="21"/>
                <w:highlight w:val="none"/>
                <w:vertAlign w:val="subscript"/>
                <w:lang w:eastAsia="zh-CN"/>
              </w:rPr>
              <w:t>5</w:t>
            </w:r>
            <w:r>
              <w:rPr>
                <w:rFonts w:hint="default" w:ascii="Times New Roman" w:hAnsi="Times New Roman" w:cs="Times New Roman"/>
                <w:b w:val="0"/>
                <w:bCs/>
                <w:color w:val="auto"/>
                <w:spacing w:val="10"/>
                <w:sz w:val="21"/>
                <w:szCs w:val="21"/>
                <w:highlight w:val="none"/>
                <w:lang w:eastAsia="zh-CN"/>
              </w:rPr>
              <w:t>、氨氮、总磷、总氮、氟化物、砷、汞、镉、六价铬、铅、氰化物、挥发酚、石油类、阴离子表面活性剂、硫化物、粪大肠菌群、硫酸盐、氯化物、硝酸盐、铁、锰等共28项。</w:t>
            </w:r>
          </w:p>
          <w:p>
            <w:pPr>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eastAsia="zh-CN"/>
              </w:rPr>
            </w:pPr>
            <w:r>
              <w:rPr>
                <w:rFonts w:hint="default" w:ascii="Times New Roman" w:hAnsi="Times New Roman" w:cs="Times New Roman"/>
                <w:b w:val="0"/>
                <w:bCs/>
                <w:color w:val="auto"/>
                <w:spacing w:val="10"/>
                <w:sz w:val="21"/>
                <w:szCs w:val="21"/>
                <w:highlight w:val="none"/>
                <w:lang w:eastAsia="zh-CN"/>
              </w:rPr>
              <w:t>监测频次：水库取水口处断面每</w:t>
            </w:r>
            <w:r>
              <w:rPr>
                <w:rFonts w:hint="eastAsia" w:cs="Times New Roman"/>
                <w:b w:val="0"/>
                <w:bCs/>
                <w:color w:val="auto"/>
                <w:spacing w:val="10"/>
                <w:sz w:val="21"/>
                <w:szCs w:val="21"/>
                <w:highlight w:val="none"/>
                <w:lang w:eastAsia="zh-CN"/>
              </w:rPr>
              <w:t>两个</w:t>
            </w:r>
            <w:r>
              <w:rPr>
                <w:rFonts w:hint="default" w:ascii="Times New Roman" w:hAnsi="Times New Roman" w:cs="Times New Roman"/>
                <w:b w:val="0"/>
                <w:bCs/>
                <w:color w:val="auto"/>
                <w:spacing w:val="10"/>
                <w:sz w:val="21"/>
                <w:szCs w:val="21"/>
                <w:highlight w:val="none"/>
                <w:lang w:eastAsia="zh-CN"/>
              </w:rPr>
              <w:t>月监测1次；其他断面每3个月监测1次，长期监测。</w:t>
            </w:r>
          </w:p>
          <w:p>
            <w:pPr>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eastAsia="zh-CN"/>
              </w:rPr>
            </w:pPr>
            <w:r>
              <w:rPr>
                <w:rFonts w:hint="default" w:ascii="Times New Roman" w:hAnsi="Times New Roman" w:cs="Times New Roman"/>
                <w:b w:val="0"/>
                <w:bCs/>
                <w:color w:val="auto"/>
                <w:spacing w:val="10"/>
                <w:sz w:val="21"/>
                <w:szCs w:val="21"/>
                <w:highlight w:val="none"/>
                <w:lang w:eastAsia="zh-CN"/>
              </w:rPr>
              <w:t>监测方法：按照《地表水环境质量标准》（GB3838-2002）中指定的监测方法进行监测。</w:t>
            </w:r>
          </w:p>
          <w:p>
            <w:pPr>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eastAsia="zh-CN"/>
              </w:rPr>
            </w:pPr>
            <w:r>
              <w:rPr>
                <w:rFonts w:hint="default" w:ascii="Times New Roman" w:hAnsi="Times New Roman" w:cs="Times New Roman"/>
                <w:b w:val="0"/>
                <w:bCs/>
                <w:color w:val="auto"/>
                <w:spacing w:val="10"/>
                <w:sz w:val="21"/>
                <w:szCs w:val="21"/>
                <w:highlight w:val="none"/>
                <w:lang w:eastAsia="zh-CN"/>
              </w:rPr>
              <w:t>②生态调查</w:t>
            </w:r>
          </w:p>
          <w:p>
            <w:pPr>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eastAsia="zh-CN"/>
              </w:rPr>
            </w:pPr>
            <w:r>
              <w:rPr>
                <w:rFonts w:hint="default" w:ascii="Times New Roman" w:hAnsi="Times New Roman" w:cs="Times New Roman"/>
                <w:b w:val="0"/>
                <w:bCs/>
                <w:color w:val="auto"/>
                <w:spacing w:val="10"/>
                <w:sz w:val="21"/>
                <w:szCs w:val="21"/>
                <w:highlight w:val="none"/>
                <w:lang w:eastAsia="zh-CN"/>
              </w:rPr>
              <w:t>A、陆生生态调查</w:t>
            </w:r>
          </w:p>
          <w:p>
            <w:pPr>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eastAsia="zh-CN"/>
              </w:rPr>
            </w:pPr>
            <w:r>
              <w:rPr>
                <w:rFonts w:hint="default" w:ascii="Times New Roman" w:hAnsi="Times New Roman" w:cs="Times New Roman"/>
                <w:b w:val="0"/>
                <w:bCs/>
                <w:color w:val="auto"/>
                <w:spacing w:val="10"/>
                <w:sz w:val="21"/>
                <w:szCs w:val="21"/>
                <w:highlight w:val="none"/>
                <w:lang w:eastAsia="zh-CN"/>
              </w:rPr>
              <w:t>调查位置：库区周边、坝址下游减水河段。</w:t>
            </w:r>
          </w:p>
          <w:p>
            <w:pPr>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eastAsia="zh-CN"/>
              </w:rPr>
            </w:pPr>
            <w:r>
              <w:rPr>
                <w:rFonts w:hint="default" w:ascii="Times New Roman" w:hAnsi="Times New Roman" w:cs="Times New Roman"/>
                <w:b w:val="0"/>
                <w:bCs/>
                <w:color w:val="auto"/>
                <w:spacing w:val="10"/>
                <w:sz w:val="21"/>
                <w:szCs w:val="21"/>
                <w:highlight w:val="none"/>
                <w:lang w:eastAsia="zh-CN"/>
              </w:rPr>
              <w:t>调查项目：调查动植物区系组成、分布及其特点、种群数量、生物多样性的变化。</w:t>
            </w:r>
          </w:p>
          <w:p>
            <w:pPr>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eastAsia="zh-CN"/>
              </w:rPr>
            </w:pPr>
            <w:r>
              <w:rPr>
                <w:rFonts w:hint="default" w:ascii="Times New Roman" w:hAnsi="Times New Roman" w:cs="Times New Roman"/>
                <w:b w:val="0"/>
                <w:bCs/>
                <w:color w:val="auto"/>
                <w:spacing w:val="10"/>
                <w:sz w:val="21"/>
                <w:szCs w:val="21"/>
                <w:highlight w:val="none"/>
                <w:lang w:eastAsia="zh-CN"/>
              </w:rPr>
              <w:t>调查频次：在水库蓄水前调查一次，以后3</w:t>
            </w:r>
            <w:r>
              <w:rPr>
                <w:rFonts w:hint="eastAsia" w:cs="Times New Roman"/>
                <w:b w:val="0"/>
                <w:bCs/>
                <w:color w:val="auto"/>
                <w:spacing w:val="10"/>
                <w:sz w:val="21"/>
                <w:szCs w:val="21"/>
                <w:highlight w:val="none"/>
                <w:lang w:eastAsia="zh-CN"/>
              </w:rPr>
              <w:t>～</w:t>
            </w:r>
            <w:r>
              <w:rPr>
                <w:rFonts w:hint="default" w:ascii="Times New Roman" w:hAnsi="Times New Roman" w:cs="Times New Roman"/>
                <w:b w:val="0"/>
                <w:bCs/>
                <w:color w:val="auto"/>
                <w:spacing w:val="10"/>
                <w:sz w:val="21"/>
                <w:szCs w:val="21"/>
                <w:highlight w:val="none"/>
                <w:lang w:eastAsia="zh-CN"/>
              </w:rPr>
              <w:t>5年/次。</w:t>
            </w:r>
          </w:p>
          <w:p>
            <w:pPr>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eastAsia="zh-CN"/>
              </w:rPr>
            </w:pPr>
            <w:r>
              <w:rPr>
                <w:rFonts w:hint="default" w:ascii="Times New Roman" w:hAnsi="Times New Roman" w:cs="Times New Roman"/>
                <w:b w:val="0"/>
                <w:bCs/>
                <w:color w:val="auto"/>
                <w:spacing w:val="10"/>
                <w:sz w:val="21"/>
                <w:szCs w:val="21"/>
                <w:highlight w:val="none"/>
                <w:lang w:eastAsia="zh-CN"/>
              </w:rPr>
              <w:t>B、水生生态调查</w:t>
            </w:r>
          </w:p>
          <w:p>
            <w:pPr>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eastAsia="zh-CN"/>
              </w:rPr>
            </w:pPr>
            <w:r>
              <w:rPr>
                <w:rFonts w:hint="default" w:ascii="Times New Roman" w:hAnsi="Times New Roman" w:cs="Times New Roman"/>
                <w:b w:val="0"/>
                <w:bCs/>
                <w:color w:val="auto"/>
                <w:spacing w:val="10"/>
                <w:sz w:val="21"/>
                <w:szCs w:val="21"/>
                <w:highlight w:val="none"/>
                <w:lang w:eastAsia="zh-CN"/>
              </w:rPr>
              <w:t>调查位置：</w:t>
            </w:r>
            <w:r>
              <w:rPr>
                <w:rFonts w:hint="eastAsia"/>
                <w:color w:val="auto"/>
                <w:highlight w:val="none"/>
              </w:rPr>
              <w:t>坝址上游、和取水口下游</w:t>
            </w:r>
            <w:r>
              <w:rPr>
                <w:color w:val="auto"/>
                <w:highlight w:val="none"/>
              </w:rPr>
              <w:t>500m</w:t>
            </w:r>
            <w:r>
              <w:rPr>
                <w:rFonts w:hint="default" w:ascii="Times New Roman" w:hAnsi="Times New Roman" w:cs="Times New Roman"/>
                <w:b w:val="0"/>
                <w:bCs/>
                <w:color w:val="auto"/>
                <w:spacing w:val="10"/>
                <w:sz w:val="21"/>
                <w:szCs w:val="21"/>
                <w:highlight w:val="none"/>
                <w:lang w:eastAsia="zh-CN"/>
              </w:rPr>
              <w:t>断面。</w:t>
            </w:r>
          </w:p>
          <w:p>
            <w:pPr>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eastAsia="zh-CN"/>
              </w:rPr>
            </w:pPr>
            <w:r>
              <w:rPr>
                <w:rFonts w:hint="default" w:ascii="Times New Roman" w:hAnsi="Times New Roman" w:cs="Times New Roman"/>
                <w:b w:val="0"/>
                <w:bCs/>
                <w:color w:val="auto"/>
                <w:spacing w:val="10"/>
                <w:sz w:val="21"/>
                <w:szCs w:val="21"/>
                <w:highlight w:val="none"/>
                <w:lang w:eastAsia="zh-CN"/>
              </w:rPr>
              <w:t>调查项目：调查本河段水生生物及鱼类的种群（或种类）、现存量（包括生物量、数量或密度）、优势种、地区分布、生态习性、经济价值等。</w:t>
            </w:r>
          </w:p>
          <w:p>
            <w:pPr>
              <w:adjustRightInd w:val="0"/>
              <w:snapToGrid w:val="0"/>
              <w:spacing w:line="360" w:lineRule="auto"/>
              <w:ind w:firstLine="460" w:firstLineChars="200"/>
              <w:rPr>
                <w:rFonts w:hint="default" w:ascii="Times New Roman" w:hAnsi="Times New Roman" w:cs="Times New Roman"/>
                <w:b w:val="0"/>
                <w:bCs/>
                <w:color w:val="auto"/>
                <w:spacing w:val="10"/>
                <w:sz w:val="21"/>
                <w:szCs w:val="21"/>
                <w:highlight w:val="none"/>
                <w:lang w:eastAsia="zh-CN"/>
              </w:rPr>
            </w:pPr>
            <w:r>
              <w:rPr>
                <w:rFonts w:hint="default" w:ascii="Times New Roman" w:hAnsi="Times New Roman" w:cs="Times New Roman"/>
                <w:b w:val="0"/>
                <w:bCs/>
                <w:color w:val="auto"/>
                <w:spacing w:val="10"/>
                <w:sz w:val="21"/>
                <w:szCs w:val="21"/>
                <w:highlight w:val="none"/>
                <w:lang w:eastAsia="zh-CN"/>
              </w:rPr>
              <w:t>调查频次：在水库蓄水前调查一次，以后3</w:t>
            </w:r>
            <w:r>
              <w:rPr>
                <w:rFonts w:hint="eastAsia" w:cs="Times New Roman"/>
                <w:b w:val="0"/>
                <w:bCs/>
                <w:color w:val="auto"/>
                <w:spacing w:val="10"/>
                <w:sz w:val="21"/>
                <w:szCs w:val="21"/>
                <w:highlight w:val="none"/>
                <w:lang w:eastAsia="zh-CN"/>
              </w:rPr>
              <w:t>～</w:t>
            </w:r>
            <w:r>
              <w:rPr>
                <w:rFonts w:hint="default" w:ascii="Times New Roman" w:hAnsi="Times New Roman" w:cs="Times New Roman"/>
                <w:b w:val="0"/>
                <w:bCs/>
                <w:color w:val="auto"/>
                <w:spacing w:val="10"/>
                <w:sz w:val="21"/>
                <w:szCs w:val="21"/>
                <w:highlight w:val="none"/>
                <w:lang w:eastAsia="zh-CN"/>
              </w:rPr>
              <w:t>5年/次。</w:t>
            </w:r>
          </w:p>
          <w:p>
            <w:pPr>
              <w:pStyle w:val="2"/>
              <w:ind w:right="113" w:rightChars="0"/>
              <w:rPr>
                <w:rFonts w:hint="default" w:ascii="Times New Roman" w:hAnsi="Times New Roman" w:cs="Times New Roman"/>
                <w:color w:val="auto"/>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15" w:hRule="atLeast"/>
          <w:jc w:val="center"/>
        </w:trPr>
        <w:tc>
          <w:tcPr>
            <w:tcW w:w="753" w:type="dxa"/>
            <w:vAlign w:val="center"/>
          </w:tcPr>
          <w:p>
            <w:pPr>
              <w:adjustRightInd w:val="0"/>
              <w:snapToGrid w:val="0"/>
              <w:spacing w:line="360" w:lineRule="auto"/>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环保投资</w:t>
            </w:r>
          </w:p>
        </w:tc>
        <w:tc>
          <w:tcPr>
            <w:tcW w:w="8457" w:type="dxa"/>
            <w:vAlign w:val="top"/>
          </w:tcPr>
          <w:p>
            <w:pPr>
              <w:adjustRightInd w:val="0"/>
              <w:snapToGrid w:val="0"/>
              <w:spacing w:line="360" w:lineRule="auto"/>
              <w:ind w:firstLine="420" w:firstLineChars="20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本</w:t>
            </w:r>
            <w:r>
              <w:rPr>
                <w:rFonts w:hint="default" w:ascii="Times New Roman" w:hAnsi="Times New Roman" w:cs="Times New Roman"/>
                <w:color w:val="auto"/>
                <w:sz w:val="21"/>
                <w:szCs w:val="21"/>
                <w:highlight w:val="none"/>
              </w:rPr>
              <w:t>项目总投资</w:t>
            </w:r>
            <w:r>
              <w:rPr>
                <w:rFonts w:hint="eastAsia" w:cs="Times New Roman"/>
                <w:color w:val="auto"/>
                <w:sz w:val="21"/>
                <w:szCs w:val="21"/>
                <w:highlight w:val="none"/>
                <w:lang w:val="en-US" w:eastAsia="zh-CN"/>
              </w:rPr>
              <w:t>14481.56</w:t>
            </w:r>
            <w:r>
              <w:rPr>
                <w:rFonts w:hint="default" w:ascii="Times New Roman" w:hAnsi="Times New Roman" w:cs="Times New Roman"/>
                <w:color w:val="auto"/>
                <w:sz w:val="21"/>
                <w:szCs w:val="21"/>
                <w:highlight w:val="none"/>
              </w:rPr>
              <w:t>万元，环保投资</w:t>
            </w:r>
            <w:r>
              <w:rPr>
                <w:rFonts w:hint="eastAsia" w:cs="Times New Roman"/>
                <w:color w:val="auto"/>
                <w:sz w:val="21"/>
                <w:szCs w:val="21"/>
                <w:highlight w:val="none"/>
                <w:lang w:val="en-US" w:eastAsia="zh-CN"/>
              </w:rPr>
              <w:t>178</w:t>
            </w:r>
            <w:r>
              <w:rPr>
                <w:rFonts w:hint="default" w:ascii="Times New Roman" w:hAnsi="Times New Roman" w:cs="Times New Roman"/>
                <w:color w:val="auto"/>
                <w:sz w:val="21"/>
                <w:szCs w:val="21"/>
                <w:highlight w:val="none"/>
              </w:rPr>
              <w:t>万元，项目环保投资占项目总投资的比例为</w:t>
            </w:r>
            <w:r>
              <w:rPr>
                <w:rFonts w:hint="default"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23</w:t>
            </w:r>
            <w:r>
              <w:rPr>
                <w:rFonts w:hint="default" w:ascii="Times New Roman" w:hAnsi="Times New Roman" w:cs="Times New Roman"/>
                <w:color w:val="auto"/>
                <w:sz w:val="21"/>
                <w:szCs w:val="21"/>
                <w:highlight w:val="none"/>
              </w:rPr>
              <w:t>%。本项目环境保护投资估算结果详见</w:t>
            </w:r>
            <w:r>
              <w:rPr>
                <w:rFonts w:hint="default" w:ascii="Times New Roman" w:hAnsi="Times New Roman" w:cs="Times New Roman"/>
                <w:color w:val="auto"/>
                <w:sz w:val="21"/>
                <w:szCs w:val="21"/>
                <w:highlight w:val="none"/>
                <w:lang w:eastAsia="zh-CN"/>
              </w:rPr>
              <w:t>表</w:t>
            </w:r>
            <w:r>
              <w:rPr>
                <w:rFonts w:hint="default" w:ascii="Times New Roman" w:hAnsi="Times New Roman" w:cs="Times New Roman"/>
                <w:color w:val="auto"/>
                <w:sz w:val="21"/>
                <w:szCs w:val="21"/>
                <w:highlight w:val="none"/>
                <w:lang w:val="en-US" w:eastAsia="zh-CN"/>
              </w:rPr>
              <w:t>5-2</w:t>
            </w:r>
            <w:r>
              <w:rPr>
                <w:rFonts w:hint="default" w:ascii="Times New Roman" w:hAnsi="Times New Roman" w:cs="Times New Roman"/>
                <w:color w:val="auto"/>
                <w:sz w:val="21"/>
                <w:szCs w:val="21"/>
                <w:highlight w:val="none"/>
              </w:rPr>
              <w:t>。</w:t>
            </w:r>
          </w:p>
          <w:p>
            <w:pPr>
              <w:adjustRightInd w:val="0"/>
              <w:snapToGrid w:val="0"/>
              <w:spacing w:line="36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表5-</w:t>
            </w:r>
            <w:r>
              <w:rPr>
                <w:rFonts w:hint="default" w:ascii="Times New Roman" w:hAnsi="Times New Roman" w:cs="Times New Roman"/>
                <w:b/>
                <w:bCs/>
                <w:color w:val="auto"/>
                <w:sz w:val="21"/>
                <w:szCs w:val="21"/>
                <w:highlight w:val="none"/>
                <w:lang w:val="en-US" w:eastAsia="zh-CN"/>
              </w:rPr>
              <w:t>2</w:t>
            </w:r>
            <w:r>
              <w:rPr>
                <w:rFonts w:hint="default" w:ascii="Times New Roman" w:hAnsi="Times New Roman" w:cs="Times New Roman"/>
                <w:b/>
                <w:bCs/>
                <w:color w:val="auto"/>
                <w:sz w:val="21"/>
                <w:szCs w:val="21"/>
                <w:highlight w:val="none"/>
              </w:rPr>
              <w:t xml:space="preserve">  </w:t>
            </w:r>
            <w:r>
              <w:rPr>
                <w:rFonts w:hint="default" w:ascii="Times New Roman" w:hAnsi="Times New Roman" w:cs="Times New Roman"/>
                <w:b/>
                <w:bCs/>
                <w:color w:val="auto"/>
                <w:sz w:val="21"/>
                <w:szCs w:val="21"/>
                <w:highlight w:val="none"/>
                <w:lang w:eastAsia="zh-CN"/>
              </w:rPr>
              <w:t>项目</w:t>
            </w:r>
            <w:r>
              <w:rPr>
                <w:rFonts w:hint="default" w:ascii="Times New Roman" w:hAnsi="Times New Roman" w:cs="Times New Roman"/>
                <w:b/>
                <w:bCs/>
                <w:color w:val="auto"/>
                <w:sz w:val="21"/>
                <w:szCs w:val="21"/>
                <w:highlight w:val="none"/>
              </w:rPr>
              <w:t>环保投资</w:t>
            </w:r>
          </w:p>
          <w:tbl>
            <w:tblPr>
              <w:tblStyle w:val="29"/>
              <w:tblW w:w="50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248"/>
              <w:gridCol w:w="487"/>
              <w:gridCol w:w="830"/>
              <w:gridCol w:w="1100"/>
              <w:gridCol w:w="3614"/>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509" w:hRule="atLeast"/>
                <w:jc w:val="center"/>
              </w:trPr>
              <w:tc>
                <w:tcPr>
                  <w:tcW w:w="750" w:type="pct"/>
                  <w:tcBorders>
                    <w:left w:val="single" w:color="auto" w:sz="6" w:space="0"/>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snapToGrid w:val="0"/>
                    <w:spacing w:line="240" w:lineRule="auto"/>
                    <w:jc w:val="both"/>
                    <w:rPr>
                      <w:rFonts w:hint="default" w:ascii="Times New Roman" w:hAnsi="Times New Roman" w:eastAsia="宋体" w:cs="Times New Roman"/>
                      <w:color w:val="auto"/>
                      <w:sz w:val="21"/>
                      <w:szCs w:val="21"/>
                      <w:highlight w:val="none"/>
                      <w:lang w:eastAsia="zh-CN"/>
                    </w:rPr>
                  </w:pPr>
                </w:p>
                <w:p>
                  <w:pPr>
                    <w:snapToGrid w:val="0"/>
                    <w:spacing w:line="240" w:lineRule="auto"/>
                    <w:jc w:val="both"/>
                    <mc:AlternateContent>
                      <mc:Choice Requires="wpsCustomData">
                        <wpsCustomData:diagonalParaType/>
                      </mc:Choice>
                    </mc:AlternateContent>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类型</w:t>
                  </w:r>
                </w:p>
                <w:p>
                  <w:pPr>
                    <w:spacing w:line="240" w:lineRule="auto"/>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内容</w:t>
                  </w:r>
                </w:p>
              </w:tc>
              <w:tc>
                <w:tcPr>
                  <w:tcW w:w="791" w:type="pct"/>
                  <w:gridSpan w:val="2"/>
                  <w:tcBorders>
                    <w:left w:val="single" w:color="auto" w:sz="6" w:space="0"/>
                  </w:tcBorders>
                  <w:vAlign w:val="center"/>
                </w:tcPr>
                <w:p>
                  <w:pPr>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排放源</w:t>
                  </w:r>
                </w:p>
              </w:tc>
              <w:tc>
                <w:tcPr>
                  <w:tcW w:w="661" w:type="pct"/>
                  <w:vAlign w:val="center"/>
                </w:tcPr>
                <w:p>
                  <w:pPr>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污染物</w:t>
                  </w:r>
                  <w:r>
                    <w:rPr>
                      <w:rFonts w:hint="default" w:ascii="Times New Roman" w:hAnsi="Times New Roman" w:eastAsia="宋体" w:cs="Times New Roman"/>
                      <w:color w:val="auto"/>
                      <w:sz w:val="21"/>
                      <w:szCs w:val="21"/>
                      <w:highlight w:val="none"/>
                      <w:lang w:eastAsia="zh-CN"/>
                    </w:rPr>
                    <w:t>名称</w:t>
                  </w:r>
                </w:p>
              </w:tc>
              <w:tc>
                <w:tcPr>
                  <w:tcW w:w="2173" w:type="pct"/>
                  <w:vAlign w:val="center"/>
                </w:tcPr>
                <w:p>
                  <w:pPr>
                    <w:autoSpaceDE w:val="0"/>
                    <w:autoSpaceDN w:val="0"/>
                    <w:adjustRightIn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防治措施</w:t>
                  </w:r>
                </w:p>
              </w:tc>
              <w:tc>
                <w:tcPr>
                  <w:tcW w:w="622" w:type="pct"/>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750" w:type="pct"/>
                  <w:vMerge w:val="restart"/>
                  <w:tcBorders>
                    <w:left w:val="single" w:color="auto" w:sz="6" w:space="0"/>
                  </w:tcBorders>
                  <w:vAlign w:val="center"/>
                </w:tcPr>
                <w:p>
                  <w:pPr>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大气污染</w:t>
                  </w:r>
                  <w:r>
                    <w:rPr>
                      <w:rFonts w:hint="default" w:ascii="Times New Roman" w:hAnsi="Times New Roman" w:eastAsia="宋体" w:cs="Times New Roman"/>
                      <w:color w:val="auto"/>
                      <w:sz w:val="21"/>
                      <w:szCs w:val="21"/>
                      <w:highlight w:val="none"/>
                      <w:lang w:eastAsia="zh-CN"/>
                    </w:rPr>
                    <w:t>物</w:t>
                  </w:r>
                </w:p>
              </w:tc>
              <w:tc>
                <w:tcPr>
                  <w:tcW w:w="292" w:type="pct"/>
                  <w:vMerge w:val="restart"/>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施工期</w:t>
                  </w:r>
                </w:p>
              </w:tc>
              <w:tc>
                <w:tcPr>
                  <w:tcW w:w="499" w:type="pct"/>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施工</w:t>
                  </w:r>
                  <w:r>
                    <w:rPr>
                      <w:rFonts w:hint="default" w:ascii="Times New Roman" w:hAnsi="Times New Roman" w:eastAsia="宋体" w:cs="Times New Roman"/>
                      <w:color w:val="auto"/>
                      <w:sz w:val="21"/>
                      <w:szCs w:val="21"/>
                      <w:highlight w:val="none"/>
                      <w:lang w:val="en-US" w:eastAsia="zh-CN"/>
                    </w:rPr>
                    <w:t>扬尘</w:t>
                  </w:r>
                </w:p>
              </w:tc>
              <w:tc>
                <w:tcPr>
                  <w:tcW w:w="661" w:type="pct"/>
                  <w:vAlign w:val="center"/>
                </w:tcPr>
                <w:p>
                  <w:pPr>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颗粒物</w:t>
                  </w:r>
                </w:p>
              </w:tc>
              <w:tc>
                <w:tcPr>
                  <w:tcW w:w="2173" w:type="pct"/>
                  <w:vAlign w:val="center"/>
                </w:tcPr>
                <w:p>
                  <w:pPr>
                    <w:keepNext w:val="0"/>
                    <w:keepLines w:val="0"/>
                    <w:widowControl/>
                    <w:suppressLineNumbers w:val="0"/>
                    <w:jc w:val="left"/>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bidi="ar"/>
                    </w:rPr>
                    <w:t>采取密闭运输、洒水降尘、</w:t>
                  </w:r>
                  <w:r>
                    <w:rPr>
                      <w:rFonts w:hint="default" w:ascii="Times New Roman" w:hAnsi="Times New Roman" w:cs="Times New Roman"/>
                      <w:color w:val="auto"/>
                      <w:kern w:val="0"/>
                      <w:highlight w:val="none"/>
                      <w:lang w:bidi="ar"/>
                    </w:rPr>
                    <w:t>合理布置炮雾机等降尘设施</w:t>
                  </w:r>
                  <w:r>
                    <w:rPr>
                      <w:rFonts w:hint="default" w:ascii="Times New Roman" w:hAnsi="Times New Roman" w:eastAsia="宋体" w:cs="Times New Roman"/>
                      <w:color w:val="auto"/>
                      <w:kern w:val="0"/>
                      <w:sz w:val="21"/>
                      <w:szCs w:val="21"/>
                      <w:highlight w:val="none"/>
                      <w:lang w:val="en-US" w:eastAsia="zh-CN" w:bidi="ar"/>
                    </w:rPr>
                    <w:t>。</w:t>
                  </w:r>
                </w:p>
              </w:tc>
              <w:tc>
                <w:tcPr>
                  <w:tcW w:w="622" w:type="pct"/>
                  <w:vMerge w:val="restart"/>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750" w:type="pct"/>
                  <w:vMerge w:val="continue"/>
                  <w:tcBorders>
                    <w:left w:val="single" w:color="auto" w:sz="6" w:space="0"/>
                  </w:tcBorders>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292" w:type="pct"/>
                  <w:vMerge w:val="continue"/>
                  <w:vAlign w:val="center"/>
                </w:tcPr>
                <w:p>
                  <w:pPr>
                    <w:spacing w:line="240" w:lineRule="auto"/>
                    <w:jc w:val="center"/>
                    <w:rPr>
                      <w:rFonts w:hint="default" w:ascii="Times New Roman" w:hAnsi="Times New Roman" w:eastAsia="宋体" w:cs="Times New Roman"/>
                      <w:color w:val="auto"/>
                      <w:sz w:val="21"/>
                      <w:szCs w:val="21"/>
                      <w:highlight w:val="none"/>
                      <w:lang w:eastAsia="zh-CN"/>
                    </w:rPr>
                  </w:pPr>
                </w:p>
              </w:tc>
              <w:tc>
                <w:tcPr>
                  <w:tcW w:w="499" w:type="pct"/>
                  <w:vAlign w:val="center"/>
                </w:tcPr>
                <w:p>
                  <w:pPr>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燃油机械尾气</w:t>
                  </w:r>
                </w:p>
              </w:tc>
              <w:tc>
                <w:tcPr>
                  <w:tcW w:w="661" w:type="pct"/>
                  <w:vAlign w:val="center"/>
                </w:tcPr>
                <w:p>
                  <w:pPr>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NOx、CO</w:t>
                  </w:r>
                  <w:r>
                    <w:rPr>
                      <w:rFonts w:hint="default" w:ascii="Times New Roman" w:hAnsi="Times New Roman" w:eastAsia="宋体" w:cs="Times New Roman"/>
                      <w:color w:val="auto"/>
                      <w:sz w:val="21"/>
                      <w:szCs w:val="21"/>
                      <w:highlight w:val="none"/>
                      <w:lang w:eastAsia="zh-CN"/>
                    </w:rPr>
                    <w:t>等</w:t>
                  </w:r>
                </w:p>
              </w:tc>
              <w:tc>
                <w:tcPr>
                  <w:tcW w:w="2173" w:type="pct"/>
                  <w:vAlign w:val="center"/>
                </w:tcPr>
                <w:p>
                  <w:pPr>
                    <w:autoSpaceDE w:val="0"/>
                    <w:autoSpaceDN w:val="0"/>
                    <w:adjustRightInd w:val="0"/>
                    <w:spacing w:line="240" w:lineRule="auto"/>
                    <w:jc w:val="both"/>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采用先进施工机械；合理安排使用施工机械；注意车辆保养，严禁车况差的车辆进场；加快施工进度，尽量缩短施工时间</w:t>
                  </w:r>
                  <w:r>
                    <w:rPr>
                      <w:rFonts w:hint="default" w:ascii="Times New Roman" w:hAnsi="Times New Roman" w:eastAsia="宋体" w:cs="Times New Roman"/>
                      <w:color w:val="auto"/>
                      <w:kern w:val="0"/>
                      <w:sz w:val="21"/>
                      <w:szCs w:val="21"/>
                      <w:highlight w:val="none"/>
                      <w:lang w:eastAsia="zh-CN"/>
                    </w:rPr>
                    <w:t>。</w:t>
                  </w:r>
                </w:p>
              </w:tc>
              <w:tc>
                <w:tcPr>
                  <w:tcW w:w="622" w:type="pct"/>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750" w:type="pct"/>
                  <w:vMerge w:val="continue"/>
                  <w:tcBorders>
                    <w:left w:val="single" w:color="auto" w:sz="6" w:space="0"/>
                  </w:tcBorders>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292" w:type="pct"/>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运营期</w:t>
                  </w:r>
                </w:p>
              </w:tc>
              <w:tc>
                <w:tcPr>
                  <w:tcW w:w="499" w:type="pct"/>
                  <w:vAlign w:val="center"/>
                </w:tcPr>
                <w:p>
                  <w:pPr>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b w:val="0"/>
                      <w:bCs/>
                      <w:color w:val="auto"/>
                      <w:sz w:val="21"/>
                      <w:szCs w:val="21"/>
                      <w:highlight w:val="none"/>
                      <w:lang w:val="en-US" w:eastAsia="zh-CN"/>
                    </w:rPr>
                    <w:t>食堂油烟</w:t>
                  </w:r>
                </w:p>
              </w:tc>
              <w:tc>
                <w:tcPr>
                  <w:tcW w:w="661" w:type="pct"/>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b w:val="0"/>
                      <w:bCs/>
                      <w:color w:val="auto"/>
                      <w:sz w:val="21"/>
                      <w:szCs w:val="21"/>
                      <w:highlight w:val="none"/>
                      <w:lang w:val="en-US" w:eastAsia="zh-CN"/>
                    </w:rPr>
                    <w:t>油烟</w:t>
                  </w:r>
                </w:p>
              </w:tc>
              <w:tc>
                <w:tcPr>
                  <w:tcW w:w="2173" w:type="pct"/>
                  <w:vAlign w:val="center"/>
                </w:tcPr>
                <w:p>
                  <w:pPr>
                    <w:autoSpaceDE w:val="0"/>
                    <w:autoSpaceDN w:val="0"/>
                    <w:adjustRightInd w:val="0"/>
                    <w:spacing w:line="240" w:lineRule="auto"/>
                    <w:jc w:val="both"/>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b w:val="0"/>
                      <w:bCs/>
                      <w:color w:val="auto"/>
                      <w:sz w:val="21"/>
                      <w:szCs w:val="21"/>
                      <w:highlight w:val="none"/>
                      <w:lang w:val="en-US" w:eastAsia="zh-CN"/>
                    </w:rPr>
                    <w:t>油烟净化器处理后排放</w:t>
                  </w:r>
                </w:p>
              </w:tc>
              <w:tc>
                <w:tcPr>
                  <w:tcW w:w="622" w:type="pct"/>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83" w:hRule="atLeast"/>
                <w:jc w:val="center"/>
              </w:trPr>
              <w:tc>
                <w:tcPr>
                  <w:tcW w:w="750" w:type="pct"/>
                  <w:vMerge w:val="restart"/>
                  <w:tcBorders>
                    <w:left w:val="single" w:color="auto" w:sz="6" w:space="0"/>
                  </w:tcBorders>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水污染物</w:t>
                  </w:r>
                </w:p>
              </w:tc>
              <w:tc>
                <w:tcPr>
                  <w:tcW w:w="292" w:type="pct"/>
                  <w:vMerge w:val="restart"/>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施工期</w:t>
                  </w:r>
                </w:p>
              </w:tc>
              <w:tc>
                <w:tcPr>
                  <w:tcW w:w="499" w:type="pct"/>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施工废水</w:t>
                  </w:r>
                </w:p>
              </w:tc>
              <w:tc>
                <w:tcPr>
                  <w:tcW w:w="661" w:type="pct"/>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pH、</w:t>
                  </w:r>
                  <w:r>
                    <w:rPr>
                      <w:rFonts w:hint="default" w:ascii="Times New Roman" w:hAnsi="Times New Roman" w:eastAsia="宋体" w:cs="Times New Roman"/>
                      <w:color w:val="auto"/>
                      <w:sz w:val="21"/>
                      <w:szCs w:val="21"/>
                      <w:highlight w:val="none"/>
                    </w:rPr>
                    <w:t>SS</w:t>
                  </w:r>
                </w:p>
              </w:tc>
              <w:tc>
                <w:tcPr>
                  <w:tcW w:w="2173" w:type="pct"/>
                  <w:vAlign w:val="center"/>
                </w:tcPr>
                <w:p>
                  <w:pPr>
                    <w:spacing w:line="240" w:lineRule="auto"/>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混凝土拌和系统废水</w:t>
                  </w:r>
                  <w:r>
                    <w:rPr>
                      <w:rFonts w:hint="eastAsia" w:cs="Times New Roman"/>
                      <w:color w:val="auto"/>
                      <w:sz w:val="21"/>
                      <w:szCs w:val="21"/>
                      <w:highlight w:val="none"/>
                      <w:lang w:val="en-US" w:eastAsia="zh-CN"/>
                    </w:rPr>
                    <w:t>经絮凝沉淀池</w:t>
                  </w:r>
                  <w:r>
                    <w:rPr>
                      <w:rFonts w:hint="default" w:ascii="Times New Roman" w:hAnsi="Times New Roman" w:cs="Times New Roman"/>
                      <w:color w:val="auto"/>
                      <w:sz w:val="21"/>
                      <w:szCs w:val="21"/>
                      <w:highlight w:val="none"/>
                    </w:rPr>
                    <w:t>处理（</w:t>
                  </w:r>
                  <w:r>
                    <w:rPr>
                      <w:rFonts w:hint="eastAsia" w:cs="Times New Roman"/>
                      <w:color w:val="auto"/>
                      <w:sz w:val="21"/>
                      <w:szCs w:val="21"/>
                      <w:highlight w:val="none"/>
                      <w:lang w:val="en-US" w:eastAsia="zh-CN"/>
                    </w:rPr>
                    <w:t>容积3</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个</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，处理后回用于混凝土</w:t>
                  </w:r>
                  <w:r>
                    <w:rPr>
                      <w:rFonts w:hint="eastAsia" w:cs="Times New Roman"/>
                      <w:color w:val="auto"/>
                      <w:sz w:val="21"/>
                      <w:szCs w:val="21"/>
                      <w:highlight w:val="none"/>
                      <w:lang w:eastAsia="zh-CN"/>
                    </w:rPr>
                    <w:t>拌和</w:t>
                  </w:r>
                  <w:r>
                    <w:rPr>
                      <w:rFonts w:hint="default" w:ascii="Times New Roman" w:hAnsi="Times New Roman" w:cs="Times New Roman"/>
                      <w:color w:val="auto"/>
                      <w:sz w:val="21"/>
                      <w:szCs w:val="21"/>
                      <w:highlight w:val="none"/>
                    </w:rPr>
                    <w:t>过程</w:t>
                  </w:r>
                  <w:r>
                    <w:rPr>
                      <w:rFonts w:hint="default" w:ascii="Times New Roman" w:hAnsi="Times New Roman" w:cs="Times New Roman"/>
                      <w:color w:val="auto"/>
                      <w:sz w:val="21"/>
                      <w:szCs w:val="21"/>
                      <w:highlight w:val="none"/>
                      <w:lang w:eastAsia="zh-CN"/>
                    </w:rPr>
                    <w:t>。施工机械冲洗废水经隔油沉淀池处理回用于施工道路防尘洒水，不外排。</w:t>
                  </w:r>
                </w:p>
              </w:tc>
              <w:tc>
                <w:tcPr>
                  <w:tcW w:w="622" w:type="pct"/>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750" w:type="pct"/>
                  <w:vMerge w:val="continue"/>
                  <w:tcBorders>
                    <w:left w:val="single" w:color="auto" w:sz="6" w:space="0"/>
                  </w:tcBorders>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292" w:type="pct"/>
                  <w:vMerge w:val="continue"/>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499" w:type="pct"/>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生活污水</w:t>
                  </w:r>
                </w:p>
              </w:tc>
              <w:tc>
                <w:tcPr>
                  <w:tcW w:w="661" w:type="pct"/>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w:t>
                  </w:r>
                </w:p>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SS</w:t>
                  </w:r>
                </w:p>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2173" w:type="pct"/>
                  <w:vAlign w:val="center"/>
                </w:tcPr>
                <w:p>
                  <w:pPr>
                    <w:spacing w:line="240" w:lineRule="auto"/>
                    <w:jc w:val="both"/>
                    <w:rPr>
                      <w:rFonts w:hint="default" w:ascii="Times New Roman" w:hAnsi="Times New Roman" w:eastAsia="宋体" w:cs="Times New Roman"/>
                      <w:color w:val="auto"/>
                      <w:sz w:val="21"/>
                      <w:szCs w:val="21"/>
                      <w:highlight w:val="none"/>
                      <w:lang w:eastAsia="zh-CN"/>
                    </w:rPr>
                  </w:pPr>
                  <w:r>
                    <w:rPr>
                      <w:color w:val="auto"/>
                      <w:highlight w:val="none"/>
                    </w:rPr>
                    <w:t>枢纽工区</w:t>
                  </w:r>
                  <w:r>
                    <w:rPr>
                      <w:rFonts w:hint="default" w:ascii="Times New Roman" w:hAnsi="Times New Roman" w:eastAsia="宋体" w:cs="Times New Roman"/>
                      <w:color w:val="auto"/>
                      <w:sz w:val="21"/>
                      <w:szCs w:val="21"/>
                      <w:highlight w:val="none"/>
                    </w:rPr>
                    <w:t>生活污水经一体化污水处理设施</w:t>
                  </w:r>
                  <w:r>
                    <w:rPr>
                      <w:rFonts w:hint="eastAsia" w:cs="Times New Roman"/>
                      <w:color w:val="auto"/>
                      <w:sz w:val="21"/>
                      <w:szCs w:val="21"/>
                      <w:highlight w:val="none"/>
                      <w:lang w:eastAsia="zh-CN"/>
                    </w:rPr>
                    <w:t>（</w:t>
                  </w:r>
                  <w:r>
                    <w:rPr>
                      <w:color w:val="auto"/>
                      <w:highlight w:val="none"/>
                    </w:rPr>
                    <w:t>处理能力</w:t>
                  </w:r>
                  <w:r>
                    <w:rPr>
                      <w:rFonts w:hint="eastAsia"/>
                      <w:color w:val="auto"/>
                      <w:kern w:val="0"/>
                      <w:highlight w:val="none"/>
                    </w:rPr>
                    <w:t>15</w:t>
                  </w:r>
                  <w:r>
                    <w:rPr>
                      <w:color w:val="auto"/>
                      <w:kern w:val="0"/>
                      <w:highlight w:val="none"/>
                    </w:rPr>
                    <w:t>m</w:t>
                  </w:r>
                  <w:r>
                    <w:rPr>
                      <w:color w:val="auto"/>
                      <w:kern w:val="0"/>
                      <w:highlight w:val="none"/>
                      <w:vertAlign w:val="superscript"/>
                    </w:rPr>
                    <w:t>3</w:t>
                  </w:r>
                  <w:r>
                    <w:rPr>
                      <w:color w:val="auto"/>
                      <w:kern w:val="0"/>
                      <w:highlight w:val="none"/>
                    </w:rPr>
                    <w:t>/</w:t>
                  </w:r>
                  <w:r>
                    <w:rPr>
                      <w:rFonts w:hint="eastAsia"/>
                      <w:color w:val="auto"/>
                      <w:kern w:val="0"/>
                      <w:highlight w:val="none"/>
                    </w:rPr>
                    <w:t>d</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收集处理后用于农田或林地施肥，不外排。</w:t>
                  </w:r>
                  <w:r>
                    <w:rPr>
                      <w:rFonts w:hint="eastAsia"/>
                      <w:color w:val="auto"/>
                      <w:highlight w:val="none"/>
                    </w:rPr>
                    <w:t>供水工程区施工区生活污水采取化粪池</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容积3</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个</w:t>
                  </w:r>
                  <w:r>
                    <w:rPr>
                      <w:rFonts w:hint="default" w:ascii="Times New Roman" w:hAnsi="Times New Roman" w:cs="Times New Roman"/>
                      <w:color w:val="auto"/>
                      <w:sz w:val="21"/>
                      <w:szCs w:val="21"/>
                      <w:highlight w:val="none"/>
                      <w:lang w:eastAsia="zh-CN"/>
                    </w:rPr>
                    <w:t>）</w:t>
                  </w:r>
                  <w:r>
                    <w:rPr>
                      <w:rFonts w:hint="eastAsia"/>
                      <w:color w:val="auto"/>
                      <w:highlight w:val="none"/>
                    </w:rPr>
                    <w:t>处理</w:t>
                  </w:r>
                  <w:r>
                    <w:rPr>
                      <w:rFonts w:hint="default" w:ascii="Times New Roman" w:hAnsi="Times New Roman" w:eastAsia="宋体" w:cs="Times New Roman"/>
                      <w:color w:val="auto"/>
                      <w:sz w:val="21"/>
                      <w:szCs w:val="21"/>
                      <w:highlight w:val="none"/>
                    </w:rPr>
                    <w:t>后用于农田或林地施肥。</w:t>
                  </w:r>
                </w:p>
              </w:tc>
              <w:tc>
                <w:tcPr>
                  <w:tcW w:w="622" w:type="pct"/>
                  <w:vMerge w:val="restart"/>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63" w:hRule="atLeast"/>
                <w:jc w:val="center"/>
              </w:trPr>
              <w:tc>
                <w:tcPr>
                  <w:tcW w:w="750" w:type="pct"/>
                  <w:vMerge w:val="continue"/>
                  <w:tcBorders>
                    <w:left w:val="single" w:color="auto" w:sz="6" w:space="0"/>
                  </w:tcBorders>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292" w:type="pct"/>
                  <w:vAlign w:val="center"/>
                </w:tcPr>
                <w:p>
                  <w:pPr>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运营期</w:t>
                  </w:r>
                </w:p>
              </w:tc>
              <w:tc>
                <w:tcPr>
                  <w:tcW w:w="499" w:type="pct"/>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生活污水</w:t>
                  </w:r>
                </w:p>
              </w:tc>
              <w:tc>
                <w:tcPr>
                  <w:tcW w:w="661" w:type="pct"/>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w:t>
                  </w:r>
                </w:p>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SS</w:t>
                  </w:r>
                </w:p>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2173" w:type="pct"/>
                  <w:vAlign w:val="center"/>
                </w:tcPr>
                <w:p>
                  <w:pPr>
                    <w:spacing w:line="240" w:lineRule="auto"/>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b w:val="0"/>
                      <w:bCs w:val="0"/>
                      <w:color w:val="auto"/>
                      <w:sz w:val="21"/>
                      <w:szCs w:val="21"/>
                      <w:highlight w:val="none"/>
                      <w:lang w:val="en-US" w:eastAsia="zh-CN"/>
                    </w:rPr>
                    <w:t>管理人员生活污水经一体化污水处理设施收集处理后用于农田或林地施肥。</w:t>
                  </w:r>
                </w:p>
              </w:tc>
              <w:tc>
                <w:tcPr>
                  <w:tcW w:w="622" w:type="pct"/>
                  <w:vMerge w:val="continue"/>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05" w:hRule="atLeast"/>
                <w:jc w:val="center"/>
              </w:trPr>
              <w:tc>
                <w:tcPr>
                  <w:tcW w:w="750" w:type="pct"/>
                  <w:tcBorders>
                    <w:left w:val="single" w:color="auto" w:sz="6" w:space="0"/>
                  </w:tcBorders>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292" w:type="pct"/>
                  <w:tcBorders>
                    <w:right w:val="single" w:color="auto" w:sz="4" w:space="0"/>
                  </w:tcBorders>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施工期</w:t>
                  </w:r>
                </w:p>
              </w:tc>
              <w:tc>
                <w:tcPr>
                  <w:tcW w:w="499" w:type="pct"/>
                  <w:tcBorders>
                    <w:right w:val="single" w:color="auto" w:sz="4" w:space="0"/>
                  </w:tcBorders>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施工噪声</w:t>
                  </w:r>
                </w:p>
              </w:tc>
              <w:tc>
                <w:tcPr>
                  <w:tcW w:w="661" w:type="pct"/>
                  <w:tcBorders>
                    <w:right w:val="single" w:color="auto" w:sz="4" w:space="0"/>
                  </w:tcBorders>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施工噪声</w:t>
                  </w:r>
                </w:p>
              </w:tc>
              <w:tc>
                <w:tcPr>
                  <w:tcW w:w="2173" w:type="pct"/>
                  <w:tcBorders>
                    <w:right w:val="single" w:color="auto" w:sz="4" w:space="0"/>
                  </w:tcBorders>
                  <w:vAlign w:val="center"/>
                </w:tcPr>
                <w:p>
                  <w:pPr>
                    <w:autoSpaceDE w:val="0"/>
                    <w:autoSpaceDN w:val="0"/>
                    <w:adjustRightInd w:val="0"/>
                    <w:spacing w:line="240" w:lineRule="auto"/>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选用低噪声设备，合适爆破工艺，加强机械设备维护和保养，保持机械润滑，合理布置施工机械，限速禁鸣，合理施工时间；加强砂石料加工系统噪声防范措施</w:t>
                  </w:r>
                  <w:r>
                    <w:rPr>
                      <w:rFonts w:hint="default" w:ascii="Times New Roman" w:hAnsi="Times New Roman" w:cs="Times New Roman"/>
                      <w:color w:val="auto"/>
                      <w:sz w:val="21"/>
                      <w:szCs w:val="21"/>
                      <w:highlight w:val="none"/>
                      <w:lang w:eastAsia="zh-CN"/>
                    </w:rPr>
                    <w:t>。</w:t>
                  </w:r>
                </w:p>
              </w:tc>
              <w:tc>
                <w:tcPr>
                  <w:tcW w:w="622" w:type="pct"/>
                  <w:tcBorders>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05" w:hRule="atLeast"/>
                <w:jc w:val="center"/>
              </w:trPr>
              <w:tc>
                <w:tcPr>
                  <w:tcW w:w="750" w:type="pct"/>
                  <w:vMerge w:val="restart"/>
                  <w:tcBorders>
                    <w:left w:val="single" w:color="auto" w:sz="6" w:space="0"/>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固体废物</w:t>
                  </w:r>
                </w:p>
              </w:tc>
              <w:tc>
                <w:tcPr>
                  <w:tcW w:w="292" w:type="pct"/>
                  <w:vMerge w:val="restart"/>
                  <w:tcBorders>
                    <w:right w:val="single" w:color="auto" w:sz="4" w:space="0"/>
                  </w:tcBorders>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施工期</w:t>
                  </w:r>
                </w:p>
              </w:tc>
              <w:tc>
                <w:tcPr>
                  <w:tcW w:w="499" w:type="pct"/>
                  <w:tcBorders>
                    <w:right w:val="single" w:color="auto" w:sz="4" w:space="0"/>
                  </w:tcBorders>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土石方开挖</w:t>
                  </w:r>
                </w:p>
              </w:tc>
              <w:tc>
                <w:tcPr>
                  <w:tcW w:w="661" w:type="pct"/>
                  <w:tcBorders>
                    <w:right w:val="single" w:color="auto" w:sz="4" w:space="0"/>
                  </w:tcBorders>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zh-CN"/>
                    </w:rPr>
                    <w:t>弃渣</w:t>
                  </w:r>
                </w:p>
              </w:tc>
              <w:tc>
                <w:tcPr>
                  <w:tcW w:w="2173" w:type="pct"/>
                  <w:tcBorders>
                    <w:right w:val="single" w:color="auto" w:sz="4" w:space="0"/>
                  </w:tcBorders>
                  <w:vAlign w:val="center"/>
                </w:tcPr>
                <w:p>
                  <w:pPr>
                    <w:spacing w:line="240" w:lineRule="auto"/>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枢纽等工程开挖弃渣集中堆放于枢纽工程区附近设置的渣场。</w:t>
                  </w:r>
                </w:p>
              </w:tc>
              <w:tc>
                <w:tcPr>
                  <w:tcW w:w="622" w:type="pct"/>
                  <w:tcBorders>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计入主体工程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05" w:hRule="atLeast"/>
                <w:jc w:val="center"/>
              </w:trPr>
              <w:tc>
                <w:tcPr>
                  <w:tcW w:w="750" w:type="pct"/>
                  <w:vMerge w:val="continue"/>
                  <w:tcBorders>
                    <w:left w:val="single" w:color="auto" w:sz="6" w:space="0"/>
                  </w:tcBorders>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292" w:type="pct"/>
                  <w:vMerge w:val="continue"/>
                  <w:tcBorders>
                    <w:right w:val="single" w:color="auto" w:sz="4" w:space="0"/>
                  </w:tcBorders>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499" w:type="pct"/>
                  <w:tcBorders>
                    <w:right w:val="single" w:color="auto" w:sz="4" w:space="0"/>
                  </w:tcBorders>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661" w:type="pct"/>
                  <w:tcBorders>
                    <w:right w:val="single" w:color="auto" w:sz="4" w:space="0"/>
                  </w:tcBorders>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2173" w:type="pct"/>
                  <w:tcBorders>
                    <w:right w:val="single" w:color="auto" w:sz="4" w:space="0"/>
                  </w:tcBorders>
                  <w:vAlign w:val="center"/>
                </w:tcPr>
                <w:p>
                  <w:pPr>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交环卫部门处理</w:t>
                  </w:r>
                  <w:r>
                    <w:rPr>
                      <w:rFonts w:hint="default" w:ascii="Times New Roman" w:hAnsi="Times New Roman" w:cs="Times New Roman"/>
                      <w:color w:val="auto"/>
                      <w:sz w:val="21"/>
                      <w:szCs w:val="21"/>
                      <w:highlight w:val="none"/>
                      <w:lang w:eastAsia="zh-CN"/>
                    </w:rPr>
                    <w:t>。</w:t>
                  </w:r>
                </w:p>
              </w:tc>
              <w:tc>
                <w:tcPr>
                  <w:tcW w:w="622" w:type="pct"/>
                  <w:vMerge w:val="restart"/>
                  <w:tcBorders>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05" w:hRule="atLeast"/>
                <w:jc w:val="center"/>
              </w:trPr>
              <w:tc>
                <w:tcPr>
                  <w:tcW w:w="750" w:type="pct"/>
                  <w:vMerge w:val="continue"/>
                  <w:tcBorders>
                    <w:left w:val="single" w:color="auto" w:sz="6" w:space="0"/>
                  </w:tcBorders>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292" w:type="pct"/>
                  <w:tcBorders>
                    <w:right w:val="single" w:color="auto" w:sz="4" w:space="0"/>
                  </w:tcBorders>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运营期</w:t>
                  </w:r>
                </w:p>
              </w:tc>
              <w:tc>
                <w:tcPr>
                  <w:tcW w:w="499" w:type="pct"/>
                  <w:tcBorders>
                    <w:right w:val="single" w:color="auto" w:sz="4" w:space="0"/>
                  </w:tcBorders>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661" w:type="pct"/>
                  <w:tcBorders>
                    <w:right w:val="single" w:color="auto" w:sz="4" w:space="0"/>
                  </w:tcBorders>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生活垃圾</w:t>
                  </w:r>
                </w:p>
              </w:tc>
              <w:tc>
                <w:tcPr>
                  <w:tcW w:w="2173" w:type="pct"/>
                  <w:tcBorders>
                    <w:right w:val="single" w:color="auto" w:sz="4" w:space="0"/>
                  </w:tcBorders>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交环卫部门处理。</w:t>
                  </w:r>
                </w:p>
              </w:tc>
              <w:tc>
                <w:tcPr>
                  <w:tcW w:w="622" w:type="pct"/>
                  <w:vMerge w:val="continue"/>
                  <w:tcBorders>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08" w:hRule="atLeast"/>
                <w:jc w:val="center"/>
              </w:trPr>
              <w:tc>
                <w:tcPr>
                  <w:tcW w:w="750" w:type="pct"/>
                  <w:vMerge w:val="restart"/>
                  <w:tcBorders>
                    <w:left w:val="single" w:color="auto" w:sz="6" w:space="0"/>
                  </w:tcBorders>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生态保护</w:t>
                  </w:r>
                </w:p>
              </w:tc>
              <w:tc>
                <w:tcPr>
                  <w:tcW w:w="791" w:type="pct"/>
                  <w:gridSpan w:val="2"/>
                  <w:tcBorders>
                    <w:right w:val="single" w:color="auto" w:sz="4" w:space="0"/>
                  </w:tcBorders>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highlight w:val="none"/>
                      <w:lang w:bidi="ar"/>
                    </w:rPr>
                    <w:t>水质保护</w:t>
                  </w:r>
                </w:p>
              </w:tc>
              <w:tc>
                <w:tcPr>
                  <w:tcW w:w="2834" w:type="pct"/>
                  <w:gridSpan w:val="2"/>
                  <w:tcBorders>
                    <w:right w:val="single" w:color="auto" w:sz="4" w:space="0"/>
                  </w:tcBorders>
                  <w:vAlign w:val="center"/>
                </w:tcPr>
                <w:p>
                  <w:pPr>
                    <w:spacing w:line="240" w:lineRule="auto"/>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highlight w:val="none"/>
                      <w:lang w:bidi="ar"/>
                    </w:rPr>
                    <w:t>库底清理</w:t>
                  </w:r>
                  <w:r>
                    <w:rPr>
                      <w:rFonts w:hint="default" w:ascii="Times New Roman" w:hAnsi="Times New Roman" w:cs="Times New Roman"/>
                      <w:color w:val="auto"/>
                      <w:highlight w:val="none"/>
                      <w:lang w:eastAsia="zh-CN" w:bidi="ar"/>
                    </w:rPr>
                    <w:t>、</w:t>
                  </w:r>
                  <w:r>
                    <w:rPr>
                      <w:rFonts w:hint="default" w:ascii="Times New Roman" w:hAnsi="Times New Roman" w:cs="Times New Roman"/>
                      <w:color w:val="auto"/>
                      <w:highlight w:val="none"/>
                      <w:lang w:bidi="ar"/>
                    </w:rPr>
                    <w:t>库区水质保护（</w:t>
                  </w:r>
                  <w:r>
                    <w:rPr>
                      <w:rFonts w:hint="default" w:ascii="Times New Roman" w:hAnsi="Times New Roman" w:cs="Times New Roman"/>
                      <w:color w:val="auto"/>
                      <w:highlight w:val="none"/>
                      <w:lang w:val="en-US" w:bidi="ar"/>
                    </w:rPr>
                    <w:t>包括库区浮渣清理、</w:t>
                  </w:r>
                  <w:r>
                    <w:rPr>
                      <w:rFonts w:hint="default" w:ascii="Times New Roman" w:hAnsi="Times New Roman" w:cs="Times New Roman"/>
                      <w:color w:val="auto"/>
                      <w:highlight w:val="none"/>
                      <w:lang w:bidi="ar"/>
                    </w:rPr>
                    <w:t>宣传教育</w:t>
                  </w:r>
                  <w:r>
                    <w:rPr>
                      <w:rFonts w:hint="default" w:ascii="Times New Roman" w:hAnsi="Times New Roman" w:cs="Times New Roman"/>
                      <w:color w:val="auto"/>
                      <w:highlight w:val="none"/>
                      <w:lang w:val="en-US" w:bidi="ar"/>
                    </w:rPr>
                    <w:t>标志标牌设置、库区周边面源污染防控措施等</w:t>
                  </w:r>
                  <w:r>
                    <w:rPr>
                      <w:rFonts w:hint="default" w:ascii="Times New Roman" w:hAnsi="Times New Roman" w:cs="Times New Roman"/>
                      <w:color w:val="auto"/>
                      <w:highlight w:val="none"/>
                      <w:lang w:bidi="ar"/>
                    </w:rPr>
                    <w:t>）</w:t>
                  </w:r>
                </w:p>
              </w:tc>
              <w:tc>
                <w:tcPr>
                  <w:tcW w:w="622" w:type="pct"/>
                  <w:tcBorders>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08" w:hRule="atLeast"/>
                <w:jc w:val="center"/>
              </w:trPr>
              <w:tc>
                <w:tcPr>
                  <w:tcW w:w="750" w:type="pct"/>
                  <w:vMerge w:val="continue"/>
                  <w:tcBorders>
                    <w:left w:val="single" w:color="auto" w:sz="6" w:space="0"/>
                  </w:tcBorders>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791" w:type="pct"/>
                  <w:gridSpan w:val="2"/>
                  <w:tcBorders>
                    <w:right w:val="single" w:color="auto" w:sz="4" w:space="0"/>
                  </w:tcBorders>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陆生生态</w:t>
                  </w:r>
                </w:p>
              </w:tc>
              <w:tc>
                <w:tcPr>
                  <w:tcW w:w="2834" w:type="pct"/>
                  <w:gridSpan w:val="2"/>
                  <w:tcBorders>
                    <w:right w:val="single" w:color="auto" w:sz="4" w:space="0"/>
                  </w:tcBorders>
                  <w:vAlign w:val="center"/>
                </w:tcPr>
                <w:p>
                  <w:pPr>
                    <w:spacing w:line="240" w:lineRule="auto"/>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施工结束后复耕或恢复植被</w:t>
                  </w:r>
                </w:p>
              </w:tc>
              <w:tc>
                <w:tcPr>
                  <w:tcW w:w="622" w:type="pct"/>
                  <w:tcBorders>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4"/>
                      <w:highlight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08" w:hRule="atLeast"/>
                <w:jc w:val="center"/>
              </w:trPr>
              <w:tc>
                <w:tcPr>
                  <w:tcW w:w="750" w:type="pct"/>
                  <w:tcBorders>
                    <w:left w:val="single" w:color="auto" w:sz="6" w:space="0"/>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其他</w:t>
                  </w:r>
                </w:p>
              </w:tc>
              <w:tc>
                <w:tcPr>
                  <w:tcW w:w="791" w:type="pct"/>
                  <w:gridSpan w:val="2"/>
                  <w:tcBorders>
                    <w:right w:val="single" w:color="auto" w:sz="4" w:space="0"/>
                  </w:tcBorders>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环境管理</w:t>
                  </w:r>
                </w:p>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及监测</w:t>
                  </w:r>
                </w:p>
              </w:tc>
              <w:tc>
                <w:tcPr>
                  <w:tcW w:w="2834" w:type="pct"/>
                  <w:gridSpan w:val="2"/>
                  <w:tcBorders>
                    <w:right w:val="single" w:color="auto" w:sz="4" w:space="0"/>
                  </w:tcBorders>
                  <w:vAlign w:val="center"/>
                </w:tcPr>
                <w:p>
                  <w:pPr>
                    <w:spacing w:line="240" w:lineRule="auto"/>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环境管理及施工期、运营期监测</w:t>
                  </w:r>
                </w:p>
              </w:tc>
              <w:tc>
                <w:tcPr>
                  <w:tcW w:w="622" w:type="pct"/>
                  <w:tcBorders>
                    <w:left w:val="single" w:color="auto" w:sz="4" w:space="0"/>
                    <w:right w:val="single" w:color="auto" w:sz="4" w:space="0"/>
                  </w:tcBorders>
                  <w:vAlign w:val="center"/>
                </w:tcPr>
                <w:p>
                  <w:pPr>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08" w:hRule="atLeast"/>
                <w:jc w:val="center"/>
              </w:trPr>
              <w:tc>
                <w:tcPr>
                  <w:tcW w:w="1542" w:type="pct"/>
                  <w:gridSpan w:val="3"/>
                  <w:tcBorders>
                    <w:left w:val="single" w:color="auto" w:sz="6" w:space="0"/>
                    <w:right w:val="single" w:color="auto" w:sz="4" w:space="0"/>
                  </w:tcBorders>
                  <w:vAlign w:val="center"/>
                </w:tcPr>
                <w:p>
                  <w:pPr>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环境风险</w:t>
                  </w:r>
                </w:p>
              </w:tc>
              <w:tc>
                <w:tcPr>
                  <w:tcW w:w="2834" w:type="pct"/>
                  <w:gridSpan w:val="2"/>
                  <w:tcBorders>
                    <w:right w:val="single" w:color="auto" w:sz="4" w:space="0"/>
                  </w:tcBorders>
                  <w:vAlign w:val="center"/>
                </w:tcPr>
                <w:p>
                  <w:pPr>
                    <w:spacing w:line="240" w:lineRule="auto"/>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制定环境风险应急预案，加强上游污染源管理</w:t>
                  </w:r>
                </w:p>
              </w:tc>
              <w:tc>
                <w:tcPr>
                  <w:tcW w:w="622" w:type="pct"/>
                  <w:tcBorders>
                    <w:left w:val="single" w:color="auto" w:sz="4" w:space="0"/>
                    <w:right w:val="single" w:color="auto" w:sz="4" w:space="0"/>
                  </w:tcBorders>
                  <w:vAlign w:val="center"/>
                </w:tcPr>
                <w:p>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63" w:hRule="atLeast"/>
                <w:jc w:val="center"/>
              </w:trPr>
              <w:tc>
                <w:tcPr>
                  <w:tcW w:w="750" w:type="pct"/>
                  <w:tcBorders>
                    <w:left w:val="single" w:color="auto" w:sz="6" w:space="0"/>
                  </w:tcBorders>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合计</w:t>
                  </w:r>
                </w:p>
              </w:tc>
              <w:tc>
                <w:tcPr>
                  <w:tcW w:w="3626" w:type="pct"/>
                  <w:gridSpan w:val="4"/>
                  <w:tcBorders>
                    <w:right w:val="single" w:color="auto" w:sz="4" w:space="0"/>
                  </w:tcBorders>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622" w:type="pct"/>
                  <w:tcBorders>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178</w:t>
                  </w:r>
                </w:p>
              </w:tc>
            </w:tr>
          </w:tbl>
          <w:p>
            <w:pPr>
              <w:spacing w:line="360" w:lineRule="auto"/>
              <w:jc w:val="both"/>
              <w:rPr>
                <w:rFonts w:hint="default" w:ascii="Times New Roman" w:hAnsi="Times New Roman" w:cs="Times New Roman"/>
                <w:color w:val="auto"/>
                <w:sz w:val="21"/>
                <w:szCs w:val="21"/>
                <w:highlight w:val="none"/>
                <w:lang w:val="en-US" w:eastAsia="zh-CN"/>
              </w:rPr>
            </w:pPr>
          </w:p>
          <w:p>
            <w:pPr>
              <w:spacing w:line="360" w:lineRule="auto"/>
              <w:jc w:val="both"/>
              <w:rPr>
                <w:rFonts w:hint="default" w:ascii="Times New Roman" w:hAnsi="Times New Roman" w:cs="Times New Roman"/>
                <w:color w:val="auto"/>
                <w:sz w:val="21"/>
                <w:szCs w:val="21"/>
                <w:highlight w:val="none"/>
                <w:lang w:val="en-US" w:eastAsia="zh-CN"/>
              </w:rPr>
            </w:pPr>
          </w:p>
          <w:p>
            <w:pPr>
              <w:spacing w:line="360" w:lineRule="auto"/>
              <w:jc w:val="both"/>
              <w:rPr>
                <w:rFonts w:hint="default" w:ascii="Times New Roman" w:hAnsi="Times New Roman" w:eastAsia="宋体" w:cs="Times New Roman"/>
                <w:color w:val="auto"/>
                <w:sz w:val="21"/>
                <w:szCs w:val="21"/>
                <w:highlight w:val="none"/>
                <w:lang w:val="en-US" w:eastAsia="zh-CN"/>
              </w:rPr>
            </w:pPr>
          </w:p>
          <w:p>
            <w:pPr>
              <w:adjustRightInd w:val="0"/>
              <w:snapToGrid w:val="0"/>
              <w:spacing w:line="360" w:lineRule="auto"/>
              <w:jc w:val="both"/>
              <w:rPr>
                <w:rFonts w:hint="default" w:ascii="Times New Roman" w:hAnsi="Times New Roman" w:cs="Times New Roman"/>
                <w:bCs/>
                <w:color w:val="auto"/>
                <w:spacing w:val="10"/>
                <w:sz w:val="21"/>
                <w:szCs w:val="21"/>
                <w:highlight w:val="none"/>
              </w:rPr>
            </w:pPr>
          </w:p>
        </w:tc>
      </w:tr>
    </w:tbl>
    <w:p>
      <w:pPr>
        <w:rPr>
          <w:rFonts w:hint="default" w:ascii="Times New Roman" w:hAnsi="Times New Roman" w:cs="Times New Roman"/>
          <w:color w:val="auto"/>
          <w:highlight w:val="none"/>
        </w:rPr>
        <w:sectPr>
          <w:pgSz w:w="11907" w:h="16840"/>
          <w:pgMar w:top="1440" w:right="1797" w:bottom="1440" w:left="1797" w:header="851" w:footer="1077" w:gutter="0"/>
          <w:cols w:space="425" w:num="1"/>
          <w:docGrid w:linePitch="312" w:charSpace="0"/>
        </w:sectPr>
      </w:pPr>
    </w:p>
    <w:p>
      <w:pPr>
        <w:pStyle w:val="26"/>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六、生态环境保护措施监督检查清单</w:t>
      </w:r>
    </w:p>
    <w:tbl>
      <w:tblPr>
        <w:tblStyle w:val="29"/>
        <w:tblW w:w="532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3513"/>
        <w:gridCol w:w="1273"/>
        <w:gridCol w:w="1984"/>
        <w:gridCol w:w="113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51" w:type="pct"/>
            <w:vMerge w:val="restart"/>
            <w:tcBorders>
              <w:tl2br w:val="single" w:color="auto" w:sz="4" w:space="0"/>
            </w:tcBorders>
          </w:tcPr>
          <w:p>
            <w:pPr>
              <w:pStyle w:val="26"/>
              <w:adjustRightInd w:val="0"/>
              <w:snapToGrid w:val="0"/>
              <w:spacing w:before="72" w:beforeLines="30" w:beforeAutospacing="0" w:after="0" w:afterAutospacing="0"/>
              <w:jc w:val="right"/>
              <w:outlineLvl w:val="0"/>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内容</w:t>
            </w:r>
          </w:p>
          <w:p>
            <w:pPr>
              <w:pStyle w:val="26"/>
              <w:adjustRightInd w:val="0"/>
              <w:snapToGrid w:val="0"/>
              <w:spacing w:before="0" w:beforeAutospacing="0" w:after="0" w:afterAutospacing="0" w:line="14" w:lineRule="auto"/>
              <w:outlineLvl w:val="0"/>
              <w:rPr>
                <w:rFonts w:hint="default" w:ascii="Times New Roman" w:hAnsi="Times New Roman" w:eastAsia="宋体" w:cs="Times New Roman"/>
                <w:color w:val="auto"/>
                <w:kern w:val="2"/>
                <w:sz w:val="135"/>
                <w:szCs w:val="21"/>
                <w:highlight w:val="none"/>
              </w:rPr>
            </w:pPr>
            <w:r>
              <w:rPr>
                <w:rFonts w:hint="default" w:ascii="Times New Roman" w:hAnsi="Times New Roman" w:eastAsia="宋体" w:cs="Times New Roman"/>
                <w:color w:val="auto"/>
                <w:kern w:val="2"/>
                <w:sz w:val="21"/>
                <w:szCs w:val="21"/>
                <w:highlight w:val="none"/>
              </w:rPr>
              <w:t xml:space="preserve"> </w:t>
            </w:r>
            <w:r>
              <w:rPr>
                <w:rFonts w:hint="default" w:ascii="Times New Roman" w:hAnsi="Times New Roman" w:eastAsia="宋体" w:cs="Times New Roman"/>
                <w:color w:val="auto"/>
                <w:kern w:val="2"/>
                <w:sz w:val="135"/>
                <w:szCs w:val="21"/>
                <w:highlight w:val="none"/>
              </w:rPr>
              <w:t xml:space="preserve"> </w:t>
            </w:r>
          </w:p>
          <w:p>
            <w:pPr>
              <w:pStyle w:val="26"/>
              <w:adjustRightInd w:val="0"/>
              <w:snapToGrid w:val="0"/>
              <w:spacing w:before="0" w:beforeAutospacing="0" w:after="0" w:afterAutospacing="0"/>
              <w:outlineLvl w:val="0"/>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要素</w:t>
            </w:r>
          </w:p>
        </w:tc>
        <w:tc>
          <w:tcPr>
            <w:tcW w:w="2634" w:type="pct"/>
            <w:gridSpan w:val="2"/>
            <w:vAlign w:val="center"/>
          </w:tcPr>
          <w:p>
            <w:pPr>
              <w:pStyle w:val="26"/>
              <w:adjustRightInd w:val="0"/>
              <w:snapToGrid w:val="0"/>
              <w:spacing w:before="0" w:beforeAutospacing="0" w:after="0" w:afterAutospacing="0"/>
              <w:jc w:val="center"/>
              <w:outlineLvl w:val="0"/>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施工期</w:t>
            </w:r>
          </w:p>
        </w:tc>
        <w:tc>
          <w:tcPr>
            <w:tcW w:w="1714" w:type="pct"/>
            <w:gridSpan w:val="2"/>
            <w:vAlign w:val="center"/>
          </w:tcPr>
          <w:p>
            <w:pPr>
              <w:pStyle w:val="26"/>
              <w:adjustRightInd w:val="0"/>
              <w:snapToGrid w:val="0"/>
              <w:spacing w:before="0" w:beforeAutospacing="0" w:after="0" w:afterAutospacing="0"/>
              <w:jc w:val="center"/>
              <w:outlineLvl w:val="0"/>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51" w:type="pct"/>
            <w:vMerge w:val="continue"/>
          </w:tcPr>
          <w:p>
            <w:pPr>
              <w:pStyle w:val="26"/>
              <w:adjustRightInd w:val="0"/>
              <w:snapToGrid w:val="0"/>
              <w:spacing w:before="0" w:beforeAutospacing="0" w:after="0" w:afterAutospacing="0"/>
              <w:ind w:firstLine="840"/>
              <w:jc w:val="center"/>
              <w:outlineLvl w:val="0"/>
              <w:rPr>
                <w:rFonts w:hint="default" w:ascii="Times New Roman" w:hAnsi="Times New Roman" w:eastAsia="宋体" w:cs="Times New Roman"/>
                <w:color w:val="auto"/>
                <w:kern w:val="2"/>
                <w:sz w:val="21"/>
                <w:szCs w:val="21"/>
                <w:highlight w:val="none"/>
              </w:rPr>
            </w:pPr>
          </w:p>
        </w:tc>
        <w:tc>
          <w:tcPr>
            <w:tcW w:w="1933" w:type="pct"/>
            <w:vAlign w:val="center"/>
          </w:tcPr>
          <w:p>
            <w:pPr>
              <w:pStyle w:val="26"/>
              <w:adjustRightInd w:val="0"/>
              <w:snapToGrid w:val="0"/>
              <w:spacing w:before="0" w:beforeAutospacing="0" w:after="0" w:afterAutospacing="0"/>
              <w:jc w:val="center"/>
              <w:outlineLvl w:val="0"/>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环境保护措施</w:t>
            </w:r>
          </w:p>
        </w:tc>
        <w:tc>
          <w:tcPr>
            <w:tcW w:w="700" w:type="pct"/>
            <w:vAlign w:val="center"/>
          </w:tcPr>
          <w:p>
            <w:pPr>
              <w:pStyle w:val="26"/>
              <w:adjustRightInd w:val="0"/>
              <w:snapToGrid w:val="0"/>
              <w:spacing w:before="0" w:beforeAutospacing="0" w:after="0" w:afterAutospacing="0"/>
              <w:jc w:val="center"/>
              <w:outlineLvl w:val="0"/>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验收要求</w:t>
            </w:r>
          </w:p>
        </w:tc>
        <w:tc>
          <w:tcPr>
            <w:tcW w:w="1092" w:type="pct"/>
            <w:vAlign w:val="center"/>
          </w:tcPr>
          <w:p>
            <w:pPr>
              <w:pStyle w:val="26"/>
              <w:adjustRightInd w:val="0"/>
              <w:snapToGrid w:val="0"/>
              <w:spacing w:before="0" w:beforeAutospacing="0" w:after="0" w:afterAutospacing="0"/>
              <w:jc w:val="center"/>
              <w:outlineLvl w:val="0"/>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环境保护措施</w:t>
            </w:r>
          </w:p>
        </w:tc>
        <w:tc>
          <w:tcPr>
            <w:tcW w:w="621" w:type="pct"/>
            <w:vAlign w:val="center"/>
          </w:tcPr>
          <w:p>
            <w:pPr>
              <w:pStyle w:val="26"/>
              <w:adjustRightInd w:val="0"/>
              <w:snapToGrid w:val="0"/>
              <w:spacing w:before="0" w:beforeAutospacing="0" w:after="0" w:afterAutospacing="0"/>
              <w:jc w:val="center"/>
              <w:outlineLvl w:val="0"/>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1" w:type="pct"/>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陆生生态</w:t>
            </w:r>
          </w:p>
        </w:tc>
        <w:tc>
          <w:tcPr>
            <w:tcW w:w="1933" w:type="pct"/>
            <w:vAlign w:val="center"/>
          </w:tcPr>
          <w:p>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（1）优化工程设计，枢纽工程区尽量集中布置，减少施工活动范围，减轻人为干扰及施工活动等对植物的影响；优化施工道路线路，尽量绕避成片林地，减缓“林窗效应”。</w:t>
            </w:r>
          </w:p>
          <w:p>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优化工程布置，尽量选择荒地、裸地等未利用地；施工时，施工活动要保证在征地范围内进行，施工便道及临时用地要采取“永临结合”的方式，尽量缩小范围，减少对林地的占用。利用村镇闲空房屋、场地，不建或少建施工营地，或施工营地少占或不占林地；严格控制施工作业带面积，不得超过作业标准规定，减少土壤扰动和地表植被破坏，减少裸地和土方暴露面积，减轻施工活动等的影响。</w:t>
            </w:r>
          </w:p>
          <w:p>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（3）优化施工时序，尽量避开雨季，尽可能避免水土流失和山体滑坡，从而缓解其对植物的影响；同时，尽可能选择秋冬季节施工，避免植物生长及繁殖期。</w:t>
            </w:r>
          </w:p>
          <w:p>
            <w:pPr>
              <w:adjustRightInd w:val="0"/>
              <w:snapToGrid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结</w:t>
            </w:r>
            <w:r>
              <w:rPr>
                <w:rFonts w:hint="default" w:ascii="Times New Roman" w:hAnsi="Times New Roman" w:eastAsia="宋体" w:cs="Times New Roman"/>
                <w:color w:val="auto"/>
                <w:szCs w:val="21"/>
                <w:highlight w:val="none"/>
              </w:rPr>
              <w:t>合水土保持植物措施，对各类施工迹地实施植被修复措施</w:t>
            </w:r>
            <w:r>
              <w:rPr>
                <w:rFonts w:hint="default" w:ascii="Times New Roman" w:hAnsi="Times New Roman" w:eastAsia="宋体" w:cs="Times New Roman"/>
                <w:color w:val="auto"/>
                <w:szCs w:val="21"/>
                <w:highlight w:val="none"/>
                <w:lang w:eastAsia="zh-CN"/>
              </w:rPr>
              <w:t>。</w:t>
            </w:r>
          </w:p>
        </w:tc>
        <w:tc>
          <w:tcPr>
            <w:tcW w:w="700" w:type="pct"/>
            <w:vAlign w:val="center"/>
          </w:tcPr>
          <w:p>
            <w:pPr>
              <w:adjustRightInd w:val="0"/>
              <w:snapToGrid w:val="0"/>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施工迹地全部植被恢复，恢复率达100%</w:t>
            </w:r>
            <w:r>
              <w:rPr>
                <w:rFonts w:hint="default" w:ascii="Times New Roman" w:hAnsi="Times New Roman" w:cs="Times New Roman"/>
                <w:color w:val="auto"/>
                <w:szCs w:val="21"/>
                <w:highlight w:val="none"/>
                <w:lang w:eastAsia="zh-CN"/>
              </w:rPr>
              <w:t>。</w:t>
            </w:r>
          </w:p>
        </w:tc>
        <w:tc>
          <w:tcPr>
            <w:tcW w:w="1092" w:type="pct"/>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设置警示标志等；禁止对水库周围植被滥砍滥伐；加强库区周边绿化</w:t>
            </w:r>
          </w:p>
        </w:tc>
        <w:tc>
          <w:tcPr>
            <w:tcW w:w="621" w:type="pct"/>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防止对库区周围植被造成破坏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1" w:type="pct"/>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水生生态</w:t>
            </w:r>
          </w:p>
        </w:tc>
        <w:tc>
          <w:tcPr>
            <w:tcW w:w="1933" w:type="pct"/>
            <w:vAlign w:val="center"/>
          </w:tcPr>
          <w:p>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施工营地生活垃圾不得随意排入附近水体，生活污水全线禁排。生活垃圾集中堆放，由施工车辆送指定处置场。在进、出口和支洞施工过程中产生的废渣运至规划的弃渣场堆放地点堆放，严禁向河中倾倒。同时施工方必须采取严格的管理和工程措施，施工废水严禁直接排入施工工场附近水体中；建议项目方应通过合同约束机制和施工环境监理制度来控制固废和油料的排放，严禁油料直接排入水体中。</w:t>
            </w:r>
          </w:p>
          <w:p>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施工用料的堆放应远离水源和其他水体，选择暴雨径流难以冲刷的地方。部分施工用料若堆放在河流附近，应在材料堆放场四周挖明沟，沉沙井、设挡墙等，防止被暴雨径流进入水体，影响水质，各类材料应备有防雨遮雨设施。工程建设中的</w:t>
            </w:r>
            <w:r>
              <w:rPr>
                <w:rFonts w:hint="eastAsia" w:cs="Times New Roman"/>
                <w:color w:val="auto"/>
                <w:szCs w:val="21"/>
                <w:highlight w:val="none"/>
                <w:lang w:eastAsia="zh-CN"/>
              </w:rPr>
              <w:t>弃渣</w:t>
            </w:r>
            <w:r>
              <w:rPr>
                <w:rFonts w:hint="default" w:ascii="Times New Roman" w:hAnsi="Times New Roman" w:cs="Times New Roman"/>
                <w:color w:val="auto"/>
                <w:szCs w:val="21"/>
                <w:highlight w:val="none"/>
              </w:rPr>
              <w:t>，要按照环保要求，对弃渣场进行防护。</w:t>
            </w:r>
          </w:p>
          <w:p>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（3）合理组织施工程序和施工机械，严格按照道路施工规范进行排水设计和施工，对施工人员</w:t>
            </w:r>
            <w:r>
              <w:rPr>
                <w:rFonts w:hint="eastAsia" w:cs="Times New Roman"/>
                <w:color w:val="auto"/>
                <w:szCs w:val="21"/>
                <w:highlight w:val="none"/>
                <w:lang w:eastAsia="zh-CN"/>
              </w:rPr>
              <w:t>做</w:t>
            </w:r>
            <w:r>
              <w:rPr>
                <w:rFonts w:hint="default" w:ascii="Times New Roman" w:hAnsi="Times New Roman" w:cs="Times New Roman"/>
                <w:color w:val="auto"/>
                <w:szCs w:val="21"/>
                <w:highlight w:val="none"/>
              </w:rPr>
              <w:t>必要的生态环境保护宣传教育。</w:t>
            </w:r>
          </w:p>
          <w:p>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（4）做好工程完工后生态环境的恢复工作，以尽量减少植被破坏、水土流失对水生生物的影响。</w:t>
            </w:r>
          </w:p>
        </w:tc>
        <w:tc>
          <w:tcPr>
            <w:tcW w:w="700" w:type="pct"/>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满足环保要求</w:t>
            </w:r>
          </w:p>
        </w:tc>
        <w:tc>
          <w:tcPr>
            <w:tcW w:w="1092" w:type="pct"/>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设置下泄生态流量管道，并设置在线监测设施。</w:t>
            </w:r>
          </w:p>
        </w:tc>
        <w:tc>
          <w:tcPr>
            <w:tcW w:w="621" w:type="pct"/>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减缓下泄低温水影响；保证下泄生态流量，并设置在线 监测设施。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1" w:type="pct"/>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地表水环境</w:t>
            </w:r>
          </w:p>
        </w:tc>
        <w:tc>
          <w:tcPr>
            <w:tcW w:w="1933" w:type="pct"/>
            <w:vAlign w:val="center"/>
          </w:tcPr>
          <w:p>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 w:val="21"/>
                <w:szCs w:val="21"/>
                <w:highlight w:val="none"/>
              </w:rPr>
              <w:t>混凝土拌和系统废水</w:t>
            </w:r>
            <w:r>
              <w:rPr>
                <w:rFonts w:hint="eastAsia" w:cs="Times New Roman"/>
                <w:color w:val="auto"/>
                <w:sz w:val="21"/>
                <w:szCs w:val="21"/>
                <w:highlight w:val="none"/>
                <w:lang w:val="en-US" w:eastAsia="zh-CN"/>
              </w:rPr>
              <w:t>经絮凝沉淀池</w:t>
            </w:r>
            <w:r>
              <w:rPr>
                <w:rFonts w:hint="default" w:ascii="Times New Roman" w:hAnsi="Times New Roman" w:cs="Times New Roman"/>
                <w:color w:val="auto"/>
                <w:sz w:val="21"/>
                <w:szCs w:val="21"/>
                <w:highlight w:val="none"/>
              </w:rPr>
              <w:t>处理（</w:t>
            </w:r>
            <w:r>
              <w:rPr>
                <w:rFonts w:hint="eastAsia" w:cs="Times New Roman"/>
                <w:color w:val="auto"/>
                <w:sz w:val="21"/>
                <w:szCs w:val="21"/>
                <w:highlight w:val="none"/>
                <w:lang w:val="en-US" w:eastAsia="zh-CN"/>
              </w:rPr>
              <w:t>容积3</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个</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，处理后回用于混凝土</w:t>
            </w:r>
            <w:r>
              <w:rPr>
                <w:rFonts w:hint="eastAsia" w:cs="Times New Roman"/>
                <w:color w:val="auto"/>
                <w:sz w:val="21"/>
                <w:szCs w:val="21"/>
                <w:highlight w:val="none"/>
                <w:lang w:eastAsia="zh-CN"/>
              </w:rPr>
              <w:t>拌和</w:t>
            </w:r>
            <w:r>
              <w:rPr>
                <w:rFonts w:hint="default" w:ascii="Times New Roman" w:hAnsi="Times New Roman" w:cs="Times New Roman"/>
                <w:color w:val="auto"/>
                <w:sz w:val="21"/>
                <w:szCs w:val="21"/>
                <w:highlight w:val="none"/>
              </w:rPr>
              <w:t>过程</w:t>
            </w:r>
            <w:r>
              <w:rPr>
                <w:rFonts w:hint="default" w:ascii="Times New Roman" w:hAnsi="Times New Roman" w:cs="Times New Roman"/>
                <w:color w:val="auto"/>
                <w:sz w:val="21"/>
                <w:szCs w:val="21"/>
                <w:highlight w:val="none"/>
                <w:lang w:eastAsia="zh-CN"/>
              </w:rPr>
              <w:t>。施工机械冲洗废水经隔油沉淀池处理回用于施工道路防尘洒水，不外排。</w:t>
            </w:r>
            <w:r>
              <w:rPr>
                <w:color w:val="auto"/>
                <w:highlight w:val="none"/>
              </w:rPr>
              <w:t>枢纽工区</w:t>
            </w:r>
            <w:r>
              <w:rPr>
                <w:rFonts w:hint="default" w:ascii="Times New Roman" w:hAnsi="Times New Roman" w:eastAsia="宋体" w:cs="Times New Roman"/>
                <w:color w:val="auto"/>
                <w:sz w:val="21"/>
                <w:szCs w:val="21"/>
                <w:highlight w:val="none"/>
              </w:rPr>
              <w:t>生活污水经一体化污水处理设施</w:t>
            </w:r>
            <w:r>
              <w:rPr>
                <w:rFonts w:hint="eastAsia" w:cs="Times New Roman"/>
                <w:color w:val="auto"/>
                <w:sz w:val="21"/>
                <w:szCs w:val="21"/>
                <w:highlight w:val="none"/>
                <w:lang w:eastAsia="zh-CN"/>
              </w:rPr>
              <w:t>（</w:t>
            </w:r>
            <w:r>
              <w:rPr>
                <w:color w:val="auto"/>
                <w:highlight w:val="none"/>
              </w:rPr>
              <w:t>处理能力</w:t>
            </w:r>
            <w:r>
              <w:rPr>
                <w:rFonts w:hint="eastAsia"/>
                <w:color w:val="auto"/>
                <w:kern w:val="0"/>
                <w:highlight w:val="none"/>
              </w:rPr>
              <w:t>15</w:t>
            </w:r>
            <w:r>
              <w:rPr>
                <w:color w:val="auto"/>
                <w:kern w:val="0"/>
                <w:highlight w:val="none"/>
              </w:rPr>
              <w:t>m</w:t>
            </w:r>
            <w:r>
              <w:rPr>
                <w:color w:val="auto"/>
                <w:kern w:val="0"/>
                <w:highlight w:val="none"/>
                <w:vertAlign w:val="superscript"/>
              </w:rPr>
              <w:t>3</w:t>
            </w:r>
            <w:r>
              <w:rPr>
                <w:color w:val="auto"/>
                <w:kern w:val="0"/>
                <w:highlight w:val="none"/>
              </w:rPr>
              <w:t>/</w:t>
            </w:r>
            <w:r>
              <w:rPr>
                <w:rFonts w:hint="eastAsia"/>
                <w:color w:val="auto"/>
                <w:kern w:val="0"/>
                <w:highlight w:val="none"/>
              </w:rPr>
              <w:t>d</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收集处理后用于农田或林地施肥，不外排。</w:t>
            </w:r>
            <w:r>
              <w:rPr>
                <w:rFonts w:hint="eastAsia"/>
                <w:color w:val="auto"/>
                <w:highlight w:val="none"/>
              </w:rPr>
              <w:t>供水工程区施工区生活污水采取化粪池</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容积3</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个</w:t>
            </w:r>
            <w:r>
              <w:rPr>
                <w:rFonts w:hint="default" w:ascii="Times New Roman" w:hAnsi="Times New Roman" w:cs="Times New Roman"/>
                <w:color w:val="auto"/>
                <w:sz w:val="21"/>
                <w:szCs w:val="21"/>
                <w:highlight w:val="none"/>
                <w:lang w:eastAsia="zh-CN"/>
              </w:rPr>
              <w:t>）</w:t>
            </w:r>
            <w:r>
              <w:rPr>
                <w:rFonts w:hint="eastAsia"/>
                <w:color w:val="auto"/>
                <w:highlight w:val="none"/>
              </w:rPr>
              <w:t>处理</w:t>
            </w:r>
            <w:r>
              <w:rPr>
                <w:rFonts w:hint="default" w:ascii="Times New Roman" w:hAnsi="Times New Roman" w:eastAsia="宋体" w:cs="Times New Roman"/>
                <w:color w:val="auto"/>
                <w:sz w:val="21"/>
                <w:szCs w:val="21"/>
                <w:highlight w:val="none"/>
              </w:rPr>
              <w:t>后用于农田或林地施肥。</w:t>
            </w:r>
          </w:p>
        </w:tc>
        <w:tc>
          <w:tcPr>
            <w:tcW w:w="700" w:type="pct"/>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满足环保要求</w:t>
            </w:r>
          </w:p>
          <w:p>
            <w:pPr>
              <w:adjustRightInd w:val="0"/>
              <w:snapToGrid w:val="0"/>
              <w:jc w:val="center"/>
              <w:rPr>
                <w:rFonts w:hint="default" w:ascii="Times New Roman" w:hAnsi="Times New Roman" w:cs="Times New Roman"/>
                <w:color w:val="auto"/>
                <w:szCs w:val="21"/>
                <w:highlight w:val="none"/>
              </w:rPr>
            </w:pPr>
          </w:p>
        </w:tc>
        <w:tc>
          <w:tcPr>
            <w:tcW w:w="1092" w:type="pct"/>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b w:val="0"/>
                <w:bCs w:val="0"/>
                <w:color w:val="auto"/>
                <w:sz w:val="21"/>
                <w:szCs w:val="21"/>
                <w:highlight w:val="none"/>
                <w:lang w:val="en-US" w:eastAsia="zh-CN"/>
              </w:rPr>
              <w:t>生活污水经一体化污水处理设施收集处理后用于农田或林地施肥，不外排。</w:t>
            </w:r>
          </w:p>
        </w:tc>
        <w:tc>
          <w:tcPr>
            <w:tcW w:w="621" w:type="pct"/>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满足环保要求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1" w:type="pct"/>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地下水及土壤环境</w:t>
            </w:r>
          </w:p>
        </w:tc>
        <w:tc>
          <w:tcPr>
            <w:tcW w:w="1933" w:type="pct"/>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700" w:type="pct"/>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092" w:type="pct"/>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621" w:type="pct"/>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1" w:type="pct"/>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声环境</w:t>
            </w:r>
          </w:p>
        </w:tc>
        <w:tc>
          <w:tcPr>
            <w:tcW w:w="1933" w:type="pct"/>
            <w:vAlign w:val="center"/>
          </w:tcPr>
          <w:p>
            <w:pPr>
              <w:adjustRightInd w:val="0"/>
              <w:snapToGrid w:val="0"/>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施工期施工机械和加工企业噪声控制</w:t>
            </w:r>
            <w:r>
              <w:rPr>
                <w:rFonts w:hint="default" w:ascii="Times New Roman" w:hAnsi="Times New Roman" w:cs="Times New Roman"/>
                <w:color w:val="auto"/>
                <w:szCs w:val="21"/>
                <w:highlight w:val="none"/>
                <w:lang w:eastAsia="zh-CN"/>
              </w:rPr>
              <w:t>：</w:t>
            </w:r>
          </w:p>
          <w:p>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（1）选用符合国家有关标准的施工机具，尽量选用低噪声的施工机械或工艺；</w:t>
            </w:r>
          </w:p>
          <w:p>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（2）合理布置施工机具位置，加强设备的维护和保养，保持机械润滑，降低运行噪声；</w:t>
            </w:r>
          </w:p>
          <w:p>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（3）振动较大的机械设备应使用减振机座降低噪声；</w:t>
            </w:r>
          </w:p>
          <w:p>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（4）在施工爆破中，尽量避免放大炮和夜间爆破，禁止在夜间和休息时间进行强噪声施工活动；</w:t>
            </w:r>
          </w:p>
          <w:p>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（5）混凝土拌和系统对附近声环境敏感点较大，夜间噪声</w:t>
            </w:r>
            <w:r>
              <w:rPr>
                <w:rFonts w:hint="eastAsia" w:cs="Times New Roman"/>
                <w:color w:val="auto"/>
                <w:szCs w:val="21"/>
                <w:highlight w:val="none"/>
                <w:lang w:eastAsia="zh-CN"/>
              </w:rPr>
              <w:t>超标</w:t>
            </w:r>
            <w:r>
              <w:rPr>
                <w:rFonts w:hint="default" w:ascii="Times New Roman" w:hAnsi="Times New Roman" w:cs="Times New Roman"/>
                <w:color w:val="auto"/>
                <w:szCs w:val="21"/>
                <w:highlight w:val="none"/>
              </w:rPr>
              <w:t>现象突出，应优化施工组织设计，每晚10点至次日6点禁止施工；</w:t>
            </w:r>
          </w:p>
          <w:p>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（6）拌和机、空压机等车间尽可能用多孔性吸声材料建立隔声屏障、隔声罩和隔声间；</w:t>
            </w:r>
          </w:p>
          <w:p>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（7）在施工场界外围栽种树木以提高减噪效果，场内公路两侧在施工使用期间栽种行道树以减小噪声影响范围。</w:t>
            </w:r>
          </w:p>
          <w:p>
            <w:pPr>
              <w:adjustRightInd w:val="0"/>
              <w:snapToGrid w:val="0"/>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施工期施工交通噪声控制</w:t>
            </w:r>
            <w:r>
              <w:rPr>
                <w:rFonts w:hint="default" w:ascii="Times New Roman" w:hAnsi="Times New Roman" w:cs="Times New Roman"/>
                <w:color w:val="auto"/>
                <w:szCs w:val="21"/>
                <w:highlight w:val="none"/>
                <w:lang w:eastAsia="zh-CN"/>
              </w:rPr>
              <w:t>：</w:t>
            </w:r>
          </w:p>
          <w:p>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（1）物料运输应尽量安排在昼间进行，运输过程经过居民住宅时采取缓速、禁鸣等措施，并在场区进、出口应安排专人负责车辆组织和指挥，合理疏导防止引起交通阻塞和交通噪声影响。</w:t>
            </w:r>
          </w:p>
          <w:p>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（2）在进场公路和场内交通道路运行期，限制使用噪声大的车辆，控制车流量和行车速度，当车辆行驶至四个施工生活营地和周边零散居民点时，降低车速和禁止使用</w:t>
            </w:r>
            <w:r>
              <w:rPr>
                <w:rFonts w:hint="eastAsia" w:cs="Times New Roman"/>
                <w:color w:val="auto"/>
                <w:szCs w:val="21"/>
                <w:highlight w:val="none"/>
                <w:lang w:eastAsia="zh-CN"/>
              </w:rPr>
              <w:t>高音喇叭</w:t>
            </w:r>
            <w:r>
              <w:rPr>
                <w:rFonts w:hint="default" w:ascii="Times New Roman" w:hAnsi="Times New Roman" w:cs="Times New Roman"/>
                <w:color w:val="auto"/>
                <w:szCs w:val="21"/>
                <w:highlight w:val="none"/>
              </w:rPr>
              <w:t>。</w:t>
            </w:r>
          </w:p>
          <w:p>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（3）加强进场公路交通运输管理，在主体工程建设期实行交通管制，夜间严格控制大、中型车辆进入进场公路，对小型车辆进入该进场公路按设计车速和交通流量。</w:t>
            </w:r>
          </w:p>
          <w:p>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（4）加强道路运用期的养护和车辆的维护保养，降低噪声源。</w:t>
            </w:r>
          </w:p>
        </w:tc>
        <w:tc>
          <w:tcPr>
            <w:tcW w:w="700" w:type="pct"/>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满足《建筑施工场界环境噪声排放标准》（GB12523-2011），昼间70dB（A），夜间55dB（A）</w:t>
            </w:r>
          </w:p>
        </w:tc>
        <w:tc>
          <w:tcPr>
            <w:tcW w:w="1092" w:type="pct"/>
            <w:vAlign w:val="center"/>
          </w:tcPr>
          <w:p>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选用符合国家要求的低噪声设备</w:t>
            </w:r>
            <w:r>
              <w:rPr>
                <w:rFonts w:hint="default" w:ascii="Times New Roman" w:hAnsi="Times New Roman" w:cs="Times New Roman"/>
                <w:color w:val="auto"/>
                <w:szCs w:val="21"/>
                <w:highlight w:val="none"/>
                <w:lang w:eastAsia="zh-CN"/>
              </w:rPr>
              <w:t>。</w:t>
            </w:r>
          </w:p>
        </w:tc>
        <w:tc>
          <w:tcPr>
            <w:tcW w:w="621" w:type="pct"/>
            <w:vAlign w:val="center"/>
          </w:tcPr>
          <w:p>
            <w:pPr>
              <w:adjustRightInd w:val="0"/>
              <w:snapToGrid w:val="0"/>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厂</w:t>
            </w:r>
            <w:r>
              <w:rPr>
                <w:rFonts w:hint="default" w:ascii="Times New Roman" w:hAnsi="Times New Roman" w:cs="Times New Roman"/>
                <w:color w:val="auto"/>
                <w:szCs w:val="21"/>
                <w:highlight w:val="none"/>
              </w:rPr>
              <w:t>界噪声能满足《工业企业厂界环境噪声</w:t>
            </w:r>
            <w:r>
              <w:rPr>
                <w:rFonts w:hint="eastAsia" w:cs="Times New Roman"/>
                <w:color w:val="auto"/>
                <w:szCs w:val="21"/>
                <w:highlight w:val="none"/>
                <w:lang w:eastAsia="zh-CN"/>
              </w:rPr>
              <w:t>排查</w:t>
            </w:r>
          </w:p>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放标准》 (GB1</w:t>
            </w:r>
          </w:p>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2348- 2008)2 类标</w:t>
            </w:r>
            <w:r>
              <w:rPr>
                <w:rFonts w:hint="default" w:ascii="Times New Roman" w:hAnsi="Times New Roman" w:cs="Times New Roman"/>
                <w:color w:val="auto"/>
                <w:szCs w:val="21"/>
                <w:highlight w:val="none"/>
                <w:lang w:val="en-US" w:eastAsia="zh-CN"/>
              </w:rPr>
              <w:t>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1" w:type="pct"/>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振动</w:t>
            </w:r>
          </w:p>
        </w:tc>
        <w:tc>
          <w:tcPr>
            <w:tcW w:w="1933" w:type="pct"/>
            <w:vAlign w:val="center"/>
          </w:tcPr>
          <w:p>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w:t>
            </w:r>
          </w:p>
        </w:tc>
        <w:tc>
          <w:tcPr>
            <w:tcW w:w="700" w:type="pct"/>
            <w:vAlign w:val="center"/>
          </w:tcPr>
          <w:p>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w:t>
            </w:r>
          </w:p>
        </w:tc>
        <w:tc>
          <w:tcPr>
            <w:tcW w:w="1092" w:type="pct"/>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621" w:type="pct"/>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1" w:type="pct"/>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大气环境</w:t>
            </w:r>
          </w:p>
        </w:tc>
        <w:tc>
          <w:tcPr>
            <w:tcW w:w="1933" w:type="pct"/>
            <w:vAlign w:val="center"/>
          </w:tcPr>
          <w:p>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定期洒水降尘、密闭运输，限速行驶</w:t>
            </w:r>
          </w:p>
          <w:p>
            <w:pPr>
              <w:adjustRightInd w:val="0"/>
              <w:snapToGrid w:val="0"/>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等</w:t>
            </w:r>
            <w:r>
              <w:rPr>
                <w:rFonts w:hint="default" w:ascii="Times New Roman" w:hAnsi="Times New Roman" w:cs="Times New Roman"/>
                <w:color w:val="auto"/>
                <w:szCs w:val="21"/>
                <w:highlight w:val="none"/>
                <w:lang w:eastAsia="zh-CN"/>
              </w:rPr>
              <w:t>。</w:t>
            </w:r>
          </w:p>
        </w:tc>
        <w:tc>
          <w:tcPr>
            <w:tcW w:w="700" w:type="pct"/>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满足《大气污染物综合排放标准》（GB 16297-1996）中无组织排放限值</w:t>
            </w:r>
          </w:p>
        </w:tc>
        <w:tc>
          <w:tcPr>
            <w:tcW w:w="1092" w:type="pct"/>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食堂油烟经油烟净化器处理后排放</w:t>
            </w:r>
          </w:p>
        </w:tc>
        <w:tc>
          <w:tcPr>
            <w:tcW w:w="621" w:type="pct"/>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达标排放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1" w:type="pct"/>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固体废物</w:t>
            </w:r>
          </w:p>
        </w:tc>
        <w:tc>
          <w:tcPr>
            <w:tcW w:w="1933" w:type="pct"/>
            <w:vAlign w:val="center"/>
          </w:tcPr>
          <w:p>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施工弃渣运至自设渣场处置；建筑垃圾能回收利用的外售物资公司回收，不能回收的运往建筑垃圾处置场处理；施工人员生活垃圾交环卫部门处理。</w:t>
            </w:r>
          </w:p>
        </w:tc>
        <w:tc>
          <w:tcPr>
            <w:tcW w:w="700" w:type="pct"/>
            <w:vAlign w:val="center"/>
          </w:tcPr>
          <w:p>
            <w:pPr>
              <w:keepNext w:val="0"/>
              <w:keepLines w:val="0"/>
              <w:widowControl/>
              <w:suppressLineNumbers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满足环保要求</w:t>
            </w:r>
          </w:p>
        </w:tc>
        <w:tc>
          <w:tcPr>
            <w:tcW w:w="1092" w:type="pct"/>
            <w:vAlign w:val="center"/>
          </w:tcPr>
          <w:p>
            <w:pPr>
              <w:adjustRightInd w:val="0"/>
              <w:snapToGrid w:val="0"/>
              <w:jc w:val="both"/>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生活垃圾统一收集后定期交由环卫部门清运</w:t>
            </w:r>
            <w:r>
              <w:rPr>
                <w:rFonts w:hint="default" w:ascii="Times New Roman" w:hAnsi="Times New Roman" w:cs="Times New Roman"/>
                <w:color w:val="auto"/>
                <w:szCs w:val="21"/>
                <w:highlight w:val="none"/>
                <w:lang w:val="en-US" w:eastAsia="zh-CN"/>
              </w:rPr>
              <w:t>。</w:t>
            </w:r>
          </w:p>
        </w:tc>
        <w:tc>
          <w:tcPr>
            <w:tcW w:w="621" w:type="pct"/>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满足环保要求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1" w:type="pct"/>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电磁环境</w:t>
            </w:r>
          </w:p>
        </w:tc>
        <w:tc>
          <w:tcPr>
            <w:tcW w:w="1933" w:type="pct"/>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700" w:type="pct"/>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092" w:type="pct"/>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621" w:type="pct"/>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1" w:type="pct"/>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环境风险</w:t>
            </w:r>
          </w:p>
        </w:tc>
        <w:tc>
          <w:tcPr>
            <w:tcW w:w="1933" w:type="pct"/>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施工期间，加强危险路段、车辆集中线路的交通管制，增设交通标志牌，并注意路面维护，降低风险的发生概</w:t>
            </w:r>
          </w:p>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率。</w:t>
            </w:r>
          </w:p>
        </w:tc>
        <w:tc>
          <w:tcPr>
            <w:tcW w:w="700" w:type="pct"/>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满足环保要求</w:t>
            </w:r>
          </w:p>
        </w:tc>
        <w:tc>
          <w:tcPr>
            <w:tcW w:w="1092" w:type="pct"/>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制定环境风险应急预案，加强上游污染源管理</w:t>
            </w:r>
          </w:p>
        </w:tc>
        <w:tc>
          <w:tcPr>
            <w:tcW w:w="621" w:type="pct"/>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满足环保要求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1" w:type="pct"/>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环境监测</w:t>
            </w:r>
          </w:p>
        </w:tc>
        <w:tc>
          <w:tcPr>
            <w:tcW w:w="1933" w:type="pct"/>
            <w:vAlign w:val="center"/>
          </w:tcPr>
          <w:p>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施工期对施工场地环境空气和噪声以及对坝址上下游地表水进行定时监测</w:t>
            </w:r>
            <w:r>
              <w:rPr>
                <w:rFonts w:hint="default" w:ascii="Times New Roman" w:hAnsi="Times New Roman" w:cs="Times New Roman"/>
                <w:color w:val="auto"/>
                <w:szCs w:val="21"/>
                <w:highlight w:val="none"/>
                <w:lang w:eastAsia="zh-CN"/>
              </w:rPr>
              <w:t>。</w:t>
            </w:r>
          </w:p>
        </w:tc>
        <w:tc>
          <w:tcPr>
            <w:tcW w:w="700" w:type="pct"/>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达标排放</w:t>
            </w:r>
          </w:p>
        </w:tc>
        <w:tc>
          <w:tcPr>
            <w:tcW w:w="1092" w:type="pct"/>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运营期对水库坝址和取水口进行监测</w:t>
            </w:r>
          </w:p>
        </w:tc>
        <w:tc>
          <w:tcPr>
            <w:tcW w:w="621" w:type="pct"/>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1" w:type="pct"/>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其他</w:t>
            </w:r>
          </w:p>
        </w:tc>
        <w:tc>
          <w:tcPr>
            <w:tcW w:w="1933" w:type="pct"/>
            <w:vAlign w:val="center"/>
          </w:tcPr>
          <w:p>
            <w:pPr>
              <w:adjustRightInd w:val="0"/>
              <w:snapToGrid w:val="0"/>
              <w:jc w:val="left"/>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建立并完善环境管理机构，明确职责，环保手续齐全</w:t>
            </w:r>
            <w:r>
              <w:rPr>
                <w:rFonts w:hint="default" w:ascii="Times New Roman" w:hAnsi="Times New Roman" w:cs="Times New Roman"/>
                <w:color w:val="auto"/>
                <w:szCs w:val="21"/>
                <w:highlight w:val="none"/>
                <w:lang w:eastAsia="zh-CN"/>
              </w:rPr>
              <w:t>。</w:t>
            </w:r>
          </w:p>
        </w:tc>
        <w:tc>
          <w:tcPr>
            <w:tcW w:w="700" w:type="pct"/>
            <w:vAlign w:val="center"/>
          </w:tcPr>
          <w:p>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满足环保要求</w:t>
            </w:r>
          </w:p>
        </w:tc>
        <w:tc>
          <w:tcPr>
            <w:tcW w:w="1092" w:type="pct"/>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621" w:type="pct"/>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bl>
    <w:p>
      <w:pPr>
        <w:rPr>
          <w:rFonts w:hint="default" w:ascii="Times New Roman" w:hAnsi="Times New Roman" w:cs="Times New Roman"/>
          <w:snapToGrid w:val="0"/>
          <w:color w:val="auto"/>
          <w:highlight w:val="none"/>
        </w:rPr>
      </w:pPr>
    </w:p>
    <w:p>
      <w:pPr>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br w:type="page"/>
      </w:r>
    </w:p>
    <w:p>
      <w:pPr>
        <w:pStyle w:val="26"/>
        <w:spacing w:before="192" w:beforeLines="80" w:beforeAutospacing="0"/>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七、结论</w:t>
      </w:r>
    </w:p>
    <w:tbl>
      <w:tblPr>
        <w:tblStyle w:val="29"/>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289" w:type="dxa"/>
          </w:tcPr>
          <w:p>
            <w:pPr>
              <w:spacing w:line="500" w:lineRule="exact"/>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本项目建设符合国家产业政策，符合“三线一单”要求。在建设过程中，采取相应的环保措施和生态环境保护措施，项目建设过程对生态环境、水环境、声环境和大气环境的影响在可接受范围内，不会改变区域环境功能。从环境保护角度分析，本项目建设是可行的</w:t>
            </w:r>
            <w:r>
              <w:rPr>
                <w:rFonts w:hint="default" w:ascii="Times New Roman" w:hAnsi="Times New Roman" w:cs="Times New Roman"/>
                <w:bCs/>
                <w:color w:val="auto"/>
                <w:sz w:val="21"/>
                <w:szCs w:val="21"/>
                <w:highlight w:val="none"/>
              </w:rPr>
              <w:t>。</w:t>
            </w:r>
          </w:p>
        </w:tc>
      </w:tr>
    </w:tbl>
    <w:p>
      <w:pPr>
        <w:widowControl/>
        <w:adjustRightInd w:val="0"/>
        <w:snapToGrid w:val="0"/>
        <w:spacing w:before="192" w:beforeLines="80"/>
        <w:jc w:val="left"/>
        <w:rPr>
          <w:rFonts w:hint="default" w:ascii="Times New Roman" w:hAnsi="Times New Roman" w:cs="Times New Roman"/>
          <w:color w:val="auto"/>
          <w:highlight w:val="none"/>
        </w:rPr>
      </w:pPr>
    </w:p>
    <w:sectPr>
      <w:pgSz w:w="11906" w:h="16838"/>
      <w:pgMar w:top="1440" w:right="1800" w:bottom="1440" w:left="1800" w:header="851" w:footer="1077"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D62E38F-392D-465D-89B0-2DBB58BC661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auto"/>
    <w:pitch w:val="default"/>
    <w:sig w:usb0="800002BF" w:usb1="38CF7CFA" w:usb2="00000016" w:usb3="00000000" w:csb0="00040001" w:csb1="00000000"/>
    <w:embedRegular r:id="rId2" w:fontKey="{97E6488B-8A75-4F85-968B-84095F0CEF34}"/>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embedRegular r:id="rId3" w:fontKey="{811667EB-84AE-44C2-A6CB-AE8B835F67DD}"/>
  </w:font>
  <w:font w:name="楷体_GB2312">
    <w:panose1 w:val="02010609030101010101"/>
    <w:charset w:val="86"/>
    <w:family w:val="modern"/>
    <w:pitch w:val="default"/>
    <w:sig w:usb0="00000001" w:usb1="080E0000" w:usb2="00000000" w:usb3="00000000" w:csb0="00040000" w:csb1="00000000"/>
    <w:embedRegular r:id="rId4" w:fontKey="{EBB05B75-E490-4773-9C1B-B18F19E0D19C}"/>
  </w:font>
  <w:font w:name="ˎ̥">
    <w:altName w:val="Times New Roman"/>
    <w:panose1 w:val="00000000000000000000"/>
    <w:charset w:val="00"/>
    <w:family w:val="roman"/>
    <w:pitch w:val="default"/>
    <w:sig w:usb0="00000000" w:usb1="00000000" w:usb2="00000000" w:usb3="00000000" w:csb0="00040001" w:csb1="00000000"/>
  </w:font>
  <w:font w:name="汉鼎简中黑">
    <w:altName w:val="黑体"/>
    <w:panose1 w:val="02010609010101010101"/>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CG Times">
    <w:altName w:val="Times New Roman"/>
    <w:panose1 w:val="00000000000000000000"/>
    <w:charset w:val="00"/>
    <w:family w:val="roman"/>
    <w:pitch w:val="default"/>
    <w:sig w:usb0="00000000" w:usb1="00000000" w:usb2="00000000" w:usb3="00000000" w:csb0="00000001" w:csb1="00000000"/>
  </w:font>
  <w:font w:name="方正小标宋_GBK">
    <w:panose1 w:val="02000000000000000000"/>
    <w:charset w:val="86"/>
    <w:family w:val="script"/>
    <w:pitch w:val="default"/>
    <w:sig w:usb0="A00002BF" w:usb1="38CF7CFA" w:usb2="00082016" w:usb3="00000000" w:csb0="00040001" w:csb1="00000000"/>
    <w:embedRegular r:id="rId5" w:fontKey="{6B97E0B9-A600-44A8-84CB-32812C8D3E76}"/>
  </w:font>
  <w:font w:name="华文仿宋">
    <w:panose1 w:val="02010600040101010101"/>
    <w:charset w:val="86"/>
    <w:family w:val="auto"/>
    <w:pitch w:val="default"/>
    <w:sig w:usb0="00000287" w:usb1="080F0000" w:usb2="00000000" w:usb3="00000000" w:csb0="0004009F" w:csb1="DFD70000"/>
    <w:embedRegular r:id="rId6" w:fontKey="{C324D5FE-60B5-455A-B616-5D919438940D}"/>
  </w:font>
  <w:font w:name="Helvetica">
    <w:altName w:val="Arial"/>
    <w:panose1 w:val="020B0604020202020204"/>
    <w:charset w:val="00"/>
    <w:family w:val="swiss"/>
    <w:pitch w:val="default"/>
    <w:sig w:usb0="00000000" w:usb1="00000000" w:usb2="00000009" w:usb3="00000000" w:csb0="000001FF" w:csb1="00000000"/>
    <w:embedRegular r:id="rId7" w:fontKey="{AC630C33-23F1-44E6-8F69-0C3E73718757}"/>
  </w:font>
  <w:font w:name="Segoe UI Symbol">
    <w:panose1 w:val="020B0502040204020203"/>
    <w:charset w:val="00"/>
    <w:family w:val="swiss"/>
    <w:pitch w:val="default"/>
    <w:sig w:usb0="8000006F" w:usb1="1200FBEF" w:usb2="0064C000" w:usb3="00000002" w:csb0="00000001" w:csb1="40000000"/>
    <w:embedRegular r:id="rId8" w:fontKey="{2D8ACBB8-3B03-4EAD-95C8-E405CB8E9831}"/>
  </w:font>
  <w:font w:name="等线">
    <w:panose1 w:val="02010600030101010101"/>
    <w:charset w:val="86"/>
    <w:family w:val="auto"/>
    <w:pitch w:val="default"/>
    <w:sig w:usb0="A00002BF" w:usb1="38CF7CFA" w:usb2="00000016" w:usb3="00000000" w:csb0="0004000F" w:csb1="00000000"/>
    <w:embedRegular r:id="rId9" w:fontKey="{F6BA5EB3-9F83-41FA-9E9E-84C90B99FA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jc w:val="center"/>
    </w:pPr>
    <w:r>
      <w:fldChar w:fldCharType="begin"/>
    </w:r>
    <w:r>
      <w:instrText xml:space="preserve">PAGE   \* MERGEFORMAT</w:instrText>
    </w:r>
    <w:r>
      <w:fldChar w:fldCharType="separate"/>
    </w:r>
    <w:r>
      <w:rPr>
        <w:lang w:val="zh-CN"/>
      </w:rPr>
      <w:t>1</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8D3A0F"/>
    <w:multiLevelType w:val="multilevel"/>
    <w:tmpl w:val="1A8D3A0F"/>
    <w:lvl w:ilvl="0" w:tentative="0">
      <w:start w:val="1"/>
      <w:numFmt w:val="decimal"/>
      <w:lvlText w:val="%1"/>
      <w:lvlJc w:val="left"/>
      <w:pPr>
        <w:ind w:left="599" w:hanging="420"/>
      </w:pPr>
      <w:rPr>
        <w:rFonts w:hint="eastAsia"/>
      </w:rPr>
    </w:lvl>
    <w:lvl w:ilvl="1" w:tentative="0">
      <w:start w:val="1"/>
      <w:numFmt w:val="lowerLetter"/>
      <w:lvlText w:val="%2)"/>
      <w:lvlJc w:val="left"/>
      <w:pPr>
        <w:ind w:left="1019" w:hanging="420"/>
      </w:pPr>
    </w:lvl>
    <w:lvl w:ilvl="2" w:tentative="0">
      <w:start w:val="1"/>
      <w:numFmt w:val="lowerRoman"/>
      <w:lvlText w:val="%3."/>
      <w:lvlJc w:val="right"/>
      <w:pPr>
        <w:ind w:left="1439" w:hanging="420"/>
      </w:pPr>
    </w:lvl>
    <w:lvl w:ilvl="3" w:tentative="0">
      <w:start w:val="1"/>
      <w:numFmt w:val="decimal"/>
      <w:pStyle w:val="6"/>
      <w:lvlText w:val="%4."/>
      <w:lvlJc w:val="left"/>
      <w:pPr>
        <w:ind w:left="1859" w:hanging="420"/>
      </w:pPr>
    </w:lvl>
    <w:lvl w:ilvl="4" w:tentative="0">
      <w:start w:val="1"/>
      <w:numFmt w:val="lowerLetter"/>
      <w:lvlText w:val="%5)"/>
      <w:lvlJc w:val="left"/>
      <w:pPr>
        <w:ind w:left="2279" w:hanging="420"/>
      </w:pPr>
    </w:lvl>
    <w:lvl w:ilvl="5" w:tentative="0">
      <w:start w:val="1"/>
      <w:numFmt w:val="lowerRoman"/>
      <w:lvlText w:val="%6."/>
      <w:lvlJc w:val="right"/>
      <w:pPr>
        <w:ind w:left="2699" w:hanging="420"/>
      </w:pPr>
    </w:lvl>
    <w:lvl w:ilvl="6" w:tentative="0">
      <w:start w:val="1"/>
      <w:numFmt w:val="decimal"/>
      <w:lvlText w:val="%7."/>
      <w:lvlJc w:val="left"/>
      <w:pPr>
        <w:ind w:left="3119" w:hanging="420"/>
      </w:pPr>
    </w:lvl>
    <w:lvl w:ilvl="7" w:tentative="0">
      <w:start w:val="1"/>
      <w:numFmt w:val="lowerLetter"/>
      <w:lvlText w:val="%8)"/>
      <w:lvlJc w:val="left"/>
      <w:pPr>
        <w:ind w:left="3539" w:hanging="420"/>
      </w:pPr>
    </w:lvl>
    <w:lvl w:ilvl="8" w:tentative="0">
      <w:start w:val="1"/>
      <w:numFmt w:val="lowerRoman"/>
      <w:lvlText w:val="%9."/>
      <w:lvlJc w:val="right"/>
      <w:pPr>
        <w:ind w:left="3959" w:hanging="420"/>
      </w:pPr>
    </w:lvl>
  </w:abstractNum>
  <w:abstractNum w:abstractNumId="1">
    <w:nsid w:val="2B163891"/>
    <w:multiLevelType w:val="singleLevel"/>
    <w:tmpl w:val="2B163891"/>
    <w:lvl w:ilvl="0" w:tentative="0">
      <w:start w:val="1"/>
      <w:numFmt w:val="decimal"/>
      <w:suff w:val="nothing"/>
      <w:lvlText w:val="%1"/>
      <w:lvlJc w:val="center"/>
      <w:pPr>
        <w:tabs>
          <w:tab w:val="left" w:pos="397"/>
        </w:tabs>
        <w:ind w:left="454" w:leftChars="0" w:hanging="454" w:firstLineChars="0"/>
      </w:pPr>
      <w:rPr>
        <w:rFonts w:hint="default"/>
      </w:rPr>
    </w:lvl>
  </w:abstractNum>
  <w:abstractNum w:abstractNumId="2">
    <w:nsid w:val="66A57280"/>
    <w:multiLevelType w:val="singleLevel"/>
    <w:tmpl w:val="66A57280"/>
    <w:lvl w:ilvl="0" w:tentative="0">
      <w:start w:val="1"/>
      <w:numFmt w:val="decimal"/>
      <w:suff w:val="nothing"/>
      <w:lvlText w:val="%1"/>
      <w:lvlJc w:val="left"/>
      <w:pPr>
        <w:tabs>
          <w:tab w:val="left" w:pos="420"/>
        </w:tabs>
        <w:ind w:left="0" w:leftChars="0" w:firstLine="0" w:firstLineChars="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QyMjhkYTYyOTE5MzZkNTk3MjI4ZjVjYWI2MzM3NjkifQ=="/>
  </w:docVars>
  <w:rsids>
    <w:rsidRoot w:val="00A14947"/>
    <w:rsid w:val="00001CED"/>
    <w:rsid w:val="00001E67"/>
    <w:rsid w:val="00002571"/>
    <w:rsid w:val="00003CD8"/>
    <w:rsid w:val="000140F2"/>
    <w:rsid w:val="00014965"/>
    <w:rsid w:val="0001523A"/>
    <w:rsid w:val="00016ECB"/>
    <w:rsid w:val="000240E7"/>
    <w:rsid w:val="000269F6"/>
    <w:rsid w:val="00031939"/>
    <w:rsid w:val="00032D25"/>
    <w:rsid w:val="00036D42"/>
    <w:rsid w:val="00037234"/>
    <w:rsid w:val="00041B07"/>
    <w:rsid w:val="00046FEC"/>
    <w:rsid w:val="0005219D"/>
    <w:rsid w:val="000538A1"/>
    <w:rsid w:val="0005568F"/>
    <w:rsid w:val="0006035C"/>
    <w:rsid w:val="00060C92"/>
    <w:rsid w:val="0006153D"/>
    <w:rsid w:val="00061B1F"/>
    <w:rsid w:val="000664DB"/>
    <w:rsid w:val="000709CD"/>
    <w:rsid w:val="0007127D"/>
    <w:rsid w:val="00071AE5"/>
    <w:rsid w:val="0007312D"/>
    <w:rsid w:val="00074783"/>
    <w:rsid w:val="000801E0"/>
    <w:rsid w:val="00082A29"/>
    <w:rsid w:val="0008331D"/>
    <w:rsid w:val="00083C18"/>
    <w:rsid w:val="00084E2C"/>
    <w:rsid w:val="00092899"/>
    <w:rsid w:val="0009343F"/>
    <w:rsid w:val="00095C54"/>
    <w:rsid w:val="000A178E"/>
    <w:rsid w:val="000A2DF9"/>
    <w:rsid w:val="000A557E"/>
    <w:rsid w:val="000B058F"/>
    <w:rsid w:val="000B693F"/>
    <w:rsid w:val="000B6EE0"/>
    <w:rsid w:val="000C09AC"/>
    <w:rsid w:val="000C0A63"/>
    <w:rsid w:val="000C437E"/>
    <w:rsid w:val="000D4113"/>
    <w:rsid w:val="000D6D61"/>
    <w:rsid w:val="000E43BE"/>
    <w:rsid w:val="000E5F16"/>
    <w:rsid w:val="000E5FAF"/>
    <w:rsid w:val="000F4452"/>
    <w:rsid w:val="000F5575"/>
    <w:rsid w:val="000F6DA1"/>
    <w:rsid w:val="000F701B"/>
    <w:rsid w:val="001015E1"/>
    <w:rsid w:val="001056A0"/>
    <w:rsid w:val="001117E3"/>
    <w:rsid w:val="001135D4"/>
    <w:rsid w:val="00115279"/>
    <w:rsid w:val="00117459"/>
    <w:rsid w:val="0011749A"/>
    <w:rsid w:val="00127A68"/>
    <w:rsid w:val="00134D00"/>
    <w:rsid w:val="00140B13"/>
    <w:rsid w:val="00141B68"/>
    <w:rsid w:val="001466DA"/>
    <w:rsid w:val="00154DE1"/>
    <w:rsid w:val="00155B40"/>
    <w:rsid w:val="00157435"/>
    <w:rsid w:val="00161BBC"/>
    <w:rsid w:val="00161E54"/>
    <w:rsid w:val="00162D36"/>
    <w:rsid w:val="00163EEA"/>
    <w:rsid w:val="00164D23"/>
    <w:rsid w:val="001654AA"/>
    <w:rsid w:val="00166621"/>
    <w:rsid w:val="00167A07"/>
    <w:rsid w:val="0017046A"/>
    <w:rsid w:val="001704A3"/>
    <w:rsid w:val="001747A0"/>
    <w:rsid w:val="0017504D"/>
    <w:rsid w:val="00177422"/>
    <w:rsid w:val="001810BC"/>
    <w:rsid w:val="00184F10"/>
    <w:rsid w:val="00185546"/>
    <w:rsid w:val="0019146B"/>
    <w:rsid w:val="0019151B"/>
    <w:rsid w:val="0019169D"/>
    <w:rsid w:val="00194398"/>
    <w:rsid w:val="001A403C"/>
    <w:rsid w:val="001A7D2A"/>
    <w:rsid w:val="001B574C"/>
    <w:rsid w:val="001B68D2"/>
    <w:rsid w:val="001C0AF9"/>
    <w:rsid w:val="001C155A"/>
    <w:rsid w:val="001C48C0"/>
    <w:rsid w:val="001C70A0"/>
    <w:rsid w:val="001C74EB"/>
    <w:rsid w:val="001D1A12"/>
    <w:rsid w:val="001D6726"/>
    <w:rsid w:val="001E0E5B"/>
    <w:rsid w:val="001F3347"/>
    <w:rsid w:val="001F4440"/>
    <w:rsid w:val="001F69E4"/>
    <w:rsid w:val="00204FE6"/>
    <w:rsid w:val="00206A65"/>
    <w:rsid w:val="00207AD8"/>
    <w:rsid w:val="00207BF8"/>
    <w:rsid w:val="00212D31"/>
    <w:rsid w:val="002130C7"/>
    <w:rsid w:val="002145BB"/>
    <w:rsid w:val="00220CBC"/>
    <w:rsid w:val="002218A8"/>
    <w:rsid w:val="0022306D"/>
    <w:rsid w:val="00224A2F"/>
    <w:rsid w:val="00225848"/>
    <w:rsid w:val="00226574"/>
    <w:rsid w:val="002278EC"/>
    <w:rsid w:val="0023568F"/>
    <w:rsid w:val="002357C7"/>
    <w:rsid w:val="002367C4"/>
    <w:rsid w:val="00236A07"/>
    <w:rsid w:val="0025679E"/>
    <w:rsid w:val="00260C68"/>
    <w:rsid w:val="00262841"/>
    <w:rsid w:val="002648B0"/>
    <w:rsid w:val="00275271"/>
    <w:rsid w:val="0027535E"/>
    <w:rsid w:val="00275AA6"/>
    <w:rsid w:val="002807D5"/>
    <w:rsid w:val="00282CCD"/>
    <w:rsid w:val="002865AA"/>
    <w:rsid w:val="00287EC6"/>
    <w:rsid w:val="00287F2C"/>
    <w:rsid w:val="0029281E"/>
    <w:rsid w:val="0029545D"/>
    <w:rsid w:val="002A168C"/>
    <w:rsid w:val="002A2C48"/>
    <w:rsid w:val="002A3EED"/>
    <w:rsid w:val="002A4A39"/>
    <w:rsid w:val="002A593B"/>
    <w:rsid w:val="002A5A17"/>
    <w:rsid w:val="002A6425"/>
    <w:rsid w:val="002B3C93"/>
    <w:rsid w:val="002B49E2"/>
    <w:rsid w:val="002B5571"/>
    <w:rsid w:val="002B577B"/>
    <w:rsid w:val="002B7B00"/>
    <w:rsid w:val="002B7C44"/>
    <w:rsid w:val="002C1388"/>
    <w:rsid w:val="002C3C6A"/>
    <w:rsid w:val="002D0158"/>
    <w:rsid w:val="002D42DB"/>
    <w:rsid w:val="002E1F3A"/>
    <w:rsid w:val="002E298A"/>
    <w:rsid w:val="002F02A4"/>
    <w:rsid w:val="002F0550"/>
    <w:rsid w:val="002F055C"/>
    <w:rsid w:val="002F272B"/>
    <w:rsid w:val="002F2F83"/>
    <w:rsid w:val="002F44E4"/>
    <w:rsid w:val="002F7C6D"/>
    <w:rsid w:val="003027E4"/>
    <w:rsid w:val="0030332C"/>
    <w:rsid w:val="00304A51"/>
    <w:rsid w:val="0030622D"/>
    <w:rsid w:val="00312296"/>
    <w:rsid w:val="0031340E"/>
    <w:rsid w:val="00316464"/>
    <w:rsid w:val="003168A4"/>
    <w:rsid w:val="003170B7"/>
    <w:rsid w:val="0032073A"/>
    <w:rsid w:val="00321D8E"/>
    <w:rsid w:val="003334CF"/>
    <w:rsid w:val="00334996"/>
    <w:rsid w:val="00336969"/>
    <w:rsid w:val="00336C52"/>
    <w:rsid w:val="00341B3E"/>
    <w:rsid w:val="00341B42"/>
    <w:rsid w:val="00343380"/>
    <w:rsid w:val="00345154"/>
    <w:rsid w:val="0034560E"/>
    <w:rsid w:val="003462D5"/>
    <w:rsid w:val="00350523"/>
    <w:rsid w:val="00350A08"/>
    <w:rsid w:val="00350D98"/>
    <w:rsid w:val="00352975"/>
    <w:rsid w:val="00355CDF"/>
    <w:rsid w:val="00356868"/>
    <w:rsid w:val="00363464"/>
    <w:rsid w:val="003643AA"/>
    <w:rsid w:val="0036485B"/>
    <w:rsid w:val="00365CA5"/>
    <w:rsid w:val="00367252"/>
    <w:rsid w:val="00373B0D"/>
    <w:rsid w:val="00376988"/>
    <w:rsid w:val="00381A72"/>
    <w:rsid w:val="00393761"/>
    <w:rsid w:val="003A1948"/>
    <w:rsid w:val="003A508B"/>
    <w:rsid w:val="003A6F22"/>
    <w:rsid w:val="003B0800"/>
    <w:rsid w:val="003B152A"/>
    <w:rsid w:val="003B22D2"/>
    <w:rsid w:val="003B545B"/>
    <w:rsid w:val="003B725E"/>
    <w:rsid w:val="003C2A60"/>
    <w:rsid w:val="003D3EE9"/>
    <w:rsid w:val="003E1D6C"/>
    <w:rsid w:val="003E27D3"/>
    <w:rsid w:val="003E3781"/>
    <w:rsid w:val="003E5441"/>
    <w:rsid w:val="003E7681"/>
    <w:rsid w:val="003F0809"/>
    <w:rsid w:val="003F0AAF"/>
    <w:rsid w:val="003F611C"/>
    <w:rsid w:val="003F694A"/>
    <w:rsid w:val="003F755C"/>
    <w:rsid w:val="0040587B"/>
    <w:rsid w:val="0040688A"/>
    <w:rsid w:val="00406F01"/>
    <w:rsid w:val="00411B36"/>
    <w:rsid w:val="004121D7"/>
    <w:rsid w:val="00412CA1"/>
    <w:rsid w:val="00415504"/>
    <w:rsid w:val="00416D50"/>
    <w:rsid w:val="00417772"/>
    <w:rsid w:val="00420E6A"/>
    <w:rsid w:val="00432B06"/>
    <w:rsid w:val="00433CA9"/>
    <w:rsid w:val="0043521D"/>
    <w:rsid w:val="00435D73"/>
    <w:rsid w:val="00442024"/>
    <w:rsid w:val="0044254C"/>
    <w:rsid w:val="00443F6A"/>
    <w:rsid w:val="00450A17"/>
    <w:rsid w:val="00466321"/>
    <w:rsid w:val="004672AF"/>
    <w:rsid w:val="004706F0"/>
    <w:rsid w:val="004715B8"/>
    <w:rsid w:val="004727B0"/>
    <w:rsid w:val="00473FEA"/>
    <w:rsid w:val="00480247"/>
    <w:rsid w:val="0048081D"/>
    <w:rsid w:val="0048117E"/>
    <w:rsid w:val="00484234"/>
    <w:rsid w:val="004855F6"/>
    <w:rsid w:val="0048581B"/>
    <w:rsid w:val="00485E64"/>
    <w:rsid w:val="00486F0C"/>
    <w:rsid w:val="00494670"/>
    <w:rsid w:val="004A0EB4"/>
    <w:rsid w:val="004A3823"/>
    <w:rsid w:val="004A59BB"/>
    <w:rsid w:val="004A6993"/>
    <w:rsid w:val="004B19D5"/>
    <w:rsid w:val="004B43A3"/>
    <w:rsid w:val="004B4C49"/>
    <w:rsid w:val="004B58A5"/>
    <w:rsid w:val="004B592E"/>
    <w:rsid w:val="004B63D9"/>
    <w:rsid w:val="004C0628"/>
    <w:rsid w:val="004C0882"/>
    <w:rsid w:val="004C1FA7"/>
    <w:rsid w:val="004C55BE"/>
    <w:rsid w:val="004E4B0C"/>
    <w:rsid w:val="004E5B30"/>
    <w:rsid w:val="004F0779"/>
    <w:rsid w:val="004F1230"/>
    <w:rsid w:val="004F173F"/>
    <w:rsid w:val="004F177C"/>
    <w:rsid w:val="004F2DCE"/>
    <w:rsid w:val="004F427A"/>
    <w:rsid w:val="004F6077"/>
    <w:rsid w:val="005039CB"/>
    <w:rsid w:val="0050558F"/>
    <w:rsid w:val="005057E0"/>
    <w:rsid w:val="00506286"/>
    <w:rsid w:val="00506ED4"/>
    <w:rsid w:val="0050798B"/>
    <w:rsid w:val="00510813"/>
    <w:rsid w:val="00511DE0"/>
    <w:rsid w:val="00514A94"/>
    <w:rsid w:val="0051654A"/>
    <w:rsid w:val="00517652"/>
    <w:rsid w:val="00517F02"/>
    <w:rsid w:val="00520B6F"/>
    <w:rsid w:val="00524068"/>
    <w:rsid w:val="00524547"/>
    <w:rsid w:val="005258A2"/>
    <w:rsid w:val="00525F1D"/>
    <w:rsid w:val="00530F7C"/>
    <w:rsid w:val="0053248D"/>
    <w:rsid w:val="005336BF"/>
    <w:rsid w:val="00534567"/>
    <w:rsid w:val="00534F43"/>
    <w:rsid w:val="00535A84"/>
    <w:rsid w:val="00536889"/>
    <w:rsid w:val="00541C34"/>
    <w:rsid w:val="00542E07"/>
    <w:rsid w:val="00543027"/>
    <w:rsid w:val="00547D5D"/>
    <w:rsid w:val="00552FA3"/>
    <w:rsid w:val="00554A7B"/>
    <w:rsid w:val="00554BB2"/>
    <w:rsid w:val="0055572C"/>
    <w:rsid w:val="00557764"/>
    <w:rsid w:val="0056064F"/>
    <w:rsid w:val="00561B84"/>
    <w:rsid w:val="00571D98"/>
    <w:rsid w:val="005720AE"/>
    <w:rsid w:val="0058030D"/>
    <w:rsid w:val="00582045"/>
    <w:rsid w:val="00590AE3"/>
    <w:rsid w:val="005918F1"/>
    <w:rsid w:val="00593609"/>
    <w:rsid w:val="005A06B7"/>
    <w:rsid w:val="005A1759"/>
    <w:rsid w:val="005B0733"/>
    <w:rsid w:val="005B3FC2"/>
    <w:rsid w:val="005C0FBB"/>
    <w:rsid w:val="005D0369"/>
    <w:rsid w:val="005D0B3D"/>
    <w:rsid w:val="005D53FE"/>
    <w:rsid w:val="005D7A0F"/>
    <w:rsid w:val="005E0438"/>
    <w:rsid w:val="005E1791"/>
    <w:rsid w:val="005E2CE6"/>
    <w:rsid w:val="005E6324"/>
    <w:rsid w:val="005E7B7D"/>
    <w:rsid w:val="005F01E2"/>
    <w:rsid w:val="005F228B"/>
    <w:rsid w:val="005F29CD"/>
    <w:rsid w:val="005F4DFB"/>
    <w:rsid w:val="005F6CC0"/>
    <w:rsid w:val="00603E5B"/>
    <w:rsid w:val="006041D4"/>
    <w:rsid w:val="00604BC8"/>
    <w:rsid w:val="00613407"/>
    <w:rsid w:val="0061384E"/>
    <w:rsid w:val="006159DD"/>
    <w:rsid w:val="00615B4C"/>
    <w:rsid w:val="00615B5D"/>
    <w:rsid w:val="00615E0A"/>
    <w:rsid w:val="0062146F"/>
    <w:rsid w:val="00623D30"/>
    <w:rsid w:val="00625A5B"/>
    <w:rsid w:val="00632C08"/>
    <w:rsid w:val="006343AF"/>
    <w:rsid w:val="0063634A"/>
    <w:rsid w:val="0064250D"/>
    <w:rsid w:val="006535EB"/>
    <w:rsid w:val="00655898"/>
    <w:rsid w:val="00662062"/>
    <w:rsid w:val="00663016"/>
    <w:rsid w:val="006652CF"/>
    <w:rsid w:val="00674605"/>
    <w:rsid w:val="006748B8"/>
    <w:rsid w:val="0068535B"/>
    <w:rsid w:val="0068736E"/>
    <w:rsid w:val="0069290A"/>
    <w:rsid w:val="00694B05"/>
    <w:rsid w:val="00695187"/>
    <w:rsid w:val="00695868"/>
    <w:rsid w:val="00697032"/>
    <w:rsid w:val="006975AC"/>
    <w:rsid w:val="006A15FB"/>
    <w:rsid w:val="006A1FE3"/>
    <w:rsid w:val="006A72BF"/>
    <w:rsid w:val="006B332A"/>
    <w:rsid w:val="006B33BD"/>
    <w:rsid w:val="006C26FB"/>
    <w:rsid w:val="006C3F75"/>
    <w:rsid w:val="006C52FE"/>
    <w:rsid w:val="006D170E"/>
    <w:rsid w:val="006D2210"/>
    <w:rsid w:val="006D3D8A"/>
    <w:rsid w:val="006D5D30"/>
    <w:rsid w:val="006E06AF"/>
    <w:rsid w:val="006E596B"/>
    <w:rsid w:val="006F1789"/>
    <w:rsid w:val="006F415E"/>
    <w:rsid w:val="006F64B6"/>
    <w:rsid w:val="00706C5D"/>
    <w:rsid w:val="007118E6"/>
    <w:rsid w:val="00713A8A"/>
    <w:rsid w:val="0071436C"/>
    <w:rsid w:val="007178DF"/>
    <w:rsid w:val="00721930"/>
    <w:rsid w:val="007225C9"/>
    <w:rsid w:val="0073132A"/>
    <w:rsid w:val="0073218C"/>
    <w:rsid w:val="00735AE1"/>
    <w:rsid w:val="00735CD7"/>
    <w:rsid w:val="007441DD"/>
    <w:rsid w:val="00754034"/>
    <w:rsid w:val="00754BF1"/>
    <w:rsid w:val="00755A30"/>
    <w:rsid w:val="00755E1C"/>
    <w:rsid w:val="00756556"/>
    <w:rsid w:val="007572AD"/>
    <w:rsid w:val="007605C1"/>
    <w:rsid w:val="0076132B"/>
    <w:rsid w:val="007623AE"/>
    <w:rsid w:val="007673A5"/>
    <w:rsid w:val="00770B19"/>
    <w:rsid w:val="00774FA0"/>
    <w:rsid w:val="00776620"/>
    <w:rsid w:val="00777B6D"/>
    <w:rsid w:val="00784855"/>
    <w:rsid w:val="00784F39"/>
    <w:rsid w:val="0078545C"/>
    <w:rsid w:val="00785858"/>
    <w:rsid w:val="00790528"/>
    <w:rsid w:val="00790666"/>
    <w:rsid w:val="007906C4"/>
    <w:rsid w:val="00793C0D"/>
    <w:rsid w:val="007940EA"/>
    <w:rsid w:val="007967E8"/>
    <w:rsid w:val="00797848"/>
    <w:rsid w:val="007A22A3"/>
    <w:rsid w:val="007A5528"/>
    <w:rsid w:val="007A63F2"/>
    <w:rsid w:val="007B28D4"/>
    <w:rsid w:val="007B4700"/>
    <w:rsid w:val="007B68DE"/>
    <w:rsid w:val="007C1857"/>
    <w:rsid w:val="007C514F"/>
    <w:rsid w:val="007D0F95"/>
    <w:rsid w:val="007D4657"/>
    <w:rsid w:val="007D7ECB"/>
    <w:rsid w:val="007E0EE9"/>
    <w:rsid w:val="007E25A1"/>
    <w:rsid w:val="007E4BD2"/>
    <w:rsid w:val="007E7145"/>
    <w:rsid w:val="007F3916"/>
    <w:rsid w:val="007F3AD0"/>
    <w:rsid w:val="00801179"/>
    <w:rsid w:val="00802479"/>
    <w:rsid w:val="00803313"/>
    <w:rsid w:val="00805372"/>
    <w:rsid w:val="00805B7B"/>
    <w:rsid w:val="0081293E"/>
    <w:rsid w:val="00814FFB"/>
    <w:rsid w:val="00817C84"/>
    <w:rsid w:val="00820568"/>
    <w:rsid w:val="008273D5"/>
    <w:rsid w:val="00831A80"/>
    <w:rsid w:val="008332C8"/>
    <w:rsid w:val="00833743"/>
    <w:rsid w:val="00833E6B"/>
    <w:rsid w:val="008340A4"/>
    <w:rsid w:val="00836799"/>
    <w:rsid w:val="00837028"/>
    <w:rsid w:val="00837131"/>
    <w:rsid w:val="0084010B"/>
    <w:rsid w:val="00841B49"/>
    <w:rsid w:val="00843813"/>
    <w:rsid w:val="00845BD5"/>
    <w:rsid w:val="00845F57"/>
    <w:rsid w:val="00846529"/>
    <w:rsid w:val="008521E0"/>
    <w:rsid w:val="008525B0"/>
    <w:rsid w:val="00852945"/>
    <w:rsid w:val="00853BCF"/>
    <w:rsid w:val="00861C35"/>
    <w:rsid w:val="0086364C"/>
    <w:rsid w:val="0086384D"/>
    <w:rsid w:val="00863E90"/>
    <w:rsid w:val="00866015"/>
    <w:rsid w:val="00867CBC"/>
    <w:rsid w:val="00876C30"/>
    <w:rsid w:val="00877017"/>
    <w:rsid w:val="008773C0"/>
    <w:rsid w:val="00880364"/>
    <w:rsid w:val="008867DE"/>
    <w:rsid w:val="00886C4C"/>
    <w:rsid w:val="0088711C"/>
    <w:rsid w:val="008919AA"/>
    <w:rsid w:val="00892ECF"/>
    <w:rsid w:val="00892F06"/>
    <w:rsid w:val="0089373A"/>
    <w:rsid w:val="00894285"/>
    <w:rsid w:val="008A40AE"/>
    <w:rsid w:val="008A4E19"/>
    <w:rsid w:val="008A5EE0"/>
    <w:rsid w:val="008A67C5"/>
    <w:rsid w:val="008B1CFD"/>
    <w:rsid w:val="008B22E1"/>
    <w:rsid w:val="008B2482"/>
    <w:rsid w:val="008B3C78"/>
    <w:rsid w:val="008B442B"/>
    <w:rsid w:val="008B4AE9"/>
    <w:rsid w:val="008B6658"/>
    <w:rsid w:val="008C30AD"/>
    <w:rsid w:val="008C51ED"/>
    <w:rsid w:val="008C6616"/>
    <w:rsid w:val="008D068E"/>
    <w:rsid w:val="008D0F7A"/>
    <w:rsid w:val="008D63BE"/>
    <w:rsid w:val="008E0CFF"/>
    <w:rsid w:val="008E48B4"/>
    <w:rsid w:val="008E5D6B"/>
    <w:rsid w:val="008E67AC"/>
    <w:rsid w:val="008E689B"/>
    <w:rsid w:val="008E76F0"/>
    <w:rsid w:val="008F15FE"/>
    <w:rsid w:val="008F2A94"/>
    <w:rsid w:val="008F5187"/>
    <w:rsid w:val="008F5716"/>
    <w:rsid w:val="008F709C"/>
    <w:rsid w:val="009024E7"/>
    <w:rsid w:val="0090312B"/>
    <w:rsid w:val="00903E14"/>
    <w:rsid w:val="00904961"/>
    <w:rsid w:val="00907DEB"/>
    <w:rsid w:val="00915D32"/>
    <w:rsid w:val="0091736D"/>
    <w:rsid w:val="00917910"/>
    <w:rsid w:val="00917AB7"/>
    <w:rsid w:val="0092782A"/>
    <w:rsid w:val="009278F4"/>
    <w:rsid w:val="00931001"/>
    <w:rsid w:val="00931863"/>
    <w:rsid w:val="00931CCD"/>
    <w:rsid w:val="00933524"/>
    <w:rsid w:val="009377DC"/>
    <w:rsid w:val="0094278D"/>
    <w:rsid w:val="00944D02"/>
    <w:rsid w:val="009460DA"/>
    <w:rsid w:val="00946349"/>
    <w:rsid w:val="009527FD"/>
    <w:rsid w:val="0095308A"/>
    <w:rsid w:val="00955AEE"/>
    <w:rsid w:val="00956F14"/>
    <w:rsid w:val="009611C5"/>
    <w:rsid w:val="00961D05"/>
    <w:rsid w:val="00961D6C"/>
    <w:rsid w:val="009620FD"/>
    <w:rsid w:val="0096247A"/>
    <w:rsid w:val="009652B3"/>
    <w:rsid w:val="00965F4B"/>
    <w:rsid w:val="00970E25"/>
    <w:rsid w:val="00970F8A"/>
    <w:rsid w:val="00971381"/>
    <w:rsid w:val="00971FB5"/>
    <w:rsid w:val="00972D2A"/>
    <w:rsid w:val="00975CC5"/>
    <w:rsid w:val="00976328"/>
    <w:rsid w:val="00976B4E"/>
    <w:rsid w:val="00981540"/>
    <w:rsid w:val="00983332"/>
    <w:rsid w:val="00984458"/>
    <w:rsid w:val="00985283"/>
    <w:rsid w:val="00987322"/>
    <w:rsid w:val="00994EC4"/>
    <w:rsid w:val="009A0F3B"/>
    <w:rsid w:val="009A72C7"/>
    <w:rsid w:val="009B0897"/>
    <w:rsid w:val="009B3635"/>
    <w:rsid w:val="009B3DB3"/>
    <w:rsid w:val="009B5100"/>
    <w:rsid w:val="009D0852"/>
    <w:rsid w:val="009D1FBF"/>
    <w:rsid w:val="009D2FF7"/>
    <w:rsid w:val="009D3B02"/>
    <w:rsid w:val="009E399C"/>
    <w:rsid w:val="009E43C1"/>
    <w:rsid w:val="009E6EBE"/>
    <w:rsid w:val="009E7E95"/>
    <w:rsid w:val="009F116F"/>
    <w:rsid w:val="009F329E"/>
    <w:rsid w:val="009F7ED3"/>
    <w:rsid w:val="00A03607"/>
    <w:rsid w:val="00A047FF"/>
    <w:rsid w:val="00A04AEF"/>
    <w:rsid w:val="00A04FEF"/>
    <w:rsid w:val="00A066EA"/>
    <w:rsid w:val="00A122CD"/>
    <w:rsid w:val="00A12A32"/>
    <w:rsid w:val="00A14248"/>
    <w:rsid w:val="00A14947"/>
    <w:rsid w:val="00A14B32"/>
    <w:rsid w:val="00A151C5"/>
    <w:rsid w:val="00A17B52"/>
    <w:rsid w:val="00A20995"/>
    <w:rsid w:val="00A23DC5"/>
    <w:rsid w:val="00A2632A"/>
    <w:rsid w:val="00A30F4B"/>
    <w:rsid w:val="00A34028"/>
    <w:rsid w:val="00A35568"/>
    <w:rsid w:val="00A37056"/>
    <w:rsid w:val="00A37284"/>
    <w:rsid w:val="00A41796"/>
    <w:rsid w:val="00A4358F"/>
    <w:rsid w:val="00A46F67"/>
    <w:rsid w:val="00A54AA1"/>
    <w:rsid w:val="00A568FF"/>
    <w:rsid w:val="00A61496"/>
    <w:rsid w:val="00A61833"/>
    <w:rsid w:val="00A624C6"/>
    <w:rsid w:val="00A63CEC"/>
    <w:rsid w:val="00A70217"/>
    <w:rsid w:val="00A7031E"/>
    <w:rsid w:val="00A728B1"/>
    <w:rsid w:val="00A763DE"/>
    <w:rsid w:val="00A7779F"/>
    <w:rsid w:val="00A803D6"/>
    <w:rsid w:val="00A81282"/>
    <w:rsid w:val="00A84080"/>
    <w:rsid w:val="00A8713F"/>
    <w:rsid w:val="00A90426"/>
    <w:rsid w:val="00A91167"/>
    <w:rsid w:val="00A9171C"/>
    <w:rsid w:val="00A92FFD"/>
    <w:rsid w:val="00A95975"/>
    <w:rsid w:val="00A9708D"/>
    <w:rsid w:val="00AA2C17"/>
    <w:rsid w:val="00AA4172"/>
    <w:rsid w:val="00AB1914"/>
    <w:rsid w:val="00AB5330"/>
    <w:rsid w:val="00AB7747"/>
    <w:rsid w:val="00AC2532"/>
    <w:rsid w:val="00AC5814"/>
    <w:rsid w:val="00AC752A"/>
    <w:rsid w:val="00AD0154"/>
    <w:rsid w:val="00AD1507"/>
    <w:rsid w:val="00AD30A4"/>
    <w:rsid w:val="00AD4D99"/>
    <w:rsid w:val="00AD5802"/>
    <w:rsid w:val="00AD5A70"/>
    <w:rsid w:val="00AD738B"/>
    <w:rsid w:val="00AE1BF4"/>
    <w:rsid w:val="00AE3103"/>
    <w:rsid w:val="00AE5D97"/>
    <w:rsid w:val="00AE6794"/>
    <w:rsid w:val="00AF28FE"/>
    <w:rsid w:val="00AF4C04"/>
    <w:rsid w:val="00AF6642"/>
    <w:rsid w:val="00AF7D92"/>
    <w:rsid w:val="00B01110"/>
    <w:rsid w:val="00B02262"/>
    <w:rsid w:val="00B02934"/>
    <w:rsid w:val="00B03CEC"/>
    <w:rsid w:val="00B07DDB"/>
    <w:rsid w:val="00B10247"/>
    <w:rsid w:val="00B1209F"/>
    <w:rsid w:val="00B12AD0"/>
    <w:rsid w:val="00B13386"/>
    <w:rsid w:val="00B13D44"/>
    <w:rsid w:val="00B22446"/>
    <w:rsid w:val="00B24C65"/>
    <w:rsid w:val="00B24F30"/>
    <w:rsid w:val="00B26EB7"/>
    <w:rsid w:val="00B31669"/>
    <w:rsid w:val="00B31ABF"/>
    <w:rsid w:val="00B335AE"/>
    <w:rsid w:val="00B36CC7"/>
    <w:rsid w:val="00B37CE1"/>
    <w:rsid w:val="00B40ACF"/>
    <w:rsid w:val="00B46BAA"/>
    <w:rsid w:val="00B50B5F"/>
    <w:rsid w:val="00B54128"/>
    <w:rsid w:val="00B55826"/>
    <w:rsid w:val="00B60426"/>
    <w:rsid w:val="00B60CA9"/>
    <w:rsid w:val="00B622DD"/>
    <w:rsid w:val="00B63522"/>
    <w:rsid w:val="00B63C8A"/>
    <w:rsid w:val="00B70CE4"/>
    <w:rsid w:val="00B76F1D"/>
    <w:rsid w:val="00B77D26"/>
    <w:rsid w:val="00B809D5"/>
    <w:rsid w:val="00B84F20"/>
    <w:rsid w:val="00B92A19"/>
    <w:rsid w:val="00B9544C"/>
    <w:rsid w:val="00B9784C"/>
    <w:rsid w:val="00BA29E9"/>
    <w:rsid w:val="00BA2AF8"/>
    <w:rsid w:val="00BA7F06"/>
    <w:rsid w:val="00BB310A"/>
    <w:rsid w:val="00BB3618"/>
    <w:rsid w:val="00BB434E"/>
    <w:rsid w:val="00BC0C9E"/>
    <w:rsid w:val="00BC1D55"/>
    <w:rsid w:val="00BC32DC"/>
    <w:rsid w:val="00BD1B51"/>
    <w:rsid w:val="00BD4608"/>
    <w:rsid w:val="00BD47F6"/>
    <w:rsid w:val="00BE312D"/>
    <w:rsid w:val="00BE34A9"/>
    <w:rsid w:val="00BE3FCA"/>
    <w:rsid w:val="00BE5FF1"/>
    <w:rsid w:val="00BF0367"/>
    <w:rsid w:val="00BF6ED6"/>
    <w:rsid w:val="00C05719"/>
    <w:rsid w:val="00C10578"/>
    <w:rsid w:val="00C1486D"/>
    <w:rsid w:val="00C17D62"/>
    <w:rsid w:val="00C21FDC"/>
    <w:rsid w:val="00C24EE7"/>
    <w:rsid w:val="00C2596A"/>
    <w:rsid w:val="00C27138"/>
    <w:rsid w:val="00C271BE"/>
    <w:rsid w:val="00C27425"/>
    <w:rsid w:val="00C27E45"/>
    <w:rsid w:val="00C328FE"/>
    <w:rsid w:val="00C33A05"/>
    <w:rsid w:val="00C33C43"/>
    <w:rsid w:val="00C4020E"/>
    <w:rsid w:val="00C42500"/>
    <w:rsid w:val="00C43877"/>
    <w:rsid w:val="00C4409D"/>
    <w:rsid w:val="00C455BE"/>
    <w:rsid w:val="00C47E12"/>
    <w:rsid w:val="00C51E5F"/>
    <w:rsid w:val="00C542A0"/>
    <w:rsid w:val="00C61E4B"/>
    <w:rsid w:val="00C62E3A"/>
    <w:rsid w:val="00C64503"/>
    <w:rsid w:val="00C64A1F"/>
    <w:rsid w:val="00C64BFF"/>
    <w:rsid w:val="00C7189C"/>
    <w:rsid w:val="00C763C9"/>
    <w:rsid w:val="00C80057"/>
    <w:rsid w:val="00C82C79"/>
    <w:rsid w:val="00C84753"/>
    <w:rsid w:val="00C91611"/>
    <w:rsid w:val="00C93280"/>
    <w:rsid w:val="00CA0AA1"/>
    <w:rsid w:val="00CA3585"/>
    <w:rsid w:val="00CA3D5A"/>
    <w:rsid w:val="00CA4019"/>
    <w:rsid w:val="00CA4C7C"/>
    <w:rsid w:val="00CA7E67"/>
    <w:rsid w:val="00CB0183"/>
    <w:rsid w:val="00CB1EA3"/>
    <w:rsid w:val="00CB33DD"/>
    <w:rsid w:val="00CB552C"/>
    <w:rsid w:val="00CB6A9E"/>
    <w:rsid w:val="00CB6DDE"/>
    <w:rsid w:val="00CC3C9E"/>
    <w:rsid w:val="00CC6181"/>
    <w:rsid w:val="00CD021A"/>
    <w:rsid w:val="00CD1621"/>
    <w:rsid w:val="00CD280A"/>
    <w:rsid w:val="00CD2BCD"/>
    <w:rsid w:val="00CD36AA"/>
    <w:rsid w:val="00CD3791"/>
    <w:rsid w:val="00CD65B0"/>
    <w:rsid w:val="00CE02CD"/>
    <w:rsid w:val="00CE10E9"/>
    <w:rsid w:val="00CE1B80"/>
    <w:rsid w:val="00CE23EF"/>
    <w:rsid w:val="00CE6228"/>
    <w:rsid w:val="00CF0337"/>
    <w:rsid w:val="00CF6660"/>
    <w:rsid w:val="00D0072E"/>
    <w:rsid w:val="00D0336F"/>
    <w:rsid w:val="00D03E39"/>
    <w:rsid w:val="00D061E5"/>
    <w:rsid w:val="00D15727"/>
    <w:rsid w:val="00D16332"/>
    <w:rsid w:val="00D2255F"/>
    <w:rsid w:val="00D22FA0"/>
    <w:rsid w:val="00D24972"/>
    <w:rsid w:val="00D2515E"/>
    <w:rsid w:val="00D308ED"/>
    <w:rsid w:val="00D44A17"/>
    <w:rsid w:val="00D52855"/>
    <w:rsid w:val="00D539D4"/>
    <w:rsid w:val="00D56178"/>
    <w:rsid w:val="00D56CF0"/>
    <w:rsid w:val="00D56F5C"/>
    <w:rsid w:val="00D64EC7"/>
    <w:rsid w:val="00D67119"/>
    <w:rsid w:val="00D704B1"/>
    <w:rsid w:val="00D70B63"/>
    <w:rsid w:val="00D71FC0"/>
    <w:rsid w:val="00D72B92"/>
    <w:rsid w:val="00D72ED4"/>
    <w:rsid w:val="00D73F61"/>
    <w:rsid w:val="00D754C0"/>
    <w:rsid w:val="00D776A2"/>
    <w:rsid w:val="00D801C4"/>
    <w:rsid w:val="00D82E80"/>
    <w:rsid w:val="00D90836"/>
    <w:rsid w:val="00D951DD"/>
    <w:rsid w:val="00D95896"/>
    <w:rsid w:val="00D95CC6"/>
    <w:rsid w:val="00DA2DA3"/>
    <w:rsid w:val="00DA6615"/>
    <w:rsid w:val="00DA76AE"/>
    <w:rsid w:val="00DB181E"/>
    <w:rsid w:val="00DB1C7A"/>
    <w:rsid w:val="00DB2983"/>
    <w:rsid w:val="00DB343D"/>
    <w:rsid w:val="00DB5054"/>
    <w:rsid w:val="00DB5579"/>
    <w:rsid w:val="00DB5CFE"/>
    <w:rsid w:val="00DB6848"/>
    <w:rsid w:val="00DC6E5E"/>
    <w:rsid w:val="00DC72A6"/>
    <w:rsid w:val="00DC7A96"/>
    <w:rsid w:val="00DD2113"/>
    <w:rsid w:val="00DD265E"/>
    <w:rsid w:val="00DD6F8B"/>
    <w:rsid w:val="00DE0C32"/>
    <w:rsid w:val="00DF1930"/>
    <w:rsid w:val="00DF1A56"/>
    <w:rsid w:val="00DF514A"/>
    <w:rsid w:val="00E01E12"/>
    <w:rsid w:val="00E02FE8"/>
    <w:rsid w:val="00E0358D"/>
    <w:rsid w:val="00E05A3A"/>
    <w:rsid w:val="00E06327"/>
    <w:rsid w:val="00E1430F"/>
    <w:rsid w:val="00E14477"/>
    <w:rsid w:val="00E14589"/>
    <w:rsid w:val="00E2064B"/>
    <w:rsid w:val="00E228BE"/>
    <w:rsid w:val="00E25239"/>
    <w:rsid w:val="00E265B1"/>
    <w:rsid w:val="00E275B0"/>
    <w:rsid w:val="00E369F8"/>
    <w:rsid w:val="00E40E2F"/>
    <w:rsid w:val="00E412D0"/>
    <w:rsid w:val="00E429F0"/>
    <w:rsid w:val="00E47CDB"/>
    <w:rsid w:val="00E56182"/>
    <w:rsid w:val="00E566BC"/>
    <w:rsid w:val="00E57E88"/>
    <w:rsid w:val="00E60982"/>
    <w:rsid w:val="00E60C8D"/>
    <w:rsid w:val="00E6162F"/>
    <w:rsid w:val="00E6311B"/>
    <w:rsid w:val="00E65D97"/>
    <w:rsid w:val="00E66B9C"/>
    <w:rsid w:val="00E673B0"/>
    <w:rsid w:val="00E67EFD"/>
    <w:rsid w:val="00E702DC"/>
    <w:rsid w:val="00E715A0"/>
    <w:rsid w:val="00E71FFB"/>
    <w:rsid w:val="00E7604E"/>
    <w:rsid w:val="00E76D1D"/>
    <w:rsid w:val="00E77FA1"/>
    <w:rsid w:val="00E806F8"/>
    <w:rsid w:val="00E87752"/>
    <w:rsid w:val="00E8793B"/>
    <w:rsid w:val="00E90F81"/>
    <w:rsid w:val="00E913AC"/>
    <w:rsid w:val="00E91A6D"/>
    <w:rsid w:val="00E9242D"/>
    <w:rsid w:val="00E93769"/>
    <w:rsid w:val="00EA5CF3"/>
    <w:rsid w:val="00EB041C"/>
    <w:rsid w:val="00EB550F"/>
    <w:rsid w:val="00EC5874"/>
    <w:rsid w:val="00ED192D"/>
    <w:rsid w:val="00ED30B4"/>
    <w:rsid w:val="00ED31F5"/>
    <w:rsid w:val="00EE58DB"/>
    <w:rsid w:val="00EE5A10"/>
    <w:rsid w:val="00EE72D0"/>
    <w:rsid w:val="00EF1F0F"/>
    <w:rsid w:val="00EF2759"/>
    <w:rsid w:val="00EF364E"/>
    <w:rsid w:val="00EF45EB"/>
    <w:rsid w:val="00EF4BFB"/>
    <w:rsid w:val="00EF5099"/>
    <w:rsid w:val="00EF5CE4"/>
    <w:rsid w:val="00EF5E33"/>
    <w:rsid w:val="00F00075"/>
    <w:rsid w:val="00F00C8F"/>
    <w:rsid w:val="00F00FB6"/>
    <w:rsid w:val="00F07822"/>
    <w:rsid w:val="00F15C95"/>
    <w:rsid w:val="00F22735"/>
    <w:rsid w:val="00F22985"/>
    <w:rsid w:val="00F241AB"/>
    <w:rsid w:val="00F27B7D"/>
    <w:rsid w:val="00F31382"/>
    <w:rsid w:val="00F33528"/>
    <w:rsid w:val="00F35829"/>
    <w:rsid w:val="00F366C5"/>
    <w:rsid w:val="00F37578"/>
    <w:rsid w:val="00F4061D"/>
    <w:rsid w:val="00F42868"/>
    <w:rsid w:val="00F465A7"/>
    <w:rsid w:val="00F46EE8"/>
    <w:rsid w:val="00F50B7C"/>
    <w:rsid w:val="00F5202D"/>
    <w:rsid w:val="00F52CF6"/>
    <w:rsid w:val="00F54496"/>
    <w:rsid w:val="00F61097"/>
    <w:rsid w:val="00F61BA5"/>
    <w:rsid w:val="00F623E4"/>
    <w:rsid w:val="00F74345"/>
    <w:rsid w:val="00F74441"/>
    <w:rsid w:val="00F77F30"/>
    <w:rsid w:val="00F80257"/>
    <w:rsid w:val="00F82589"/>
    <w:rsid w:val="00F82B19"/>
    <w:rsid w:val="00F90AA7"/>
    <w:rsid w:val="00F9212D"/>
    <w:rsid w:val="00FA1CF0"/>
    <w:rsid w:val="00FA2AB4"/>
    <w:rsid w:val="00FA301A"/>
    <w:rsid w:val="00FA406A"/>
    <w:rsid w:val="00FA5CB6"/>
    <w:rsid w:val="00FB3ABE"/>
    <w:rsid w:val="00FC66AC"/>
    <w:rsid w:val="00FC718D"/>
    <w:rsid w:val="00FD18F4"/>
    <w:rsid w:val="00FD38BE"/>
    <w:rsid w:val="00FD4E9D"/>
    <w:rsid w:val="00FD6BD0"/>
    <w:rsid w:val="00FD74B4"/>
    <w:rsid w:val="00FE4088"/>
    <w:rsid w:val="00FE7B08"/>
    <w:rsid w:val="00FF4CF9"/>
    <w:rsid w:val="00FF5200"/>
    <w:rsid w:val="00FF6FCE"/>
    <w:rsid w:val="00FF7518"/>
    <w:rsid w:val="00FF7FD8"/>
    <w:rsid w:val="01054C87"/>
    <w:rsid w:val="012E315B"/>
    <w:rsid w:val="01A74FC8"/>
    <w:rsid w:val="01B43DAE"/>
    <w:rsid w:val="021567F9"/>
    <w:rsid w:val="02770FCA"/>
    <w:rsid w:val="028319E7"/>
    <w:rsid w:val="03385C36"/>
    <w:rsid w:val="03EE0781"/>
    <w:rsid w:val="043921F1"/>
    <w:rsid w:val="04904B97"/>
    <w:rsid w:val="05742AC8"/>
    <w:rsid w:val="061537C0"/>
    <w:rsid w:val="06352F05"/>
    <w:rsid w:val="063D2F0C"/>
    <w:rsid w:val="063E7D85"/>
    <w:rsid w:val="070875E0"/>
    <w:rsid w:val="07293586"/>
    <w:rsid w:val="07295285"/>
    <w:rsid w:val="074327A4"/>
    <w:rsid w:val="07770C56"/>
    <w:rsid w:val="07BF4030"/>
    <w:rsid w:val="08A17012"/>
    <w:rsid w:val="08A85E30"/>
    <w:rsid w:val="08F33929"/>
    <w:rsid w:val="090048DC"/>
    <w:rsid w:val="092217DD"/>
    <w:rsid w:val="093A7294"/>
    <w:rsid w:val="09410262"/>
    <w:rsid w:val="0BD27BF6"/>
    <w:rsid w:val="0BDD5D24"/>
    <w:rsid w:val="0C4D5E73"/>
    <w:rsid w:val="0D8B5B22"/>
    <w:rsid w:val="0DBC14D5"/>
    <w:rsid w:val="0E110D06"/>
    <w:rsid w:val="0E377341"/>
    <w:rsid w:val="0E7250B1"/>
    <w:rsid w:val="0E7E2CF7"/>
    <w:rsid w:val="0F13775A"/>
    <w:rsid w:val="0F920FA7"/>
    <w:rsid w:val="0F9A112B"/>
    <w:rsid w:val="0F9A6EC8"/>
    <w:rsid w:val="0FAC2EB1"/>
    <w:rsid w:val="0FFB00BA"/>
    <w:rsid w:val="0FFE74AF"/>
    <w:rsid w:val="10150436"/>
    <w:rsid w:val="104F456D"/>
    <w:rsid w:val="106D2F64"/>
    <w:rsid w:val="10B63710"/>
    <w:rsid w:val="10C54463"/>
    <w:rsid w:val="111C2F7A"/>
    <w:rsid w:val="113013DE"/>
    <w:rsid w:val="122B06C2"/>
    <w:rsid w:val="13951726"/>
    <w:rsid w:val="13E7784F"/>
    <w:rsid w:val="14396509"/>
    <w:rsid w:val="1447165C"/>
    <w:rsid w:val="153A15ED"/>
    <w:rsid w:val="15C134BA"/>
    <w:rsid w:val="160C28FB"/>
    <w:rsid w:val="172B6DB1"/>
    <w:rsid w:val="17735226"/>
    <w:rsid w:val="17781C86"/>
    <w:rsid w:val="177B7D38"/>
    <w:rsid w:val="17984D17"/>
    <w:rsid w:val="1850285F"/>
    <w:rsid w:val="190C4312"/>
    <w:rsid w:val="191E6BCD"/>
    <w:rsid w:val="19B3324A"/>
    <w:rsid w:val="1A1C66C0"/>
    <w:rsid w:val="1A42393B"/>
    <w:rsid w:val="1AE9320B"/>
    <w:rsid w:val="1B046F80"/>
    <w:rsid w:val="1B3267B5"/>
    <w:rsid w:val="1B9F38C9"/>
    <w:rsid w:val="1BC25DC8"/>
    <w:rsid w:val="1C5E7925"/>
    <w:rsid w:val="1C831FA6"/>
    <w:rsid w:val="1C887FC8"/>
    <w:rsid w:val="1D1050FC"/>
    <w:rsid w:val="1D196E8E"/>
    <w:rsid w:val="1D5F6196"/>
    <w:rsid w:val="1D6132A5"/>
    <w:rsid w:val="1D813BCE"/>
    <w:rsid w:val="1D8E56D5"/>
    <w:rsid w:val="1E6A1572"/>
    <w:rsid w:val="1E7A43DA"/>
    <w:rsid w:val="1EB277FE"/>
    <w:rsid w:val="1EF262CB"/>
    <w:rsid w:val="1F2468CE"/>
    <w:rsid w:val="1FE7539E"/>
    <w:rsid w:val="1FF27F62"/>
    <w:rsid w:val="20963CB8"/>
    <w:rsid w:val="20B07FB6"/>
    <w:rsid w:val="213B74B1"/>
    <w:rsid w:val="215A2310"/>
    <w:rsid w:val="21DE318A"/>
    <w:rsid w:val="21E35FF1"/>
    <w:rsid w:val="21EF5B80"/>
    <w:rsid w:val="22576990"/>
    <w:rsid w:val="22793BF3"/>
    <w:rsid w:val="229C4EAB"/>
    <w:rsid w:val="23056708"/>
    <w:rsid w:val="230D2835"/>
    <w:rsid w:val="236A61DE"/>
    <w:rsid w:val="23C61A87"/>
    <w:rsid w:val="24B06A21"/>
    <w:rsid w:val="24CC5FBB"/>
    <w:rsid w:val="24E964E8"/>
    <w:rsid w:val="252D53FE"/>
    <w:rsid w:val="253D74B2"/>
    <w:rsid w:val="258611BE"/>
    <w:rsid w:val="25EC2D81"/>
    <w:rsid w:val="260F4569"/>
    <w:rsid w:val="26265313"/>
    <w:rsid w:val="2634192A"/>
    <w:rsid w:val="264528BD"/>
    <w:rsid w:val="26901816"/>
    <w:rsid w:val="27526053"/>
    <w:rsid w:val="27CB6724"/>
    <w:rsid w:val="27D15DD1"/>
    <w:rsid w:val="27D24A91"/>
    <w:rsid w:val="28064F0C"/>
    <w:rsid w:val="28A76295"/>
    <w:rsid w:val="28B57739"/>
    <w:rsid w:val="28BE7A85"/>
    <w:rsid w:val="28ED3D5F"/>
    <w:rsid w:val="29206EB8"/>
    <w:rsid w:val="2961475C"/>
    <w:rsid w:val="297939AC"/>
    <w:rsid w:val="298712A2"/>
    <w:rsid w:val="29E325E0"/>
    <w:rsid w:val="2A452503"/>
    <w:rsid w:val="2AD0584D"/>
    <w:rsid w:val="2AE82EC3"/>
    <w:rsid w:val="2B0B4AD7"/>
    <w:rsid w:val="2BA936A8"/>
    <w:rsid w:val="2C315A5A"/>
    <w:rsid w:val="2C493CFD"/>
    <w:rsid w:val="2CEF19F3"/>
    <w:rsid w:val="2D9E56F5"/>
    <w:rsid w:val="2DC8547A"/>
    <w:rsid w:val="2E2A1457"/>
    <w:rsid w:val="2E667F96"/>
    <w:rsid w:val="2E8226AB"/>
    <w:rsid w:val="2F8306F3"/>
    <w:rsid w:val="2F832C79"/>
    <w:rsid w:val="2FEF2D58"/>
    <w:rsid w:val="30161F54"/>
    <w:rsid w:val="303E6E77"/>
    <w:rsid w:val="305234F8"/>
    <w:rsid w:val="30580BC9"/>
    <w:rsid w:val="30744C88"/>
    <w:rsid w:val="30810DAB"/>
    <w:rsid w:val="311E2ED7"/>
    <w:rsid w:val="315C449C"/>
    <w:rsid w:val="316311C9"/>
    <w:rsid w:val="31B82709"/>
    <w:rsid w:val="320A1404"/>
    <w:rsid w:val="32400B34"/>
    <w:rsid w:val="329E6876"/>
    <w:rsid w:val="33AC3853"/>
    <w:rsid w:val="33D934D4"/>
    <w:rsid w:val="33FE2F6A"/>
    <w:rsid w:val="34987671"/>
    <w:rsid w:val="358D6498"/>
    <w:rsid w:val="36074A7F"/>
    <w:rsid w:val="36724F3E"/>
    <w:rsid w:val="36923549"/>
    <w:rsid w:val="36B75FBF"/>
    <w:rsid w:val="36FB4891"/>
    <w:rsid w:val="38C61316"/>
    <w:rsid w:val="38D53ACA"/>
    <w:rsid w:val="38F12CD3"/>
    <w:rsid w:val="38F94775"/>
    <w:rsid w:val="390831CF"/>
    <w:rsid w:val="392971ED"/>
    <w:rsid w:val="396401D4"/>
    <w:rsid w:val="39BF18AF"/>
    <w:rsid w:val="3A2B15EA"/>
    <w:rsid w:val="3AEB7BE3"/>
    <w:rsid w:val="3B3763D1"/>
    <w:rsid w:val="3C5C4E7F"/>
    <w:rsid w:val="3CDA245A"/>
    <w:rsid w:val="3CEE0A37"/>
    <w:rsid w:val="3D3B0680"/>
    <w:rsid w:val="3DCC523E"/>
    <w:rsid w:val="3F056869"/>
    <w:rsid w:val="3F660E74"/>
    <w:rsid w:val="3F9B2476"/>
    <w:rsid w:val="3FF4473A"/>
    <w:rsid w:val="406805AA"/>
    <w:rsid w:val="407A6407"/>
    <w:rsid w:val="40A871F2"/>
    <w:rsid w:val="40B27A77"/>
    <w:rsid w:val="423A3BCC"/>
    <w:rsid w:val="42586B93"/>
    <w:rsid w:val="433A6FE6"/>
    <w:rsid w:val="4350713C"/>
    <w:rsid w:val="436653E0"/>
    <w:rsid w:val="436F1C50"/>
    <w:rsid w:val="43DD305D"/>
    <w:rsid w:val="44B9600C"/>
    <w:rsid w:val="44CD14E0"/>
    <w:rsid w:val="458946E9"/>
    <w:rsid w:val="45BC261E"/>
    <w:rsid w:val="46BF4BDE"/>
    <w:rsid w:val="46D25800"/>
    <w:rsid w:val="46D955A7"/>
    <w:rsid w:val="47133957"/>
    <w:rsid w:val="476F4F18"/>
    <w:rsid w:val="4779329E"/>
    <w:rsid w:val="47A07E0C"/>
    <w:rsid w:val="47D23D51"/>
    <w:rsid w:val="4870272E"/>
    <w:rsid w:val="498765BC"/>
    <w:rsid w:val="499B7E6A"/>
    <w:rsid w:val="49DC7715"/>
    <w:rsid w:val="4A023139"/>
    <w:rsid w:val="4A617D4A"/>
    <w:rsid w:val="4A7B576F"/>
    <w:rsid w:val="4A8158CA"/>
    <w:rsid w:val="4B73506B"/>
    <w:rsid w:val="4BBF129A"/>
    <w:rsid w:val="4C4A0649"/>
    <w:rsid w:val="4CE470D3"/>
    <w:rsid w:val="4D4E4C3C"/>
    <w:rsid w:val="4DEC4FB0"/>
    <w:rsid w:val="4E075D8A"/>
    <w:rsid w:val="4F330ED7"/>
    <w:rsid w:val="4F965379"/>
    <w:rsid w:val="4FC62A8C"/>
    <w:rsid w:val="4FE20F0D"/>
    <w:rsid w:val="50504C4B"/>
    <w:rsid w:val="50662F4E"/>
    <w:rsid w:val="509C0A0E"/>
    <w:rsid w:val="509C6E7C"/>
    <w:rsid w:val="5162104E"/>
    <w:rsid w:val="52F3670A"/>
    <w:rsid w:val="53A039CC"/>
    <w:rsid w:val="53A1505A"/>
    <w:rsid w:val="53FE440B"/>
    <w:rsid w:val="54056B7B"/>
    <w:rsid w:val="54063E08"/>
    <w:rsid w:val="543437E8"/>
    <w:rsid w:val="54582997"/>
    <w:rsid w:val="5481298D"/>
    <w:rsid w:val="54A606BB"/>
    <w:rsid w:val="54B152DB"/>
    <w:rsid w:val="559B174B"/>
    <w:rsid w:val="55CE0CF4"/>
    <w:rsid w:val="56A74EA0"/>
    <w:rsid w:val="56B22A9C"/>
    <w:rsid w:val="572C412E"/>
    <w:rsid w:val="57B72A76"/>
    <w:rsid w:val="590D1E7A"/>
    <w:rsid w:val="5A3C747D"/>
    <w:rsid w:val="5AA93FD1"/>
    <w:rsid w:val="5ABE2233"/>
    <w:rsid w:val="5AE96334"/>
    <w:rsid w:val="5B276D18"/>
    <w:rsid w:val="5BDF0433"/>
    <w:rsid w:val="5BDF5D95"/>
    <w:rsid w:val="5C5B0B6B"/>
    <w:rsid w:val="5CFC1DA6"/>
    <w:rsid w:val="5D347CC3"/>
    <w:rsid w:val="5D7008F2"/>
    <w:rsid w:val="5D9C768D"/>
    <w:rsid w:val="5DEC4171"/>
    <w:rsid w:val="5DF87A0F"/>
    <w:rsid w:val="5F1A2B43"/>
    <w:rsid w:val="5FB837BB"/>
    <w:rsid w:val="5FCA6734"/>
    <w:rsid w:val="60683A8A"/>
    <w:rsid w:val="613B0B2F"/>
    <w:rsid w:val="62364782"/>
    <w:rsid w:val="625D5609"/>
    <w:rsid w:val="63115BE4"/>
    <w:rsid w:val="63D40BE9"/>
    <w:rsid w:val="63E0211F"/>
    <w:rsid w:val="64746B6A"/>
    <w:rsid w:val="64A5151D"/>
    <w:rsid w:val="64DC28B3"/>
    <w:rsid w:val="64FF6E0C"/>
    <w:rsid w:val="650D11FA"/>
    <w:rsid w:val="65373578"/>
    <w:rsid w:val="66423446"/>
    <w:rsid w:val="66F56F59"/>
    <w:rsid w:val="672E6AFB"/>
    <w:rsid w:val="673F2C7A"/>
    <w:rsid w:val="67524A53"/>
    <w:rsid w:val="681F6961"/>
    <w:rsid w:val="68610A2F"/>
    <w:rsid w:val="687842A0"/>
    <w:rsid w:val="68805514"/>
    <w:rsid w:val="694E2071"/>
    <w:rsid w:val="697A3B33"/>
    <w:rsid w:val="699E2456"/>
    <w:rsid w:val="6A6E23B2"/>
    <w:rsid w:val="6ADC27D9"/>
    <w:rsid w:val="6B322639"/>
    <w:rsid w:val="6B905A67"/>
    <w:rsid w:val="6C636C38"/>
    <w:rsid w:val="6CC51300"/>
    <w:rsid w:val="6CE90C55"/>
    <w:rsid w:val="6DB34098"/>
    <w:rsid w:val="6DB545B6"/>
    <w:rsid w:val="6E4375A0"/>
    <w:rsid w:val="6E514CED"/>
    <w:rsid w:val="6E79491A"/>
    <w:rsid w:val="6EB563D5"/>
    <w:rsid w:val="6ED97BF2"/>
    <w:rsid w:val="6F225983"/>
    <w:rsid w:val="6FFC5590"/>
    <w:rsid w:val="70301DA3"/>
    <w:rsid w:val="706D1DD0"/>
    <w:rsid w:val="70856B87"/>
    <w:rsid w:val="70D527EE"/>
    <w:rsid w:val="712469B1"/>
    <w:rsid w:val="715B5300"/>
    <w:rsid w:val="715F4BD7"/>
    <w:rsid w:val="71C6521C"/>
    <w:rsid w:val="71D27F8A"/>
    <w:rsid w:val="71F744C6"/>
    <w:rsid w:val="71F960CF"/>
    <w:rsid w:val="726827A6"/>
    <w:rsid w:val="731F5D5E"/>
    <w:rsid w:val="733B3B8B"/>
    <w:rsid w:val="73B3637B"/>
    <w:rsid w:val="73B82F69"/>
    <w:rsid w:val="73C05A2C"/>
    <w:rsid w:val="73E816E2"/>
    <w:rsid w:val="74081181"/>
    <w:rsid w:val="741E793C"/>
    <w:rsid w:val="74FE0196"/>
    <w:rsid w:val="758D75E2"/>
    <w:rsid w:val="762D05B8"/>
    <w:rsid w:val="76832D41"/>
    <w:rsid w:val="76C12517"/>
    <w:rsid w:val="76DB5FC5"/>
    <w:rsid w:val="76FE2E92"/>
    <w:rsid w:val="77762421"/>
    <w:rsid w:val="780F09F4"/>
    <w:rsid w:val="789C4F47"/>
    <w:rsid w:val="78A90480"/>
    <w:rsid w:val="79503009"/>
    <w:rsid w:val="79811327"/>
    <w:rsid w:val="799C25D2"/>
    <w:rsid w:val="7A364017"/>
    <w:rsid w:val="7A8265E1"/>
    <w:rsid w:val="7ACA0C33"/>
    <w:rsid w:val="7AE30252"/>
    <w:rsid w:val="7B152B01"/>
    <w:rsid w:val="7B686D42"/>
    <w:rsid w:val="7B841746"/>
    <w:rsid w:val="7B964303"/>
    <w:rsid w:val="7BC13CD3"/>
    <w:rsid w:val="7D0239FF"/>
    <w:rsid w:val="7D203DD5"/>
    <w:rsid w:val="7D5E40CD"/>
    <w:rsid w:val="7D693BED"/>
    <w:rsid w:val="7F1D4F54"/>
    <w:rsid w:val="7F286B7B"/>
    <w:rsid w:val="7F533C54"/>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ocked="1"/>
    <w:lsdException w:qFormat="1" w:unhideWhenUsed="0" w:uiPriority="9"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0" w:semiHidden="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qFormat="1" w:unhideWhenUsed="0" w:uiPriority="99" w:semiHidden="0" w:name="index heading"/>
    <w:lsdException w:qFormat="1" w:unhideWhenUsed="0" w:uiPriority="0" w:semiHidden="0" w:name="caption" w:locked="1"/>
    <w:lsdException w:qFormat="1" w:unhideWhenUsed="0" w:uiPriority="99"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34"/>
    <w:qFormat/>
    <w:locked/>
    <w:uiPriority w:val="99"/>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locked/>
    <w:uiPriority w:val="9"/>
    <w:pPr>
      <w:keepNext/>
      <w:keepLines/>
      <w:spacing w:before="60" w:after="60"/>
      <w:ind w:firstLine="0" w:firstLineChars="0"/>
      <w:outlineLvl w:val="2"/>
    </w:pPr>
    <w:rPr>
      <w:b/>
      <w:bCs/>
      <w:kern w:val="0"/>
      <w:sz w:val="30"/>
      <w:szCs w:val="32"/>
    </w:rPr>
  </w:style>
  <w:style w:type="paragraph" w:styleId="6">
    <w:name w:val="heading 4"/>
    <w:basedOn w:val="1"/>
    <w:next w:val="1"/>
    <w:qFormat/>
    <w:locked/>
    <w:uiPriority w:val="0"/>
    <w:pPr>
      <w:keepNext/>
      <w:keepLines/>
      <w:numPr>
        <w:ilvl w:val="3"/>
        <w:numId w:val="1"/>
      </w:numPr>
      <w:spacing w:before="280" w:after="290" w:line="376" w:lineRule="atLeast"/>
      <w:ind w:left="864" w:hanging="144"/>
      <w:outlineLvl w:val="3"/>
    </w:pPr>
    <w:rPr>
      <w:rFonts w:ascii="等线 Light" w:hAnsi="等线 Light" w:eastAsia="等线 Light" w:cs="Times New Roman"/>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39"/>
    <w:qFormat/>
    <w:uiPriority w:val="0"/>
    <w:pPr>
      <w:widowControl/>
      <w:snapToGrid w:val="0"/>
      <w:spacing w:before="60" w:after="160" w:line="259" w:lineRule="auto"/>
      <w:ind w:right="113"/>
    </w:pPr>
    <w:rPr>
      <w:kern w:val="0"/>
      <w:sz w:val="18"/>
      <w:szCs w:val="18"/>
    </w:rPr>
  </w:style>
  <w:style w:type="paragraph" w:styleId="7">
    <w:name w:val="List 3"/>
    <w:basedOn w:val="1"/>
    <w:next w:val="1"/>
    <w:qFormat/>
    <w:uiPriority w:val="0"/>
    <w:pPr>
      <w:autoSpaceDE w:val="0"/>
      <w:autoSpaceDN w:val="0"/>
      <w:adjustRightInd w:val="0"/>
      <w:spacing w:line="288" w:lineRule="auto"/>
      <w:ind w:left="1260" w:hanging="420"/>
      <w:textAlignment w:val="baseline"/>
    </w:pPr>
    <w:rPr>
      <w:rFonts w:ascii="Calibri" w:hAnsi="Calibri" w:eastAsia="仿宋" w:cs="宋体"/>
      <w:szCs w:val="20"/>
    </w:rPr>
  </w:style>
  <w:style w:type="paragraph" w:styleId="8">
    <w:name w:val="Normal Indent"/>
    <w:basedOn w:val="1"/>
    <w:link w:val="69"/>
    <w:qFormat/>
    <w:uiPriority w:val="99"/>
    <w:pPr>
      <w:ind w:firstLine="420" w:firstLineChars="200"/>
    </w:pPr>
  </w:style>
  <w:style w:type="paragraph" w:styleId="9">
    <w:name w:val="caption"/>
    <w:basedOn w:val="1"/>
    <w:next w:val="1"/>
    <w:qFormat/>
    <w:locked/>
    <w:uiPriority w:val="0"/>
    <w:rPr>
      <w:rFonts w:ascii="Arial" w:hAnsi="Arial" w:eastAsia="黑体" w:cs="Arial"/>
      <w:sz w:val="20"/>
      <w:szCs w:val="20"/>
    </w:rPr>
  </w:style>
  <w:style w:type="paragraph" w:styleId="10">
    <w:name w:val="annotation text"/>
    <w:basedOn w:val="1"/>
    <w:link w:val="48"/>
    <w:semiHidden/>
    <w:qFormat/>
    <w:uiPriority w:val="0"/>
    <w:pPr>
      <w:jc w:val="left"/>
    </w:pPr>
    <w:rPr>
      <w:kern w:val="0"/>
      <w:sz w:val="20"/>
    </w:rPr>
  </w:style>
  <w:style w:type="paragraph" w:styleId="11">
    <w:name w:val="Body Text Indent"/>
    <w:basedOn w:val="1"/>
    <w:next w:val="12"/>
    <w:link w:val="50"/>
    <w:semiHidden/>
    <w:qFormat/>
    <w:uiPriority w:val="0"/>
    <w:pPr>
      <w:spacing w:after="120"/>
      <w:ind w:left="420" w:leftChars="200"/>
    </w:pPr>
  </w:style>
  <w:style w:type="paragraph" w:customStyle="1" w:styleId="12">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styleId="13">
    <w:name w:val="Plain Text"/>
    <w:basedOn w:val="1"/>
    <w:unhideWhenUsed/>
    <w:qFormat/>
    <w:uiPriority w:val="0"/>
    <w:rPr>
      <w:rFonts w:hAnsi="Courier New"/>
      <w:kern w:val="0"/>
      <w:sz w:val="20"/>
      <w:szCs w:val="21"/>
    </w:rPr>
  </w:style>
  <w:style w:type="paragraph" w:styleId="14">
    <w:name w:val="Date"/>
    <w:basedOn w:val="1"/>
    <w:next w:val="1"/>
    <w:link w:val="41"/>
    <w:qFormat/>
    <w:uiPriority w:val="0"/>
    <w:pPr>
      <w:ind w:left="100" w:leftChars="2500"/>
    </w:pPr>
    <w:rPr>
      <w:kern w:val="0"/>
      <w:sz w:val="20"/>
    </w:rPr>
  </w:style>
  <w:style w:type="paragraph" w:styleId="15">
    <w:name w:val="Body Text Indent 2"/>
    <w:basedOn w:val="1"/>
    <w:next w:val="1"/>
    <w:qFormat/>
    <w:uiPriority w:val="0"/>
    <w:pPr>
      <w:spacing w:after="120" w:line="480" w:lineRule="auto"/>
      <w:ind w:left="420" w:leftChars="200"/>
    </w:pPr>
  </w:style>
  <w:style w:type="paragraph" w:styleId="16">
    <w:name w:val="Balloon Text"/>
    <w:basedOn w:val="1"/>
    <w:link w:val="47"/>
    <w:semiHidden/>
    <w:qFormat/>
    <w:uiPriority w:val="0"/>
    <w:rPr>
      <w:sz w:val="18"/>
      <w:szCs w:val="18"/>
    </w:rPr>
  </w:style>
  <w:style w:type="paragraph" w:styleId="17">
    <w:name w:val="footer"/>
    <w:basedOn w:val="1"/>
    <w:next w:val="18"/>
    <w:link w:val="38"/>
    <w:qFormat/>
    <w:uiPriority w:val="0"/>
    <w:pPr>
      <w:tabs>
        <w:tab w:val="center" w:pos="4153"/>
        <w:tab w:val="right" w:pos="8306"/>
      </w:tabs>
      <w:snapToGrid w:val="0"/>
      <w:jc w:val="left"/>
    </w:pPr>
    <w:rPr>
      <w:sz w:val="18"/>
      <w:szCs w:val="18"/>
    </w:rPr>
  </w:style>
  <w:style w:type="paragraph" w:customStyle="1" w:styleId="18">
    <w:name w:val="报告正文"/>
    <w:basedOn w:val="19"/>
    <w:qFormat/>
    <w:uiPriority w:val="0"/>
    <w:pPr>
      <w:spacing w:line="360" w:lineRule="auto"/>
      <w:ind w:firstLine="200" w:firstLineChars="200"/>
    </w:pPr>
    <w:rPr>
      <w:rFonts w:ascii="Times New Roman" w:hAnsi="Times New Roman" w:eastAsia="宋体"/>
      <w:bCs/>
      <w:kern w:val="44"/>
      <w:sz w:val="24"/>
      <w:szCs w:val="44"/>
      <w:lang w:val="en-US" w:eastAsia="zh-CN" w:bidi="ar-SA"/>
    </w:rPr>
  </w:style>
  <w:style w:type="paragraph" w:styleId="19">
    <w:name w:val="Body Text First Indent"/>
    <w:basedOn w:val="2"/>
    <w:qFormat/>
    <w:uiPriority w:val="0"/>
    <w:pPr>
      <w:spacing w:line="460" w:lineRule="exact"/>
      <w:ind w:firstLine="420" w:firstLineChars="100"/>
    </w:pPr>
    <w:rPr>
      <w:rFonts w:eastAsia="宋体"/>
      <w:sz w:val="26"/>
      <w:szCs w:val="26"/>
    </w:rPr>
  </w:style>
  <w:style w:type="paragraph" w:styleId="20">
    <w:name w:val="header"/>
    <w:basedOn w:val="1"/>
    <w:link w:val="37"/>
    <w:qFormat/>
    <w:uiPriority w:val="0"/>
    <w:pPr>
      <w:pBdr>
        <w:bottom w:val="single" w:color="auto" w:sz="6" w:space="1"/>
      </w:pBdr>
      <w:tabs>
        <w:tab w:val="center" w:pos="4153"/>
        <w:tab w:val="right" w:pos="8306"/>
      </w:tabs>
      <w:snapToGrid w:val="0"/>
      <w:jc w:val="center"/>
    </w:pPr>
    <w:rPr>
      <w:sz w:val="18"/>
      <w:szCs w:val="18"/>
    </w:rPr>
  </w:style>
  <w:style w:type="paragraph" w:styleId="21">
    <w:name w:val="index heading"/>
    <w:basedOn w:val="1"/>
    <w:next w:val="22"/>
    <w:qFormat/>
    <w:uiPriority w:val="99"/>
    <w:rPr>
      <w:rFonts w:ascii="Arial" w:hAnsi="Arial"/>
      <w:b/>
    </w:rPr>
  </w:style>
  <w:style w:type="paragraph" w:styleId="22">
    <w:name w:val="index 1"/>
    <w:basedOn w:val="1"/>
    <w:next w:val="1"/>
    <w:qFormat/>
    <w:uiPriority w:val="0"/>
    <w:pPr>
      <w:jc w:val="center"/>
    </w:pPr>
    <w:rPr>
      <w:rFonts w:ascii="宋体" w:hAnsi="宋体"/>
      <w:kern w:val="0"/>
      <w:sz w:val="24"/>
      <w:szCs w:val="20"/>
      <w:lang w:val="zh-CN"/>
    </w:rPr>
  </w:style>
  <w:style w:type="paragraph" w:styleId="23">
    <w:name w:val="List"/>
    <w:basedOn w:val="1"/>
    <w:qFormat/>
    <w:uiPriority w:val="0"/>
    <w:pPr>
      <w:ind w:left="200" w:hanging="200" w:hangingChars="200"/>
      <w:contextualSpacing/>
    </w:pPr>
  </w:style>
  <w:style w:type="paragraph" w:styleId="24">
    <w:name w:val="index 9"/>
    <w:basedOn w:val="1"/>
    <w:next w:val="1"/>
    <w:qFormat/>
    <w:uiPriority w:val="0"/>
    <w:pPr>
      <w:ind w:left="3360"/>
    </w:pPr>
  </w:style>
  <w:style w:type="paragraph" w:styleId="25">
    <w:name w:val="table of figures"/>
    <w:next w:val="1"/>
    <w:semiHidden/>
    <w:qFormat/>
    <w:uiPriority w:val="99"/>
    <w:pPr>
      <w:widowControl w:val="0"/>
      <w:ind w:left="200" w:leftChars="200" w:hanging="200" w:hangingChars="200"/>
      <w:jc w:val="both"/>
    </w:pPr>
    <w:rPr>
      <w:rFonts w:ascii="Times New Roman" w:hAnsi="Times New Roman" w:eastAsia="宋体" w:cs="Times New Roman"/>
      <w:kern w:val="2"/>
      <w:sz w:val="21"/>
      <w:szCs w:val="21"/>
      <w:lang w:val="en-US" w:eastAsia="zh-CN" w:bidi="ar-SA"/>
    </w:rPr>
  </w:style>
  <w:style w:type="paragraph" w:styleId="26">
    <w:name w:val="Normal (Web)"/>
    <w:basedOn w:val="1"/>
    <w:link w:val="40"/>
    <w:qFormat/>
    <w:uiPriority w:val="0"/>
    <w:pPr>
      <w:widowControl/>
      <w:spacing w:before="100" w:beforeAutospacing="1" w:after="100" w:afterAutospacing="1"/>
      <w:jc w:val="left"/>
    </w:pPr>
    <w:rPr>
      <w:rFonts w:ascii="宋体" w:hAnsi="宋体"/>
      <w:kern w:val="0"/>
      <w:sz w:val="24"/>
    </w:rPr>
  </w:style>
  <w:style w:type="paragraph" w:styleId="27">
    <w:name w:val="annotation subject"/>
    <w:basedOn w:val="10"/>
    <w:next w:val="10"/>
    <w:link w:val="51"/>
    <w:semiHidden/>
    <w:qFormat/>
    <w:uiPriority w:val="0"/>
    <w:rPr>
      <w:b/>
      <w:bCs/>
    </w:rPr>
  </w:style>
  <w:style w:type="paragraph" w:styleId="28">
    <w:name w:val="Body Text First Indent 2"/>
    <w:basedOn w:val="11"/>
    <w:next w:val="19"/>
    <w:qFormat/>
    <w:uiPriority w:val="99"/>
    <w:pPr>
      <w:ind w:firstLine="420" w:firstLineChars="200"/>
    </w:pPr>
    <w:rPr>
      <w:rFonts w:ascii="宋体" w:hAnsi="宋体" w:cs="宋体"/>
      <w:kern w:val="0"/>
    </w:rPr>
  </w:style>
  <w:style w:type="table" w:styleId="30">
    <w:name w:val="Table Grid"/>
    <w:basedOn w:val="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page number"/>
    <w:basedOn w:val="31"/>
    <w:qFormat/>
    <w:uiPriority w:val="0"/>
  </w:style>
  <w:style w:type="character" w:styleId="33">
    <w:name w:val="annotation reference"/>
    <w:qFormat/>
    <w:uiPriority w:val="0"/>
    <w:rPr>
      <w:sz w:val="21"/>
    </w:rPr>
  </w:style>
  <w:style w:type="character" w:customStyle="1" w:styleId="34">
    <w:name w:val="标题 2 字符"/>
    <w:link w:val="4"/>
    <w:qFormat/>
    <w:uiPriority w:val="99"/>
    <w:rPr>
      <w:rFonts w:ascii="Arial" w:hAnsi="Arial" w:eastAsia="黑体"/>
      <w:b/>
      <w:bCs/>
      <w:kern w:val="2"/>
      <w:sz w:val="32"/>
      <w:szCs w:val="32"/>
    </w:rPr>
  </w:style>
  <w:style w:type="paragraph" w:customStyle="1" w:styleId="35">
    <w:name w:val="表内字"/>
    <w:basedOn w:val="36"/>
    <w:link w:val="68"/>
    <w:qFormat/>
    <w:uiPriority w:val="0"/>
    <w:pPr>
      <w:autoSpaceDE w:val="0"/>
      <w:autoSpaceDN w:val="0"/>
      <w:adjustRightInd w:val="0"/>
      <w:snapToGrid w:val="0"/>
      <w:spacing w:line="288" w:lineRule="auto"/>
      <w:ind w:left="0" w:firstLine="0" w:firstLineChars="0"/>
      <w:contextualSpacing w:val="0"/>
      <w:jc w:val="center"/>
    </w:pPr>
    <w:rPr>
      <w:rFonts w:ascii="Tahoma" w:hAnsi="Tahoma"/>
      <w:kern w:val="0"/>
      <w:szCs w:val="21"/>
    </w:rPr>
  </w:style>
  <w:style w:type="paragraph" w:customStyle="1" w:styleId="36">
    <w:name w:val="表内123"/>
    <w:basedOn w:val="1"/>
    <w:qFormat/>
    <w:uiPriority w:val="0"/>
    <w:pPr>
      <w:spacing w:line="240" w:lineRule="auto"/>
      <w:jc w:val="center"/>
    </w:pPr>
    <w:rPr>
      <w:szCs w:val="21"/>
    </w:rPr>
  </w:style>
  <w:style w:type="character" w:customStyle="1" w:styleId="37">
    <w:name w:val="页眉 字符"/>
    <w:link w:val="20"/>
    <w:qFormat/>
    <w:locked/>
    <w:uiPriority w:val="0"/>
    <w:rPr>
      <w:rFonts w:cs="Times New Roman"/>
      <w:sz w:val="18"/>
      <w:szCs w:val="18"/>
    </w:rPr>
  </w:style>
  <w:style w:type="character" w:customStyle="1" w:styleId="38">
    <w:name w:val="页脚 字符"/>
    <w:link w:val="17"/>
    <w:qFormat/>
    <w:locked/>
    <w:uiPriority w:val="0"/>
    <w:rPr>
      <w:rFonts w:cs="Times New Roman"/>
      <w:sz w:val="18"/>
      <w:szCs w:val="18"/>
    </w:rPr>
  </w:style>
  <w:style w:type="character" w:customStyle="1" w:styleId="39">
    <w:name w:val="正文文本 字符"/>
    <w:link w:val="2"/>
    <w:qFormat/>
    <w:locked/>
    <w:uiPriority w:val="0"/>
    <w:rPr>
      <w:sz w:val="18"/>
    </w:rPr>
  </w:style>
  <w:style w:type="character" w:customStyle="1" w:styleId="40">
    <w:name w:val="普通(网站) 字符"/>
    <w:link w:val="26"/>
    <w:qFormat/>
    <w:locked/>
    <w:uiPriority w:val="0"/>
    <w:rPr>
      <w:rFonts w:ascii="宋体" w:hAnsi="宋体" w:eastAsia="宋体"/>
      <w:sz w:val="24"/>
    </w:rPr>
  </w:style>
  <w:style w:type="character" w:customStyle="1" w:styleId="41">
    <w:name w:val="日期 字符1"/>
    <w:link w:val="14"/>
    <w:qFormat/>
    <w:locked/>
    <w:uiPriority w:val="0"/>
    <w:rPr>
      <w:rFonts w:ascii="Times New Roman" w:hAnsi="Times New Roman" w:eastAsia="宋体"/>
      <w:sz w:val="24"/>
    </w:rPr>
  </w:style>
  <w:style w:type="character" w:customStyle="1" w:styleId="42">
    <w:name w:val="日期 字符"/>
    <w:semiHidden/>
    <w:qFormat/>
    <w:uiPriority w:val="0"/>
    <w:rPr>
      <w:rFonts w:ascii="Times New Roman" w:hAnsi="Times New Roman" w:eastAsia="宋体" w:cs="Times New Roman"/>
      <w:sz w:val="24"/>
      <w:szCs w:val="24"/>
    </w:rPr>
  </w:style>
  <w:style w:type="character" w:customStyle="1" w:styleId="43">
    <w:name w:val="正文文本 字符1"/>
    <w:semiHidden/>
    <w:qFormat/>
    <w:uiPriority w:val="0"/>
    <w:rPr>
      <w:rFonts w:ascii="Times New Roman" w:hAnsi="Times New Roman" w:eastAsia="宋体" w:cs="Times New Roman"/>
      <w:sz w:val="24"/>
      <w:szCs w:val="24"/>
    </w:rPr>
  </w:style>
  <w:style w:type="paragraph" w:customStyle="1" w:styleId="44">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45">
    <w:name w:val="表格 Char"/>
    <w:link w:val="46"/>
    <w:qFormat/>
    <w:locked/>
    <w:uiPriority w:val="0"/>
    <w:rPr>
      <w:rFonts w:ascii="宋体"/>
      <w:sz w:val="21"/>
    </w:rPr>
  </w:style>
  <w:style w:type="paragraph" w:customStyle="1" w:styleId="46">
    <w:name w:val="表格"/>
    <w:basedOn w:val="1"/>
    <w:next w:val="1"/>
    <w:link w:val="45"/>
    <w:qFormat/>
    <w:uiPriority w:val="0"/>
    <w:pPr>
      <w:adjustRightInd w:val="0"/>
      <w:snapToGrid w:val="0"/>
      <w:spacing w:beforeLines="10" w:afterLines="10" w:line="259" w:lineRule="auto"/>
      <w:jc w:val="center"/>
    </w:pPr>
    <w:rPr>
      <w:rFonts w:ascii="宋体"/>
      <w:kern w:val="0"/>
      <w:sz w:val="20"/>
      <w:szCs w:val="21"/>
    </w:rPr>
  </w:style>
  <w:style w:type="character" w:customStyle="1" w:styleId="47">
    <w:name w:val="批注框文本 字符"/>
    <w:link w:val="16"/>
    <w:semiHidden/>
    <w:qFormat/>
    <w:locked/>
    <w:uiPriority w:val="0"/>
    <w:rPr>
      <w:rFonts w:ascii="Times New Roman" w:hAnsi="Times New Roman" w:eastAsia="宋体" w:cs="Times New Roman"/>
      <w:sz w:val="18"/>
      <w:szCs w:val="18"/>
    </w:rPr>
  </w:style>
  <w:style w:type="character" w:customStyle="1" w:styleId="48">
    <w:name w:val="批注文字 字符"/>
    <w:link w:val="10"/>
    <w:qFormat/>
    <w:locked/>
    <w:uiPriority w:val="0"/>
    <w:rPr>
      <w:rFonts w:ascii="Times New Roman" w:hAnsi="Times New Roman" w:eastAsia="宋体"/>
      <w:sz w:val="24"/>
    </w:rPr>
  </w:style>
  <w:style w:type="character" w:customStyle="1" w:styleId="49">
    <w:name w:val="批注文字 字符1"/>
    <w:semiHidden/>
    <w:qFormat/>
    <w:uiPriority w:val="0"/>
    <w:rPr>
      <w:rFonts w:ascii="Times New Roman" w:hAnsi="Times New Roman" w:eastAsia="宋体" w:cs="Times New Roman"/>
      <w:sz w:val="24"/>
      <w:szCs w:val="24"/>
    </w:rPr>
  </w:style>
  <w:style w:type="character" w:customStyle="1" w:styleId="50">
    <w:name w:val="正文文本缩进 字符"/>
    <w:link w:val="11"/>
    <w:semiHidden/>
    <w:qFormat/>
    <w:locked/>
    <w:uiPriority w:val="0"/>
    <w:rPr>
      <w:rFonts w:ascii="Times New Roman" w:hAnsi="Times New Roman" w:eastAsia="宋体" w:cs="Times New Roman"/>
      <w:sz w:val="24"/>
      <w:szCs w:val="24"/>
    </w:rPr>
  </w:style>
  <w:style w:type="character" w:customStyle="1" w:styleId="51">
    <w:name w:val="批注主题 字符"/>
    <w:link w:val="27"/>
    <w:semiHidden/>
    <w:qFormat/>
    <w:locked/>
    <w:uiPriority w:val="0"/>
    <w:rPr>
      <w:rFonts w:ascii="Times New Roman" w:hAnsi="Times New Roman" w:eastAsia="宋体" w:cs="Times New Roman"/>
      <w:b/>
      <w:bCs/>
      <w:kern w:val="2"/>
      <w:sz w:val="24"/>
      <w:szCs w:val="24"/>
    </w:rPr>
  </w:style>
  <w:style w:type="character" w:customStyle="1" w:styleId="52">
    <w:name w:val="普通(网站) Char"/>
    <w:qFormat/>
    <w:locked/>
    <w:uiPriority w:val="0"/>
    <w:rPr>
      <w:rFonts w:ascii="宋体" w:hAnsi="宋体" w:eastAsia="宋体"/>
      <w:sz w:val="24"/>
    </w:rPr>
  </w:style>
  <w:style w:type="character" w:customStyle="1" w:styleId="53">
    <w:name w:val="正文～～ Char"/>
    <w:link w:val="54"/>
    <w:qFormat/>
    <w:uiPriority w:val="0"/>
    <w:rPr>
      <w:rFonts w:eastAsia="仿宋_GB2312"/>
      <w:sz w:val="28"/>
      <w:szCs w:val="28"/>
    </w:rPr>
  </w:style>
  <w:style w:type="paragraph" w:customStyle="1" w:styleId="54">
    <w:name w:val="正文～～"/>
    <w:basedOn w:val="1"/>
    <w:link w:val="53"/>
    <w:qFormat/>
    <w:uiPriority w:val="0"/>
    <w:pPr>
      <w:spacing w:line="560" w:lineRule="exact"/>
      <w:ind w:firstLine="200" w:firstLineChars="200"/>
      <w:textAlignment w:val="baseline"/>
    </w:pPr>
    <w:rPr>
      <w:rFonts w:eastAsia="仿宋_GB2312"/>
      <w:kern w:val="0"/>
      <w:sz w:val="28"/>
      <w:szCs w:val="28"/>
    </w:rPr>
  </w:style>
  <w:style w:type="paragraph" w:customStyle="1" w:styleId="55">
    <w:name w:val="Default"/>
    <w:next w:val="7"/>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6">
    <w:name w:val="样式 公正文 + 首行缩进:  2 字符5"/>
    <w:basedOn w:val="1"/>
    <w:link w:val="57"/>
    <w:qFormat/>
    <w:uiPriority w:val="0"/>
    <w:pPr>
      <w:widowControl/>
      <w:adjustRightInd w:val="0"/>
      <w:snapToGrid w:val="0"/>
      <w:spacing w:line="355" w:lineRule="auto"/>
      <w:ind w:firstLine="560" w:firstLineChars="200"/>
      <w:jc w:val="left"/>
    </w:pPr>
    <w:rPr>
      <w:rFonts w:ascii="宋体" w:hAnsi="宋体" w:eastAsia="仿宋_GB2312" w:cs="宋体"/>
      <w:sz w:val="28"/>
    </w:rPr>
  </w:style>
  <w:style w:type="character" w:customStyle="1" w:styleId="57">
    <w:name w:val="样式 公正文 + 首行缩进:  2 字符5 Char"/>
    <w:link w:val="56"/>
    <w:qFormat/>
    <w:uiPriority w:val="0"/>
    <w:rPr>
      <w:rFonts w:ascii="宋体" w:hAnsi="宋体" w:eastAsia="仿宋_GB2312" w:cs="宋体"/>
      <w:kern w:val="2"/>
      <w:sz w:val="28"/>
      <w:szCs w:val="24"/>
    </w:rPr>
  </w:style>
  <w:style w:type="paragraph" w:customStyle="1" w:styleId="58">
    <w:name w:val="样式14"/>
    <w:basedOn w:val="1"/>
    <w:link w:val="59"/>
    <w:qFormat/>
    <w:uiPriority w:val="0"/>
    <w:pPr>
      <w:widowControl/>
      <w:adjustRightInd w:val="0"/>
      <w:snapToGrid w:val="0"/>
      <w:spacing w:line="300" w:lineRule="auto"/>
      <w:ind w:firstLine="241" w:firstLineChars="100"/>
      <w:jc w:val="left"/>
    </w:pPr>
    <w:rPr>
      <w:rFonts w:ascii="黑体" w:eastAsia="黑体"/>
      <w:sz w:val="24"/>
    </w:rPr>
  </w:style>
  <w:style w:type="character" w:customStyle="1" w:styleId="59">
    <w:name w:val="样式14 Char"/>
    <w:link w:val="58"/>
    <w:qFormat/>
    <w:uiPriority w:val="0"/>
    <w:rPr>
      <w:rFonts w:ascii="黑体" w:eastAsia="黑体"/>
      <w:kern w:val="2"/>
      <w:sz w:val="24"/>
      <w:szCs w:val="24"/>
    </w:rPr>
  </w:style>
  <w:style w:type="character" w:customStyle="1" w:styleId="60">
    <w:name w:val="公表文 Char"/>
    <w:link w:val="61"/>
    <w:qFormat/>
    <w:uiPriority w:val="0"/>
    <w:rPr>
      <w:rFonts w:ascii="宋体" w:hAnsi="宋体" w:eastAsia="楷体_GB2312"/>
      <w:kern w:val="2"/>
      <w:sz w:val="21"/>
      <w:szCs w:val="24"/>
    </w:rPr>
  </w:style>
  <w:style w:type="paragraph" w:customStyle="1" w:styleId="61">
    <w:name w:val="公表文"/>
    <w:basedOn w:val="1"/>
    <w:link w:val="60"/>
    <w:qFormat/>
    <w:uiPriority w:val="0"/>
    <w:pPr>
      <w:adjustRightInd w:val="0"/>
      <w:snapToGrid w:val="0"/>
      <w:spacing w:beforeLines="20" w:afterLines="20"/>
      <w:jc w:val="center"/>
    </w:pPr>
    <w:rPr>
      <w:rFonts w:ascii="宋体" w:hAnsi="宋体" w:eastAsia="楷体_GB2312"/>
    </w:rPr>
  </w:style>
  <w:style w:type="paragraph" w:styleId="62">
    <w:name w:val="List Paragraph"/>
    <w:basedOn w:val="1"/>
    <w:qFormat/>
    <w:uiPriority w:val="34"/>
    <w:pPr>
      <w:ind w:firstLine="420" w:firstLineChars="200"/>
    </w:pPr>
  </w:style>
  <w:style w:type="character" w:customStyle="1" w:styleId="63">
    <w:name w:val="样式 公正文 + 首行缩进:  2 字符4 Char"/>
    <w:link w:val="64"/>
    <w:qFormat/>
    <w:uiPriority w:val="0"/>
    <w:rPr>
      <w:rFonts w:ascii="宋体" w:hAnsi="宋体" w:eastAsia="仿宋_GB2312" w:cs="宋体"/>
      <w:kern w:val="2"/>
      <w:sz w:val="28"/>
      <w:szCs w:val="24"/>
    </w:rPr>
  </w:style>
  <w:style w:type="paragraph" w:customStyle="1" w:styleId="64">
    <w:name w:val="样式 公正文 + 首行缩进:  2 字符4"/>
    <w:basedOn w:val="1"/>
    <w:link w:val="63"/>
    <w:qFormat/>
    <w:uiPriority w:val="0"/>
    <w:pPr>
      <w:adjustRightInd w:val="0"/>
      <w:snapToGrid w:val="0"/>
      <w:spacing w:line="355" w:lineRule="auto"/>
      <w:ind w:firstLine="560" w:firstLineChars="200"/>
    </w:pPr>
    <w:rPr>
      <w:rFonts w:ascii="宋体" w:hAnsi="宋体" w:eastAsia="仿宋_GB2312" w:cs="宋体"/>
      <w:sz w:val="28"/>
    </w:rPr>
  </w:style>
  <w:style w:type="paragraph" w:customStyle="1" w:styleId="65">
    <w:name w:val="样式 公正文（ + 黑色 首行缩进:  1.63 字符"/>
    <w:basedOn w:val="1"/>
    <w:qFormat/>
    <w:uiPriority w:val="0"/>
    <w:pPr>
      <w:widowControl/>
      <w:adjustRightInd w:val="0"/>
      <w:snapToGrid w:val="0"/>
      <w:spacing w:line="355" w:lineRule="auto"/>
      <w:ind w:firstLine="200" w:firstLineChars="200"/>
    </w:pPr>
    <w:rPr>
      <w:rFonts w:ascii="宋体" w:hAnsi="宋体" w:eastAsia="仿宋_GB2312" w:cs="宋体"/>
      <w:color w:val="000000"/>
      <w:sz w:val="28"/>
      <w:szCs w:val="20"/>
    </w:rPr>
  </w:style>
  <w:style w:type="character" w:customStyle="1" w:styleId="66">
    <w:name w:val="公正文 Char"/>
    <w:link w:val="67"/>
    <w:qFormat/>
    <w:uiPriority w:val="0"/>
    <w:rPr>
      <w:rFonts w:ascii="宋体" w:hAnsi="宋体" w:eastAsia="仿宋_GB2312"/>
      <w:kern w:val="2"/>
      <w:sz w:val="28"/>
      <w:szCs w:val="24"/>
    </w:rPr>
  </w:style>
  <w:style w:type="paragraph" w:customStyle="1" w:styleId="67">
    <w:name w:val="公正文"/>
    <w:basedOn w:val="8"/>
    <w:link w:val="66"/>
    <w:qFormat/>
    <w:uiPriority w:val="0"/>
    <w:pPr>
      <w:adjustRightInd w:val="0"/>
      <w:snapToGrid w:val="0"/>
      <w:spacing w:line="355" w:lineRule="auto"/>
      <w:ind w:firstLine="200"/>
    </w:pPr>
    <w:rPr>
      <w:rFonts w:ascii="宋体" w:hAnsi="宋体" w:eastAsia="仿宋_GB2312"/>
      <w:sz w:val="28"/>
    </w:rPr>
  </w:style>
  <w:style w:type="character" w:customStyle="1" w:styleId="68">
    <w:name w:val="表内字 Char Char"/>
    <w:link w:val="35"/>
    <w:qFormat/>
    <w:uiPriority w:val="0"/>
    <w:rPr>
      <w:rFonts w:ascii="Tahoma" w:hAnsi="Tahoma"/>
      <w:sz w:val="21"/>
      <w:szCs w:val="21"/>
    </w:rPr>
  </w:style>
  <w:style w:type="character" w:customStyle="1" w:styleId="69">
    <w:name w:val="正文缩进 字符"/>
    <w:link w:val="8"/>
    <w:qFormat/>
    <w:uiPriority w:val="99"/>
    <w:rPr>
      <w:kern w:val="2"/>
      <w:sz w:val="21"/>
      <w:szCs w:val="24"/>
    </w:rPr>
  </w:style>
  <w:style w:type="paragraph" w:customStyle="1" w:styleId="70">
    <w:name w:val="表格内容"/>
    <w:qFormat/>
    <w:uiPriority w:val="0"/>
    <w:pPr>
      <w:jc w:val="center"/>
    </w:pPr>
    <w:rPr>
      <w:rFonts w:ascii="宋体" w:hAnsi="Times New Roman" w:eastAsia="宋体" w:cs="Times New Roman"/>
      <w:kern w:val="2"/>
      <w:sz w:val="21"/>
      <w:szCs w:val="21"/>
      <w:lang w:val="en-US" w:eastAsia="zh-CN" w:bidi="ar-SA"/>
    </w:rPr>
  </w:style>
  <w:style w:type="paragraph" w:customStyle="1" w:styleId="71">
    <w:name w:val="表格文字"/>
    <w:basedOn w:val="1"/>
    <w:next w:val="1"/>
    <w:qFormat/>
    <w:uiPriority w:val="0"/>
    <w:pPr>
      <w:spacing w:line="300" w:lineRule="exact"/>
      <w:jc w:val="center"/>
    </w:pPr>
    <w:rPr>
      <w:bCs/>
      <w:sz w:val="21"/>
      <w:szCs w:val="21"/>
    </w:rPr>
  </w:style>
  <w:style w:type="paragraph" w:customStyle="1" w:styleId="72">
    <w:name w:val="新格式表"/>
    <w:basedOn w:val="1"/>
    <w:qFormat/>
    <w:uiPriority w:val="0"/>
    <w:pPr>
      <w:spacing w:line="360" w:lineRule="exact"/>
      <w:jc w:val="center"/>
    </w:pPr>
    <w:rPr>
      <w:rFonts w:ascii="ˎ̥" w:hAnsi="ˎ̥"/>
      <w:color w:val="000000"/>
    </w:rPr>
  </w:style>
  <w:style w:type="paragraph" w:customStyle="1" w:styleId="73">
    <w:name w:val="表头1"/>
    <w:basedOn w:val="74"/>
    <w:qFormat/>
    <w:uiPriority w:val="0"/>
    <w:pPr>
      <w:adjustRightInd w:val="0"/>
      <w:snapToGrid w:val="0"/>
      <w:spacing w:beforeLines="100"/>
      <w:jc w:val="left"/>
    </w:pPr>
    <w:rPr>
      <w:rFonts w:ascii="Times New Roman" w:hAnsi="Times New Roman"/>
      <w:color w:val="000000"/>
      <w:sz w:val="26"/>
    </w:rPr>
  </w:style>
  <w:style w:type="paragraph" w:customStyle="1" w:styleId="74">
    <w:name w:val="表头"/>
    <w:basedOn w:val="75"/>
    <w:qFormat/>
    <w:uiPriority w:val="0"/>
    <w:pPr>
      <w:jc w:val="center"/>
    </w:pPr>
    <w:rPr>
      <w:rFonts w:eastAsia="汉鼎简中黑"/>
    </w:rPr>
  </w:style>
  <w:style w:type="paragraph" w:customStyle="1" w:styleId="75">
    <w:name w:val="表格标题"/>
    <w:basedOn w:val="76"/>
    <w:qFormat/>
    <w:uiPriority w:val="0"/>
    <w:pPr>
      <w:widowControl/>
      <w:ind w:firstLine="482"/>
      <w:jc w:val="center"/>
    </w:pPr>
    <w:rPr>
      <w:rFonts w:ascii="Times New Roman" w:hAnsi="Times New Roman" w:eastAsia="宋体"/>
      <w:b/>
      <w:kern w:val="0"/>
      <w:sz w:val="24"/>
      <w:szCs w:val="21"/>
    </w:rPr>
  </w:style>
  <w:style w:type="paragraph" w:customStyle="1" w:styleId="76">
    <w:name w:val="正文样式 Char"/>
    <w:basedOn w:val="1"/>
    <w:qFormat/>
    <w:uiPriority w:val="0"/>
    <w:pPr>
      <w:adjustRightInd w:val="0"/>
      <w:snapToGrid w:val="0"/>
      <w:spacing w:line="460" w:lineRule="exact"/>
      <w:ind w:firstLine="200" w:firstLineChars="200"/>
    </w:pPr>
    <w:rPr>
      <w:color w:val="000000"/>
      <w:sz w:val="26"/>
      <w:szCs w:val="26"/>
    </w:rPr>
  </w:style>
  <w:style w:type="paragraph" w:customStyle="1" w:styleId="77">
    <w:name w:val="表内字1"/>
    <w:basedOn w:val="1"/>
    <w:qFormat/>
    <w:uiPriority w:val="0"/>
    <w:pPr>
      <w:adjustRightInd w:val="0"/>
      <w:snapToGrid w:val="0"/>
      <w:spacing w:line="300" w:lineRule="exact"/>
      <w:jc w:val="center"/>
    </w:pPr>
    <w:rPr>
      <w:color w:val="000000"/>
      <w:sz w:val="22"/>
      <w:szCs w:val="21"/>
    </w:rPr>
  </w:style>
  <w:style w:type="paragraph" w:customStyle="1" w:styleId="78">
    <w:name w:val="首行缩进正文"/>
    <w:basedOn w:val="1"/>
    <w:qFormat/>
    <w:uiPriority w:val="0"/>
    <w:pPr>
      <w:spacing w:line="360" w:lineRule="auto"/>
      <w:ind w:firstLine="480" w:firstLineChars="200"/>
    </w:pPr>
    <w:rPr>
      <w:sz w:val="24"/>
    </w:rPr>
  </w:style>
  <w:style w:type="table" w:customStyle="1" w:styleId="79">
    <w:name w:val="网格型211"/>
    <w:basedOn w:val="29"/>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0">
    <w:name w:val="正 文～"/>
    <w:basedOn w:val="8"/>
    <w:qFormat/>
    <w:uiPriority w:val="0"/>
    <w:pPr>
      <w:spacing w:line="560" w:lineRule="exact"/>
      <w:ind w:firstLine="200"/>
      <w:textAlignment w:val="baseline"/>
    </w:pPr>
    <w:rPr>
      <w:rFonts w:ascii="仿宋_GB2312" w:hAnsi="仿宋_GB2312" w:eastAsia="仿宋_GB2312"/>
      <w:kern w:val="0"/>
      <w:szCs w:val="28"/>
    </w:rPr>
  </w:style>
  <w:style w:type="paragraph" w:customStyle="1" w:styleId="81">
    <w:name w:val="样式 样式 正文缩进 + (符号) 宋体 小四 首行缩进:  2 字符 行距: 固定值 22 磅1 + 首行缩进:  2 字符"/>
    <w:basedOn w:val="82"/>
    <w:qFormat/>
    <w:uiPriority w:val="0"/>
    <w:pPr>
      <w:ind w:firstLine="432"/>
    </w:pPr>
    <w:rPr>
      <w:sz w:val="24"/>
      <w:szCs w:val="24"/>
    </w:rPr>
  </w:style>
  <w:style w:type="paragraph" w:customStyle="1" w:styleId="82">
    <w:name w:val="样式 正文缩进 + (符号) 宋体 小四 首行缩进:  2 字符 行距: 固定值 22 磅1"/>
    <w:basedOn w:val="8"/>
    <w:qFormat/>
    <w:uiPriority w:val="0"/>
    <w:pPr>
      <w:spacing w:line="260" w:lineRule="exact"/>
      <w:ind w:left="210" w:right="210"/>
    </w:pPr>
    <w:rPr>
      <w:rFonts w:hAnsi="宋体" w:cs="宋体"/>
      <w:sz w:val="21"/>
      <w:szCs w:val="21"/>
    </w:rPr>
  </w:style>
  <w:style w:type="paragraph" w:customStyle="1" w:styleId="83">
    <w:name w:val="样式 样式16 + 首行缩进:  2 字符"/>
    <w:basedOn w:val="1"/>
    <w:qFormat/>
    <w:uiPriority w:val="0"/>
    <w:pPr>
      <w:adjustRightInd w:val="0"/>
      <w:spacing w:line="352" w:lineRule="auto"/>
      <w:ind w:firstLine="560" w:firstLineChars="200"/>
    </w:pPr>
    <w:rPr>
      <w:rFonts w:ascii="宋体" w:hAnsi="宋体" w:eastAsia="仿宋_GB2312" w:cs="宋体"/>
      <w:sz w:val="28"/>
    </w:rPr>
  </w:style>
  <w:style w:type="paragraph" w:customStyle="1" w:styleId="84">
    <w:name w:val="报告"/>
    <w:basedOn w:val="1"/>
    <w:qFormat/>
    <w:uiPriority w:val="0"/>
    <w:pPr>
      <w:spacing w:line="460" w:lineRule="exact"/>
      <w:ind w:firstLine="200" w:firstLineChars="200"/>
    </w:pPr>
    <w:rPr>
      <w:sz w:val="24"/>
      <w:szCs w:val="22"/>
    </w:rPr>
  </w:style>
  <w:style w:type="paragraph" w:customStyle="1" w:styleId="85">
    <w:name w:val="样式 宋体 首行缩进:  0.85 厘米 行距: 1.5 倍行距"/>
    <w:basedOn w:val="1"/>
    <w:qFormat/>
    <w:uiPriority w:val="0"/>
    <w:pPr>
      <w:spacing w:line="360" w:lineRule="auto"/>
      <w:ind w:firstLine="200" w:firstLineChars="200"/>
    </w:pPr>
    <w:rPr>
      <w:rFonts w:ascii="宋体" w:hAnsi="宋体" w:cs="宋体"/>
      <w:sz w:val="24"/>
    </w:rPr>
  </w:style>
  <w:style w:type="paragraph" w:customStyle="1" w:styleId="86">
    <w:name w:val="正文文字1"/>
    <w:basedOn w:val="1"/>
    <w:qFormat/>
    <w:uiPriority w:val="0"/>
    <w:pPr>
      <w:spacing w:line="360" w:lineRule="auto"/>
      <w:ind w:firstLine="480" w:firstLineChars="200"/>
    </w:pPr>
    <w:rPr>
      <w:rFonts w:eastAsia="华文中宋"/>
      <w:sz w:val="24"/>
    </w:rPr>
  </w:style>
  <w:style w:type="paragraph" w:customStyle="1" w:styleId="87">
    <w:name w:val="01正文"/>
    <w:basedOn w:val="1"/>
    <w:qFormat/>
    <w:uiPriority w:val="0"/>
    <w:pPr>
      <w:adjustRightInd w:val="0"/>
      <w:snapToGrid w:val="0"/>
      <w:spacing w:line="480" w:lineRule="exact"/>
      <w:ind w:firstLine="520" w:firstLineChars="200"/>
    </w:pPr>
    <w:rPr>
      <w:sz w:val="26"/>
      <w:szCs w:val="26"/>
    </w:rPr>
  </w:style>
  <w:style w:type="paragraph" w:customStyle="1" w:styleId="88">
    <w:name w:val="正文（首行缩进2字）"/>
    <w:basedOn w:val="1"/>
    <w:qFormat/>
    <w:uiPriority w:val="0"/>
    <w:pPr>
      <w:spacing w:line="460" w:lineRule="exact"/>
      <w:ind w:firstLine="480" w:firstLineChars="200"/>
    </w:pPr>
    <w:rPr>
      <w:color w:val="000000"/>
      <w:sz w:val="24"/>
    </w:rPr>
  </w:style>
  <w:style w:type="paragraph" w:customStyle="1" w:styleId="89">
    <w:name w:val="排版正文"/>
    <w:basedOn w:val="1"/>
    <w:qFormat/>
    <w:uiPriority w:val="0"/>
    <w:pPr>
      <w:adjustRightInd w:val="0"/>
      <w:snapToGrid w:val="0"/>
      <w:spacing w:line="460" w:lineRule="exact"/>
      <w:ind w:firstLine="520" w:firstLineChars="200"/>
    </w:pPr>
    <w:rPr>
      <w:color w:val="000000"/>
      <w:sz w:val="26"/>
    </w:rPr>
  </w:style>
  <w:style w:type="paragraph" w:customStyle="1" w:styleId="90">
    <w:name w:val="0正文"/>
    <w:basedOn w:val="1"/>
    <w:qFormat/>
    <w:uiPriority w:val="0"/>
    <w:pPr>
      <w:adjustRightInd w:val="0"/>
      <w:snapToGrid w:val="0"/>
      <w:spacing w:line="460" w:lineRule="exact"/>
      <w:ind w:firstLine="200" w:firstLineChars="200"/>
    </w:pPr>
    <w:rPr>
      <w:color w:val="000000"/>
      <w:sz w:val="26"/>
      <w:szCs w:val="26"/>
    </w:rPr>
  </w:style>
  <w:style w:type="paragraph" w:customStyle="1" w:styleId="91">
    <w:name w:val="忠庆正文"/>
    <w:basedOn w:val="92"/>
    <w:qFormat/>
    <w:uiPriority w:val="0"/>
    <w:pPr>
      <w:spacing w:line="460" w:lineRule="exact"/>
      <w:ind w:firstLine="200" w:firstLineChars="200"/>
    </w:pPr>
    <w:rPr>
      <w:sz w:val="26"/>
    </w:rPr>
  </w:style>
  <w:style w:type="paragraph" w:customStyle="1" w:styleId="92">
    <w:name w:val="忠庆表格"/>
    <w:basedOn w:val="93"/>
    <w:qFormat/>
    <w:uiPriority w:val="0"/>
    <w:rPr>
      <w:sz w:val="22"/>
    </w:rPr>
  </w:style>
  <w:style w:type="paragraph" w:customStyle="1" w:styleId="93">
    <w:name w:val="No Spacing"/>
    <w:qFormat/>
    <w:uiPriority w:val="0"/>
    <w:pPr>
      <w:widowControl w:val="0"/>
      <w:spacing w:before="50" w:beforeLines="50" w:line="400" w:lineRule="exact"/>
      <w:jc w:val="center"/>
      <w:outlineLvl w:val="4"/>
    </w:pPr>
    <w:rPr>
      <w:rFonts w:ascii="Times New Roman" w:hAnsi="Times New Roman" w:eastAsia="宋体" w:cs="Times New Roman"/>
      <w:sz w:val="24"/>
      <w:szCs w:val="24"/>
      <w:lang w:val="en-US" w:eastAsia="zh-CN" w:bidi="ar-SA"/>
    </w:rPr>
  </w:style>
  <w:style w:type="paragraph" w:customStyle="1" w:styleId="94">
    <w:name w:val="报告表文本"/>
    <w:basedOn w:val="1"/>
    <w:qFormat/>
    <w:uiPriority w:val="0"/>
    <w:pPr>
      <w:autoSpaceDE w:val="0"/>
      <w:autoSpaceDN w:val="0"/>
      <w:adjustRightInd w:val="0"/>
      <w:snapToGrid w:val="0"/>
      <w:spacing w:line="360" w:lineRule="auto"/>
      <w:ind w:firstLine="720" w:firstLineChars="200"/>
    </w:pPr>
    <w:rPr>
      <w:kern w:val="0"/>
      <w:szCs w:val="21"/>
    </w:rPr>
  </w:style>
  <w:style w:type="paragraph" w:customStyle="1" w:styleId="95">
    <w:name w:val="正文111111111"/>
    <w:basedOn w:val="1"/>
    <w:qFormat/>
    <w:uiPriority w:val="0"/>
    <w:pPr>
      <w:spacing w:line="360" w:lineRule="auto"/>
      <w:ind w:firstLine="200" w:firstLineChars="200"/>
    </w:pPr>
    <w:rPr>
      <w:sz w:val="24"/>
      <w:szCs w:val="21"/>
    </w:rPr>
  </w:style>
  <w:style w:type="paragraph" w:customStyle="1" w:styleId="96">
    <w:name w:val="Table Paragraph"/>
    <w:basedOn w:val="1"/>
    <w:qFormat/>
    <w:uiPriority w:val="1"/>
    <w:rPr>
      <w:rFonts w:ascii="宋体" w:hAnsi="宋体" w:cs="宋体"/>
      <w:lang w:val="zh-CN" w:bidi="zh-CN"/>
    </w:rPr>
  </w:style>
  <w:style w:type="paragraph" w:customStyle="1" w:styleId="97">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98">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99">
    <w:name w:val="格式正文"/>
    <w:basedOn w:val="1"/>
    <w:qFormat/>
    <w:uiPriority w:val="0"/>
    <w:pPr>
      <w:widowControl w:val="0"/>
      <w:kinsoku/>
      <w:autoSpaceDE/>
      <w:autoSpaceDN/>
      <w:adjustRightInd/>
      <w:snapToGrid/>
      <w:ind w:firstLine="200" w:firstLineChars="200"/>
      <w:jc w:val="both"/>
      <w:textAlignment w:val="auto"/>
    </w:pPr>
    <w:rPr>
      <w:rFonts w:ascii="Times New Roman" w:hAnsi="Times New Roman" w:cs="Times New Roman"/>
      <w:snapToGrid/>
      <w:color w:val="auto"/>
      <w:kern w:val="2"/>
      <w:sz w:val="24"/>
      <w:szCs w:val="24"/>
    </w:rPr>
  </w:style>
  <w:style w:type="paragraph" w:customStyle="1" w:styleId="100">
    <w:name w:val="表格中正文"/>
    <w:basedOn w:val="1"/>
    <w:qFormat/>
    <w:uiPriority w:val="0"/>
    <w:pPr>
      <w:ind w:firstLine="420" w:firstLineChars="200"/>
    </w:pPr>
    <w:rPr>
      <w:rFonts w:ascii="Times New Roman" w:hAnsi="Times New Roman"/>
      <w:kern w:val="0"/>
      <w:sz w:val="24"/>
    </w:rPr>
  </w:style>
  <w:style w:type="paragraph" w:customStyle="1" w:styleId="101">
    <w:name w:val="UserStyle_0"/>
    <w:qFormat/>
    <w:uiPriority w:val="0"/>
    <w:pPr>
      <w:textAlignment w:val="baseline"/>
    </w:pPr>
    <w:rPr>
      <w:rFonts w:ascii="楷体_GB2312" w:hAnsi="Times New Roman" w:eastAsia="楷体_GB2312" w:cs="Times New Roman"/>
      <w:color w:val="000000"/>
      <w:sz w:val="24"/>
      <w:szCs w:val="24"/>
      <w:lang w:val="en-US" w:eastAsia="zh-CN" w:bidi="ar-SA"/>
    </w:rPr>
  </w:style>
  <w:style w:type="paragraph" w:customStyle="1" w:styleId="102">
    <w:name w:val="正文（新）"/>
    <w:basedOn w:val="1"/>
    <w:qFormat/>
    <w:uiPriority w:val="0"/>
    <w:pPr>
      <w:widowControl/>
      <w:ind w:firstLine="480" w:firstLineChars="200"/>
    </w:pPr>
    <w:rPr>
      <w:sz w:val="24"/>
    </w:rPr>
  </w:style>
  <w:style w:type="paragraph" w:customStyle="1" w:styleId="103">
    <w:name w:val="Char1 Char Char Char1 Char Char Char Char Char Char Char Char Char Char Char Char1"/>
    <w:basedOn w:val="1"/>
    <w:qFormat/>
    <w:uiPriority w:val="0"/>
    <w:rPr>
      <w:rFonts w:ascii="宋体" w:hAnsi="宋体" w:cs="宋体"/>
    </w:rPr>
  </w:style>
  <w:style w:type="paragraph" w:customStyle="1" w:styleId="104">
    <w:name w:val="正文 首行缩进： 2 字符"/>
    <w:basedOn w:val="1"/>
    <w:qFormat/>
    <w:uiPriority w:val="0"/>
    <w:pPr>
      <w:ind w:firstLine="480" w:firstLineChars="200"/>
      <w:textAlignment w:val="center"/>
    </w:pPr>
    <w:rPr>
      <w:rFonts w:cs="宋体"/>
      <w:color w:val="FF0000"/>
      <w:szCs w:val="20"/>
    </w:rPr>
  </w:style>
  <w:style w:type="character" w:customStyle="1" w:styleId="105">
    <w:name w:val="font11"/>
    <w:basedOn w:val="31"/>
    <w:qFormat/>
    <w:uiPriority w:val="0"/>
    <w:rPr>
      <w:rFonts w:hint="eastAsia" w:ascii="宋体" w:hAnsi="宋体" w:eastAsia="宋体" w:cs="宋体"/>
      <w:color w:val="000000"/>
      <w:sz w:val="21"/>
      <w:szCs w:val="21"/>
      <w:u w:val="none"/>
    </w:rPr>
  </w:style>
  <w:style w:type="character" w:customStyle="1" w:styleId="106">
    <w:name w:val="font21"/>
    <w:basedOn w:val="31"/>
    <w:qFormat/>
    <w:uiPriority w:val="0"/>
    <w:rPr>
      <w:rFonts w:hint="default" w:ascii="Times New Roman" w:hAnsi="Times New Roman" w:cs="Times New Roman"/>
      <w:color w:val="000000"/>
      <w:sz w:val="21"/>
      <w:szCs w:val="21"/>
      <w:u w:val="none"/>
    </w:rPr>
  </w:style>
  <w:style w:type="character" w:customStyle="1" w:styleId="107">
    <w:name w:val="font101"/>
    <w:basedOn w:val="31"/>
    <w:qFormat/>
    <w:uiPriority w:val="0"/>
    <w:rPr>
      <w:rFonts w:ascii="宋体" w:hAnsi="宋体" w:eastAsia="宋体" w:cs="宋体"/>
      <w:color w:val="000000"/>
      <w:sz w:val="14"/>
      <w:szCs w:val="14"/>
      <w:u w:val="none"/>
    </w:rPr>
  </w:style>
  <w:style w:type="character" w:customStyle="1" w:styleId="108">
    <w:name w:val="font112"/>
    <w:basedOn w:val="31"/>
    <w:qFormat/>
    <w:uiPriority w:val="0"/>
    <w:rPr>
      <w:rFonts w:ascii="宋体" w:hAnsi="宋体" w:eastAsia="宋体" w:cs="宋体"/>
      <w:color w:val="000000"/>
      <w:sz w:val="4"/>
      <w:szCs w:val="4"/>
      <w:u w:val="none"/>
    </w:rPr>
  </w:style>
  <w:style w:type="character" w:customStyle="1" w:styleId="109">
    <w:name w:val="font121"/>
    <w:basedOn w:val="31"/>
    <w:qFormat/>
    <w:uiPriority w:val="0"/>
    <w:rPr>
      <w:rFonts w:hint="default" w:ascii="Arial" w:hAnsi="Arial" w:cs="Arial"/>
      <w:color w:val="000000"/>
      <w:sz w:val="19"/>
      <w:szCs w:val="19"/>
      <w:u w:val="none"/>
    </w:rPr>
  </w:style>
  <w:style w:type="character" w:customStyle="1" w:styleId="110">
    <w:name w:val="font131"/>
    <w:basedOn w:val="31"/>
    <w:qFormat/>
    <w:uiPriority w:val="0"/>
    <w:rPr>
      <w:rFonts w:ascii="宋体" w:hAnsi="宋体" w:eastAsia="宋体" w:cs="宋体"/>
      <w:color w:val="000000"/>
      <w:sz w:val="14"/>
      <w:szCs w:val="14"/>
      <w:u w:val="single"/>
    </w:rPr>
  </w:style>
  <w:style w:type="character" w:customStyle="1" w:styleId="111">
    <w:name w:val="font141"/>
    <w:basedOn w:val="31"/>
    <w:qFormat/>
    <w:uiPriority w:val="0"/>
    <w:rPr>
      <w:rFonts w:ascii="宋体" w:hAnsi="宋体" w:eastAsia="宋体" w:cs="宋体"/>
      <w:color w:val="004CB0"/>
      <w:sz w:val="14"/>
      <w:szCs w:val="14"/>
      <w:u w:val="none"/>
    </w:rPr>
  </w:style>
  <w:style w:type="paragraph" w:customStyle="1" w:styleId="112">
    <w:name w:val="样式4"/>
    <w:basedOn w:val="1"/>
    <w:qFormat/>
    <w:uiPriority w:val="0"/>
    <w:pPr>
      <w:ind w:firstLine="480" w:firstLineChars="200"/>
    </w:pPr>
    <w:rPr>
      <w:color w:val="000000"/>
      <w:kern w:val="0"/>
    </w:rPr>
  </w:style>
  <w:style w:type="paragraph" w:customStyle="1" w:styleId="113">
    <w:name w:val="表文"/>
    <w:basedOn w:val="1"/>
    <w:qFormat/>
    <w:uiPriority w:val="0"/>
    <w:pPr>
      <w:spacing w:line="400" w:lineRule="exact"/>
    </w:pPr>
    <w:rPr>
      <w:rFonts w:ascii="CG Times" w:hAnsi="CG Times"/>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oleObject" Target="embeddings/oleObject1.bin"/><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wmf"/><Relationship Id="rId12" Type="http://schemas.openxmlformats.org/officeDocument/2006/relationships/oleObject" Target="embeddings/oleObject3.bin"/><Relationship Id="rId11" Type="http://schemas.openxmlformats.org/officeDocument/2006/relationships/image" Target="media/image4.wmf"/><Relationship Id="rId10" Type="http://schemas.openxmlformats.org/officeDocument/2006/relationships/oleObject" Target="embeddings/oleObject2.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3A106E-4DF2-474C-BBFE-84C2C0DD1068}">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58</Pages>
  <Words>39219</Words>
  <Characters>45043</Characters>
  <Lines>296</Lines>
  <Paragraphs>83</Paragraphs>
  <TotalTime>4</TotalTime>
  <ScaleCrop>false</ScaleCrop>
  <LinksUpToDate>false</LinksUpToDate>
  <CharactersWithSpaces>45314</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2021-03-26T03:23:00Z</dcterms:created>
  <dc:creator>lhj</dc:creator>
  <cp:lastModifiedBy>Administrator</cp:lastModifiedBy>
  <cp:lastPrinted>2021-08-25T08:08:00Z</cp:lastPrinted>
  <dcterms:modified xsi:type="dcterms:W3CDTF">2024-04-29T08:22:43Z</dcterms:modified>
  <cp:revision>117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2CCC60D3783746E9B661EED4BA9C02F6_13</vt:lpwstr>
  </property>
</Properties>
</file>