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adjustRightInd w:val="0"/>
        <w:snapToGrid w:val="0"/>
        <w:jc w:val="center"/>
        <w:outlineLvl w:val="0"/>
        <w:rPr>
          <w:rFonts w:ascii="仿宋" w:hAnsi="仿宋" w:eastAsia="仿宋" w:cs="Times New Roman"/>
          <w:bCs/>
          <w:sz w:val="72"/>
          <w:szCs w:val="72"/>
        </w:rPr>
      </w:pPr>
      <w:r>
        <w:rPr>
          <w:rFonts w:ascii="仿宋" w:hAnsi="仿宋" w:eastAsia="仿宋" w:cs="Times New Roman"/>
          <w:bCs/>
          <w:sz w:val="72"/>
          <w:szCs w:val="72"/>
        </w:rPr>
        <w:t>建设项目环境影响报告表</w:t>
      </w:r>
    </w:p>
    <w:p>
      <w:pPr>
        <w:adjustRightInd w:val="0"/>
        <w:snapToGrid w:val="0"/>
        <w:spacing w:before="249" w:beforeLines="80"/>
        <w:jc w:val="center"/>
        <w:rPr>
          <w:rFonts w:ascii="Times New Roman" w:hAnsi="Times New Roman" w:eastAsia="楷体_GB2312" w:cs="Times New Roman"/>
          <w:bCs/>
          <w:sz w:val="48"/>
          <w:szCs w:val="48"/>
        </w:rPr>
      </w:pPr>
      <w:r>
        <w:rPr>
          <w:rFonts w:ascii="Times New Roman" w:hAnsi="Times New Roman" w:eastAsia="楷体_GB2312" w:cs="Times New Roman"/>
          <w:bCs/>
          <w:sz w:val="48"/>
          <w:szCs w:val="48"/>
        </w:rPr>
        <w:t>（生态影响类）</w:t>
      </w:r>
    </w:p>
    <w:p>
      <w:pPr>
        <w:adjustRightInd w:val="0"/>
        <w:snapToGrid w:val="0"/>
        <w:spacing w:before="249" w:beforeLines="80"/>
        <w:jc w:val="center"/>
        <w:rPr>
          <w:rFonts w:ascii="Times New Roman" w:hAnsi="Times New Roman" w:eastAsia="楷体_GB2312" w:cs="Times New Roman"/>
          <w:bCs/>
          <w:sz w:val="48"/>
          <w:szCs w:val="48"/>
        </w:rPr>
      </w:pPr>
      <w:r>
        <w:rPr>
          <w:rFonts w:hint="eastAsia" w:ascii="Times New Roman" w:hAnsi="Times New Roman" w:eastAsia="楷体_GB2312" w:cs="Times New Roman"/>
          <w:bCs/>
          <w:sz w:val="48"/>
          <w:szCs w:val="48"/>
        </w:rPr>
        <w:t>（</w:t>
      </w:r>
      <w:r>
        <w:rPr>
          <w:rFonts w:hint="eastAsia" w:ascii="Times New Roman" w:hAnsi="Times New Roman" w:eastAsia="楷体_GB2312" w:cs="Times New Roman"/>
          <w:bCs/>
          <w:sz w:val="48"/>
          <w:szCs w:val="48"/>
          <w:lang w:eastAsia="zh-CN"/>
        </w:rPr>
        <w:t>送审本、公示</w:t>
      </w:r>
      <w:r>
        <w:rPr>
          <w:rFonts w:hint="eastAsia" w:ascii="Times New Roman" w:hAnsi="Times New Roman" w:eastAsia="楷体_GB2312" w:cs="Times New Roman"/>
          <w:bCs/>
          <w:sz w:val="48"/>
          <w:szCs w:val="48"/>
          <w:lang w:val="en-US" w:eastAsia="zh-CN"/>
        </w:rPr>
        <w:t>本</w:t>
      </w:r>
      <w:r>
        <w:rPr>
          <w:rFonts w:hint="eastAsia" w:ascii="Times New Roman" w:hAnsi="Times New Roman" w:eastAsia="楷体_GB2312" w:cs="Times New Roman"/>
          <w:bCs/>
          <w:sz w:val="48"/>
          <w:szCs w:val="48"/>
        </w:rPr>
        <w:t>）</w:t>
      </w:r>
    </w:p>
    <w:p>
      <w:pPr>
        <w:adjustRightInd w:val="0"/>
        <w:snapToGrid w:val="0"/>
        <w:spacing w:before="249" w:beforeLines="80"/>
        <w:jc w:val="center"/>
        <w:rPr>
          <w:rFonts w:ascii="Times New Roman" w:hAnsi="Times New Roman" w:eastAsia="楷体_GB2312" w:cs="Times New Roman"/>
          <w:bCs/>
          <w:sz w:val="48"/>
          <w:szCs w:val="48"/>
        </w:rPr>
      </w:pPr>
    </w:p>
    <w:p>
      <w:pPr>
        <w:adjustRightInd w:val="0"/>
        <w:snapToGrid w:val="0"/>
        <w:spacing w:before="249" w:beforeLines="80"/>
        <w:jc w:val="center"/>
        <w:rPr>
          <w:rFonts w:ascii="Times New Roman" w:hAnsi="Times New Roman" w:eastAsia="楷体_GB2312" w:cs="Times New Roman"/>
          <w:bCs/>
          <w:sz w:val="48"/>
          <w:szCs w:val="48"/>
        </w:rPr>
      </w:pPr>
    </w:p>
    <w:p>
      <w:pPr>
        <w:adjustRightInd w:val="0"/>
        <w:snapToGrid w:val="0"/>
        <w:spacing w:before="249" w:beforeLines="80"/>
        <w:jc w:val="center"/>
        <w:rPr>
          <w:rFonts w:ascii="Times New Roman" w:hAnsi="Times New Roman" w:eastAsia="楷体_GB2312" w:cs="Times New Roman"/>
          <w:bCs/>
          <w:sz w:val="48"/>
          <w:szCs w:val="48"/>
        </w:rPr>
      </w:pPr>
    </w:p>
    <w:p>
      <w:pPr>
        <w:adjustRightInd w:val="0"/>
        <w:snapToGrid w:val="0"/>
        <w:spacing w:line="276" w:lineRule="auto"/>
        <w:ind w:left="2518" w:leftChars="342" w:hanging="1800" w:hangingChars="500"/>
        <w:jc w:val="left"/>
        <w:rPr>
          <w:rFonts w:ascii="仿宋" w:hAnsi="仿宋" w:eastAsia="仿宋" w:cs="Times New Roman"/>
          <w:sz w:val="36"/>
          <w:szCs w:val="36"/>
          <w:u w:val="single"/>
        </w:rPr>
      </w:pPr>
      <w:r>
        <w:rPr>
          <w:rFonts w:ascii="仿宋" w:hAnsi="仿宋" w:eastAsia="仿宋" w:cs="Times New Roman"/>
          <w:sz w:val="36"/>
          <w:szCs w:val="36"/>
        </w:rPr>
        <w:t>项目名称：</w:t>
      </w:r>
      <w:r>
        <w:rPr>
          <w:rFonts w:ascii="仿宋" w:hAnsi="仿宋" w:eastAsia="仿宋" w:cs="Times New Roman"/>
          <w:sz w:val="36"/>
          <w:szCs w:val="36"/>
          <w:u w:val="single"/>
        </w:rPr>
        <w:t xml:space="preserve"> </w:t>
      </w:r>
      <w:r>
        <w:rPr>
          <w:rFonts w:hint="eastAsia" w:ascii="仿宋" w:hAnsi="仿宋" w:eastAsia="仿宋" w:cs="Times New Roman"/>
          <w:sz w:val="36"/>
          <w:szCs w:val="36"/>
          <w:u w:val="single"/>
          <w:lang w:eastAsia="zh-CN"/>
        </w:rPr>
        <w:t>宣汉县小型灌区新建项目</w:t>
      </w:r>
      <w:r>
        <w:rPr>
          <w:rFonts w:ascii="仿宋" w:hAnsi="仿宋" w:eastAsia="仿宋" w:cs="Times New Roman"/>
          <w:sz w:val="36"/>
          <w:szCs w:val="36"/>
          <w:u w:val="single"/>
        </w:rPr>
        <w:t xml:space="preserve">  </w:t>
      </w:r>
    </w:p>
    <w:p>
      <w:pPr>
        <w:adjustRightInd w:val="0"/>
        <w:snapToGrid w:val="0"/>
        <w:spacing w:line="276" w:lineRule="auto"/>
        <w:ind w:firstLine="720" w:firstLineChars="200"/>
        <w:rPr>
          <w:rFonts w:ascii="仿宋" w:hAnsi="仿宋" w:eastAsia="仿宋" w:cs="Times New Roman"/>
          <w:sz w:val="36"/>
          <w:szCs w:val="36"/>
          <w:u w:val="single"/>
        </w:rPr>
      </w:pPr>
      <w:r>
        <w:rPr>
          <w:rFonts w:ascii="仿宋" w:hAnsi="仿宋" w:eastAsia="仿宋" w:cs="Times New Roman"/>
          <w:sz w:val="36"/>
          <w:szCs w:val="36"/>
        </w:rPr>
        <w:t>建设单位（盖章）：</w:t>
      </w:r>
      <w:r>
        <w:rPr>
          <w:rFonts w:hint="eastAsia" w:ascii="仿宋" w:hAnsi="仿宋" w:eastAsia="仿宋" w:cs="Times New Roman"/>
          <w:sz w:val="36"/>
          <w:szCs w:val="36"/>
          <w:u w:val="single"/>
          <w:lang w:eastAsia="zh-CN"/>
        </w:rPr>
        <w:t>宣汉县小型水库服务中心</w:t>
      </w:r>
    </w:p>
    <w:p>
      <w:pPr>
        <w:adjustRightInd w:val="0"/>
        <w:snapToGrid w:val="0"/>
        <w:spacing w:line="276" w:lineRule="auto"/>
        <w:ind w:firstLine="720" w:firstLineChars="200"/>
        <w:rPr>
          <w:rFonts w:ascii="仿宋" w:hAnsi="仿宋" w:eastAsia="仿宋" w:cs="Times New Roman"/>
          <w:sz w:val="36"/>
          <w:szCs w:val="36"/>
        </w:rPr>
      </w:pPr>
      <w:r>
        <w:rPr>
          <w:rFonts w:ascii="仿宋" w:hAnsi="仿宋" w:eastAsia="仿宋" w:cs="Times New Roman"/>
          <w:sz w:val="36"/>
          <w:szCs w:val="36"/>
        </w:rPr>
        <w:t>编制日期：</w:t>
      </w:r>
      <w:r>
        <w:rPr>
          <w:rFonts w:ascii="仿宋" w:hAnsi="仿宋" w:eastAsia="仿宋" w:cs="Times New Roman"/>
          <w:sz w:val="36"/>
          <w:szCs w:val="36"/>
          <w:u w:val="single"/>
        </w:rPr>
        <w:t xml:space="preserve">             202</w:t>
      </w:r>
      <w:r>
        <w:rPr>
          <w:rFonts w:hint="eastAsia" w:ascii="仿宋" w:hAnsi="仿宋" w:eastAsia="仿宋" w:cs="Times New Roman"/>
          <w:sz w:val="36"/>
          <w:szCs w:val="36"/>
          <w:u w:val="single"/>
          <w:lang w:val="en-US" w:eastAsia="zh-CN"/>
        </w:rPr>
        <w:t>4</w:t>
      </w:r>
      <w:r>
        <w:rPr>
          <w:rFonts w:ascii="仿宋" w:hAnsi="仿宋" w:eastAsia="仿宋" w:cs="Times New Roman"/>
          <w:sz w:val="36"/>
          <w:szCs w:val="36"/>
          <w:u w:val="single"/>
        </w:rPr>
        <w:t>年</w:t>
      </w:r>
      <w:r>
        <w:rPr>
          <w:rFonts w:hint="eastAsia" w:ascii="仿宋" w:hAnsi="仿宋" w:eastAsia="仿宋" w:cs="Times New Roman"/>
          <w:sz w:val="36"/>
          <w:szCs w:val="36"/>
          <w:u w:val="single"/>
          <w:lang w:val="en-US" w:eastAsia="zh-CN"/>
        </w:rPr>
        <w:t>4</w:t>
      </w:r>
      <w:r>
        <w:rPr>
          <w:rFonts w:ascii="仿宋" w:hAnsi="仿宋" w:eastAsia="仿宋" w:cs="Times New Roman"/>
          <w:sz w:val="36"/>
          <w:szCs w:val="36"/>
          <w:u w:val="single"/>
        </w:rPr>
        <w:t xml:space="preserve">月      </w:t>
      </w:r>
    </w:p>
    <w:p>
      <w:pPr>
        <w:adjustRightInd w:val="0"/>
        <w:snapToGrid w:val="0"/>
        <w:spacing w:line="288" w:lineRule="auto"/>
        <w:ind w:firstLine="1040"/>
        <w:rPr>
          <w:rFonts w:ascii="Times New Roman" w:hAnsi="Times New Roman" w:eastAsia="仿宋_GB2312" w:cs="Times New Roman"/>
          <w:sz w:val="36"/>
          <w:szCs w:val="36"/>
        </w:rPr>
      </w:pPr>
    </w:p>
    <w:p>
      <w:pPr>
        <w:adjustRightInd w:val="0"/>
        <w:snapToGrid w:val="0"/>
        <w:spacing w:line="288" w:lineRule="auto"/>
        <w:ind w:firstLine="1040"/>
        <w:rPr>
          <w:rFonts w:ascii="Times New Roman" w:hAnsi="Times New Roman" w:eastAsia="仿宋_GB2312" w:cs="Times New Roman"/>
          <w:sz w:val="36"/>
          <w:szCs w:val="36"/>
        </w:rPr>
      </w:pPr>
    </w:p>
    <w:p>
      <w:pPr>
        <w:adjustRightInd w:val="0"/>
        <w:snapToGrid w:val="0"/>
        <w:spacing w:line="288" w:lineRule="auto"/>
        <w:ind w:firstLine="1040"/>
        <w:rPr>
          <w:rFonts w:ascii="Times New Roman" w:hAnsi="Times New Roman" w:eastAsia="仿宋_GB2312" w:cs="Times New Roman"/>
          <w:sz w:val="36"/>
          <w:szCs w:val="36"/>
        </w:rPr>
      </w:pPr>
    </w:p>
    <w:p>
      <w:pPr>
        <w:adjustRightInd w:val="0"/>
        <w:snapToGrid w:val="0"/>
        <w:spacing w:line="288" w:lineRule="auto"/>
        <w:ind w:firstLine="1040"/>
        <w:rPr>
          <w:rFonts w:ascii="Times New Roman" w:hAnsi="Times New Roman" w:eastAsia="仿宋_GB2312" w:cs="Times New Roman"/>
          <w:sz w:val="36"/>
          <w:szCs w:val="36"/>
        </w:rPr>
      </w:pPr>
    </w:p>
    <w:p>
      <w:pPr>
        <w:adjustRightInd w:val="0"/>
        <w:snapToGrid w:val="0"/>
        <w:spacing w:line="288" w:lineRule="auto"/>
        <w:ind w:firstLine="1040"/>
        <w:rPr>
          <w:rFonts w:ascii="Times New Roman" w:hAnsi="Times New Roman" w:eastAsia="仿宋_GB2312" w:cs="Times New Roman"/>
          <w:sz w:val="36"/>
          <w:szCs w:val="36"/>
        </w:rPr>
      </w:pPr>
    </w:p>
    <w:p>
      <w:pPr>
        <w:pStyle w:val="12"/>
      </w:pPr>
    </w:p>
    <w:p>
      <w:pPr>
        <w:adjustRightInd w:val="0"/>
        <w:snapToGrid w:val="0"/>
        <w:spacing w:line="288" w:lineRule="auto"/>
        <w:ind w:firstLine="1040"/>
        <w:rPr>
          <w:rFonts w:ascii="Times New Roman" w:hAnsi="Times New Roman" w:eastAsia="仿宋_GB2312" w:cs="Times New Roman"/>
          <w:sz w:val="36"/>
          <w:szCs w:val="36"/>
        </w:rPr>
      </w:pPr>
    </w:p>
    <w:p>
      <w:pPr>
        <w:adjustRightInd w:val="0"/>
        <w:snapToGrid w:val="0"/>
        <w:spacing w:line="288" w:lineRule="auto"/>
        <w:ind w:firstLine="1040"/>
        <w:rPr>
          <w:rFonts w:ascii="Times New Roman" w:hAnsi="Times New Roman" w:eastAsia="仿宋_GB2312" w:cs="Times New Roman"/>
          <w:sz w:val="36"/>
          <w:szCs w:val="36"/>
        </w:rPr>
      </w:pPr>
    </w:p>
    <w:p>
      <w:pPr>
        <w:adjustRightInd w:val="0"/>
        <w:snapToGrid w:val="0"/>
        <w:spacing w:line="288" w:lineRule="auto"/>
        <w:jc w:val="center"/>
        <w:rPr>
          <w:rFonts w:ascii="Times New Roman" w:hAnsi="Times New Roman" w:eastAsia="楷体_GB2312" w:cs="Times New Roman"/>
          <w:sz w:val="36"/>
          <w:szCs w:val="36"/>
        </w:rPr>
      </w:pPr>
      <w:r>
        <w:rPr>
          <w:rFonts w:ascii="Times New Roman" w:hAnsi="Times New Roman" w:eastAsia="楷体_GB2312" w:cs="Times New Roman"/>
          <w:sz w:val="36"/>
          <w:szCs w:val="36"/>
        </w:rPr>
        <w:t>中华人民共和国生态环境部制</w:t>
      </w:r>
    </w:p>
    <w:p>
      <w:pPr>
        <w:pStyle w:val="12"/>
        <w:rPr>
          <w:rFonts w:ascii="Times New Roman" w:hAnsi="Times New Roman" w:eastAsia="楷体_GB2312" w:cs="Times New Roman"/>
          <w:sz w:val="36"/>
          <w:szCs w:val="36"/>
        </w:rPr>
      </w:pPr>
    </w:p>
    <w:p>
      <w:pPr>
        <w:pStyle w:val="24"/>
        <w:rPr>
          <w:rFonts w:ascii="Times New Roman" w:hAnsi="Times New Roman" w:eastAsia="楷体_GB2312" w:cs="Times New Roman"/>
          <w:sz w:val="36"/>
          <w:szCs w:val="36"/>
        </w:rPr>
      </w:pPr>
    </w:p>
    <w:p>
      <w:pPr>
        <w:adjustRightInd w:val="0"/>
        <w:snapToGrid w:val="0"/>
        <w:spacing w:line="360" w:lineRule="auto"/>
        <w:rPr>
          <w:rFonts w:hint="default" w:ascii="Times New Roman" w:hAnsi="Times New Roman" w:cs="Times New Roman"/>
          <w:b/>
          <w:bCs/>
          <w:color w:val="000000" w:themeColor="text1"/>
          <w:sz w:val="24"/>
          <w:szCs w:val="24"/>
          <w:lang w:val="en-US" w:eastAsia="zh-CN"/>
          <w14:textFill>
            <w14:solidFill>
              <w14:schemeClr w14:val="tx1"/>
            </w14:solidFill>
          </w14:textFill>
        </w:rPr>
      </w:pPr>
      <w:r>
        <w:rPr>
          <w:rFonts w:hint="default" w:ascii="Times New Roman" w:hAnsi="Times New Roman" w:cs="Times New Roman"/>
          <w:b/>
          <w:bCs/>
          <w:color w:val="000000" w:themeColor="text1"/>
          <w:sz w:val="24"/>
          <w:szCs w:val="24"/>
          <w:lang w:val="en-US" w:eastAsia="zh-CN"/>
          <w14:textFill>
            <w14:solidFill>
              <w14:schemeClr w14:val="tx1"/>
            </w14:solidFill>
          </w14:textFill>
        </w:rPr>
        <w:t>本报告含以下附图附件：</w:t>
      </w:r>
    </w:p>
    <w:p>
      <w:pPr>
        <w:adjustRightInd w:val="0"/>
        <w:snapToGrid w:val="0"/>
        <w:spacing w:line="360" w:lineRule="auto"/>
        <w:rPr>
          <w:rFonts w:hint="default" w:ascii="Times New Roman" w:hAnsi="Times New Roman" w:cs="Times New Roman"/>
          <w:b/>
          <w:bCs/>
          <w:color w:val="000000" w:themeColor="text1"/>
          <w:sz w:val="24"/>
          <w:szCs w:val="24"/>
          <w:lang w:val="en-US" w:eastAsia="zh-CN"/>
          <w14:textFill>
            <w14:solidFill>
              <w14:schemeClr w14:val="tx1"/>
            </w14:solidFill>
          </w14:textFill>
        </w:rPr>
      </w:pPr>
      <w:r>
        <w:rPr>
          <w:rFonts w:hint="default" w:ascii="Times New Roman" w:hAnsi="Times New Roman" w:cs="Times New Roman"/>
          <w:b/>
          <w:bCs/>
          <w:color w:val="000000" w:themeColor="text1"/>
          <w:sz w:val="24"/>
          <w:szCs w:val="24"/>
          <w:lang w:val="en-US" w:eastAsia="zh-CN"/>
          <w14:textFill>
            <w14:solidFill>
              <w14:schemeClr w14:val="tx1"/>
            </w14:solidFill>
          </w14:textFill>
        </w:rPr>
        <w:t>附图：</w:t>
      </w:r>
    </w:p>
    <w:p>
      <w:pPr>
        <w:adjustRightInd w:val="0"/>
        <w:snapToGrid w:val="0"/>
        <w:spacing w:line="360" w:lineRule="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附图1 项目地理位置图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附图2-1</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秧田湾水库灌区平面布置及外环境关系图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附图2-2</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观音岩水库灌区平面布置图及外环境关系图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附图2-3</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云顶水库灌区平面布置及外环境关系图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附图2-4</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小沟河水库灌区平面布置及外环境关系图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附图2-5</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曹家沟水库灌区平面布置及外环境关系图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附图2-6</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漆树沟水库灌区平面布置及外环境关系图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附图2-7</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刘家坪水库灌区平面布置及外环境关系图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附图2-8 烂田湾水库灌区平面布置及外环境关系图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附图2-9</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后头湾水库灌区平面布置及外环境关系图</w:t>
      </w:r>
      <w:r>
        <w:rPr>
          <w:rFonts w:hint="default" w:ascii="Times New Roman" w:hAnsi="Times New Roman" w:cs="Times New Roman"/>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color w:val="000000" w:themeColor="text1"/>
          <w:sz w:val="24"/>
          <w:szCs w:val="24"/>
          <w:lang w:val="en-US" w:eastAsia="zh-CN"/>
          <w14:textFill>
            <w14:solidFill>
              <w14:schemeClr w14:val="tx1"/>
            </w14:solidFill>
          </w14:textFill>
        </w:rPr>
        <w:t>附图2-10</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长征水库灌区平面布置及外环境关系图</w:t>
      </w:r>
    </w:p>
    <w:p>
      <w:pPr>
        <w:adjustRightInd w:val="0"/>
        <w:snapToGrid w:val="0"/>
        <w:spacing w:line="360" w:lineRule="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附图2-11</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南六水库灌区平面布置及外环境关系图</w:t>
      </w:r>
    </w:p>
    <w:p>
      <w:pPr>
        <w:adjustRightInd w:val="0"/>
        <w:snapToGrid w:val="0"/>
        <w:spacing w:line="360" w:lineRule="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附图2-12</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lang w:val="en-US" w:eastAsia="zh-CN"/>
          <w14:textFill>
            <w14:solidFill>
              <w14:schemeClr w14:val="tx1"/>
            </w14:solidFill>
          </w14:textFill>
        </w:rPr>
        <w:t>九军坪水库灌区平面布置及外环境关系图</w:t>
      </w:r>
    </w:p>
    <w:p>
      <w:pPr>
        <w:adjustRightInd w:val="0"/>
        <w:snapToGrid w:val="0"/>
        <w:spacing w:line="360" w:lineRule="auto"/>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附图2-13</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老寨沟水库工程平面布置及外环境关系图</w:t>
      </w:r>
    </w:p>
    <w:p>
      <w:pPr>
        <w:adjustRightInd w:val="0"/>
        <w:snapToGrid w:val="0"/>
        <w:spacing w:line="360" w:lineRule="auto"/>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附图2-14</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阴洞岩水库灌区平面布置及外环境关系图</w:t>
      </w:r>
    </w:p>
    <w:p>
      <w:pPr>
        <w:adjustRightInd w:val="0"/>
        <w:snapToGrid w:val="0"/>
        <w:spacing w:line="360" w:lineRule="auto"/>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附图3</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项目监测布点图</w:t>
      </w:r>
    </w:p>
    <w:p>
      <w:pPr>
        <w:adjustRightInd w:val="0"/>
        <w:snapToGrid w:val="0"/>
        <w:spacing w:line="360" w:lineRule="auto"/>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附图4</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项目典型水土保持措施图</w:t>
      </w:r>
    </w:p>
    <w:p>
      <w:pPr>
        <w:adjustRightInd w:val="0"/>
        <w:snapToGrid w:val="0"/>
        <w:spacing w:line="360" w:lineRule="auto"/>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附图5</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项目所在地水系图</w:t>
      </w:r>
    </w:p>
    <w:p>
      <w:pPr>
        <w:adjustRightInd w:val="0"/>
        <w:snapToGrid w:val="0"/>
        <w:spacing w:line="360" w:lineRule="auto"/>
        <w:rPr>
          <w:rFonts w:hint="default" w:ascii="Times New Roman" w:hAnsi="Times New Roman" w:cs="Times New Roman"/>
          <w:b/>
          <w:bCs/>
          <w:color w:val="000000" w:themeColor="text1"/>
          <w:sz w:val="24"/>
          <w:szCs w:val="24"/>
          <w:lang w:val="en-US" w:eastAsia="zh-CN"/>
          <w14:textFill>
            <w14:solidFill>
              <w14:schemeClr w14:val="tx1"/>
            </w14:solidFill>
          </w14:textFill>
        </w:rPr>
      </w:pPr>
    </w:p>
    <w:p>
      <w:pPr>
        <w:adjustRightInd w:val="0"/>
        <w:snapToGrid w:val="0"/>
        <w:spacing w:line="360" w:lineRule="auto"/>
        <w:rPr>
          <w:rFonts w:hint="default" w:ascii="Times New Roman" w:hAnsi="Times New Roman" w:cs="Times New Roman"/>
          <w:color w:val="000000" w:themeColor="text1"/>
          <w:lang w:val="en-US" w:eastAsia="zh-CN"/>
          <w14:textFill>
            <w14:solidFill>
              <w14:schemeClr w14:val="tx1"/>
            </w14:solidFill>
          </w14:textFill>
        </w:rPr>
        <w:sectPr>
          <w:footerReference r:id="rId3" w:type="default"/>
          <w:pgSz w:w="11906" w:h="16838"/>
          <w:pgMar w:top="1440" w:right="1080" w:bottom="1440" w:left="1080" w:header="851" w:footer="992" w:gutter="0"/>
          <w:cols w:space="425" w:num="1"/>
          <w:docGrid w:type="lines" w:linePitch="312" w:charSpace="0"/>
        </w:sectPr>
      </w:pPr>
      <w:r>
        <w:rPr>
          <w:rFonts w:hint="default" w:ascii="Times New Roman" w:hAnsi="Times New Roman" w:cs="Times New Roman"/>
          <w:b/>
          <w:bCs/>
          <w:color w:val="000000" w:themeColor="text1"/>
          <w:sz w:val="24"/>
          <w:szCs w:val="24"/>
          <w:lang w:val="en-US" w:eastAsia="zh-CN"/>
          <w14:textFill>
            <w14:solidFill>
              <w14:schemeClr w14:val="tx1"/>
            </w14:solidFill>
          </w14:textFill>
        </w:rPr>
        <w:t>附件：</w:t>
      </w:r>
      <w:r>
        <w:rPr>
          <w:rFonts w:hint="default" w:ascii="Times New Roman" w:hAnsi="Times New Roman" w:cs="Times New Roman"/>
          <w:b/>
          <w:bCs/>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附件1 立项文件（可研批复）</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附件2 不涉及生态红线的说明</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附件3 不涉及饮用水源保护区的说明</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附件4 不涉及灌溉用水量变化的复函</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br w:type="textWrapping"/>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附件5 环境监测报告</w:t>
      </w:r>
    </w:p>
    <w:p>
      <w:pPr>
        <w:pStyle w:val="22"/>
        <w:rPr>
          <w:rFonts w:ascii="Times New Roman" w:hAnsi="Times New Roman" w:cs="Times New Roman"/>
        </w:rPr>
      </w:pPr>
      <w:r>
        <w:rPr>
          <w:rFonts w:ascii="Times New Roman" w:hAnsi="Times New Roman" w:cs="Times New Roman"/>
        </w:rPr>
        <w:t>一、建设项目基本情况</w:t>
      </w:r>
    </w:p>
    <w:tbl>
      <w:tblPr>
        <w:tblStyle w:val="27"/>
        <w:tblW w:w="9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2152"/>
        <w:gridCol w:w="2319"/>
        <w:gridCol w:w="4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spacing w:line="288" w:lineRule="auto"/>
              <w:jc w:val="center"/>
              <w:rPr>
                <w:rFonts w:ascii="Times New Roman" w:hAnsi="Times New Roman" w:cs="Times New Roman"/>
                <w:sz w:val="24"/>
                <w:szCs w:val="24"/>
              </w:rPr>
            </w:pPr>
            <w:r>
              <w:rPr>
                <w:rFonts w:ascii="Times New Roman" w:hAnsi="Times New Roman" w:cs="Times New Roman"/>
                <w:sz w:val="24"/>
                <w:szCs w:val="24"/>
              </w:rPr>
              <w:t>建设项目名称</w:t>
            </w:r>
          </w:p>
        </w:tc>
        <w:tc>
          <w:tcPr>
            <w:tcW w:w="8725" w:type="dxa"/>
            <w:gridSpan w:val="3"/>
            <w:vAlign w:val="center"/>
          </w:tcPr>
          <w:p>
            <w:pPr>
              <w:adjustRightInd w:val="0"/>
              <w:snapToGrid w:val="0"/>
              <w:spacing w:line="276" w:lineRule="auto"/>
              <w:jc w:val="center"/>
              <w:rPr>
                <w:rFonts w:hint="eastAsia" w:ascii="Times New Roman" w:hAnsi="Times New Roman" w:cs="Times New Roman" w:eastAsiaTheme="minorEastAsia"/>
                <w:sz w:val="24"/>
                <w:szCs w:val="24"/>
                <w:lang w:eastAsia="zh-CN"/>
              </w:rPr>
            </w:pPr>
            <w:r>
              <w:rPr>
                <w:rFonts w:hint="eastAsia" w:ascii="Times New Roman" w:hAnsi="Times New Roman" w:cs="Times New Roman"/>
                <w:sz w:val="24"/>
                <w:szCs w:val="24"/>
                <w:lang w:eastAsia="zh-CN"/>
              </w:rPr>
              <w:t>宣汉县小型灌区新建项目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spacing w:line="288" w:lineRule="auto"/>
              <w:jc w:val="center"/>
              <w:rPr>
                <w:rFonts w:ascii="Times New Roman" w:hAnsi="Times New Roman" w:cs="Times New Roman"/>
                <w:sz w:val="24"/>
                <w:szCs w:val="24"/>
              </w:rPr>
            </w:pPr>
            <w:r>
              <w:rPr>
                <w:rFonts w:ascii="Times New Roman" w:hAnsi="Times New Roman" w:cs="Times New Roman"/>
                <w:sz w:val="24"/>
                <w:szCs w:val="24"/>
              </w:rPr>
              <w:t>项目代码</w:t>
            </w:r>
          </w:p>
        </w:tc>
        <w:tc>
          <w:tcPr>
            <w:tcW w:w="8725" w:type="dxa"/>
            <w:gridSpan w:val="3"/>
            <w:vAlign w:val="center"/>
          </w:tcPr>
          <w:p>
            <w:pPr>
              <w:adjustRightInd w:val="0"/>
              <w:snapToGrid w:val="0"/>
              <w:spacing w:line="276" w:lineRule="auto"/>
              <w:jc w:val="center"/>
              <w:rPr>
                <w:rFonts w:ascii="Times New Roman" w:hAnsi="Times New Roman" w:cs="Times New Roman"/>
                <w:sz w:val="24"/>
                <w:szCs w:val="24"/>
              </w:rPr>
            </w:pPr>
            <w:r>
              <w:rPr>
                <w:rFonts w:hint="eastAsia" w:ascii="Times New Roman" w:hAnsi="Times New Roman" w:cs="Times New Roman"/>
                <w:sz w:val="24"/>
                <w:szCs w:val="24"/>
              </w:rPr>
              <w:t>2309-511722-04-01-161462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spacing w:line="288" w:lineRule="auto"/>
              <w:jc w:val="center"/>
              <w:rPr>
                <w:rFonts w:ascii="Times New Roman" w:hAnsi="Times New Roman" w:cs="Times New Roman"/>
                <w:sz w:val="24"/>
                <w:szCs w:val="24"/>
              </w:rPr>
            </w:pPr>
            <w:r>
              <w:rPr>
                <w:rFonts w:ascii="Times New Roman" w:hAnsi="Times New Roman" w:cs="Times New Roman"/>
                <w:sz w:val="24"/>
                <w:szCs w:val="24"/>
              </w:rPr>
              <w:t>建设单位联系人</w:t>
            </w:r>
          </w:p>
        </w:tc>
        <w:tc>
          <w:tcPr>
            <w:tcW w:w="2152" w:type="dxa"/>
            <w:vAlign w:val="center"/>
          </w:tcPr>
          <w:p>
            <w:pPr>
              <w:adjustRightInd w:val="0"/>
              <w:snapToGrid w:val="0"/>
              <w:spacing w:line="276" w:lineRule="auto"/>
              <w:jc w:val="center"/>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李建国</w:t>
            </w:r>
          </w:p>
        </w:tc>
        <w:tc>
          <w:tcPr>
            <w:tcW w:w="2319" w:type="dxa"/>
            <w:vAlign w:val="center"/>
          </w:tcPr>
          <w:p>
            <w:pPr>
              <w:adjustRightInd w:val="0"/>
              <w:snapToGrid w:val="0"/>
              <w:spacing w:line="276" w:lineRule="auto"/>
              <w:jc w:val="center"/>
              <w:rPr>
                <w:rFonts w:ascii="Times New Roman" w:hAnsi="Times New Roman" w:cs="Times New Roman"/>
                <w:sz w:val="24"/>
                <w:szCs w:val="24"/>
              </w:rPr>
            </w:pPr>
            <w:r>
              <w:rPr>
                <w:rFonts w:ascii="Times New Roman" w:hAnsi="Times New Roman" w:cs="Times New Roman"/>
                <w:sz w:val="24"/>
                <w:szCs w:val="24"/>
              </w:rPr>
              <w:t>联系方式</w:t>
            </w:r>
          </w:p>
        </w:tc>
        <w:tc>
          <w:tcPr>
            <w:tcW w:w="4254" w:type="dxa"/>
            <w:vAlign w:val="center"/>
          </w:tcPr>
          <w:p>
            <w:pPr>
              <w:adjustRightInd w:val="0"/>
              <w:snapToGrid w:val="0"/>
              <w:spacing w:line="276" w:lineRule="auto"/>
              <w:jc w:val="center"/>
              <w:rPr>
                <w:rFonts w:hint="default" w:ascii="Times New Roman" w:hAnsi="Times New Roman" w:cs="Times New Roman" w:eastAsiaTheme="minorEastAsia"/>
                <w:sz w:val="24"/>
                <w:szCs w:val="24"/>
                <w:lang w:val="en-US" w:eastAsia="zh-CN"/>
              </w:rPr>
            </w:pPr>
            <w:r>
              <w:rPr>
                <w:rFonts w:hint="eastAsia" w:ascii="Times New Roman" w:hAnsi="Times New Roman" w:cs="Times New Roman"/>
                <w:sz w:val="24"/>
                <w:szCs w:val="24"/>
                <w:lang w:val="en-US" w:eastAsia="zh-CN"/>
              </w:rPr>
              <w:t>13548275256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spacing w:line="288" w:lineRule="auto"/>
              <w:jc w:val="center"/>
              <w:rPr>
                <w:rFonts w:ascii="Times New Roman" w:hAnsi="Times New Roman" w:cs="Times New Roman"/>
                <w:sz w:val="24"/>
                <w:szCs w:val="24"/>
              </w:rPr>
            </w:pPr>
            <w:r>
              <w:rPr>
                <w:rFonts w:hint="eastAsia" w:ascii="Times New Roman" w:hAnsi="Times New Roman" w:cs="Times New Roman"/>
                <w:sz w:val="24"/>
                <w:szCs w:val="24"/>
                <w:lang w:val="en-US" w:eastAsia="zh-CN"/>
              </w:rPr>
              <w:t xml:space="preserve"> </w:t>
            </w:r>
            <w:r>
              <w:rPr>
                <w:rFonts w:ascii="Times New Roman" w:hAnsi="Times New Roman" w:cs="Times New Roman"/>
                <w:sz w:val="24"/>
                <w:szCs w:val="24"/>
              </w:rPr>
              <w:t>建设地点</w:t>
            </w:r>
          </w:p>
        </w:tc>
        <w:tc>
          <w:tcPr>
            <w:tcW w:w="8725" w:type="dxa"/>
            <w:gridSpan w:val="3"/>
            <w:vAlign w:val="center"/>
          </w:tcPr>
          <w:p>
            <w:pPr>
              <w:adjustRightInd w:val="0"/>
              <w:snapToGrid w:val="0"/>
              <w:spacing w:line="276" w:lineRule="auto"/>
              <w:jc w:val="center"/>
              <w:rPr>
                <w:rFonts w:hint="eastAsia" w:ascii="Times New Roman" w:hAnsi="Times New Roman" w:cs="Times New Roman" w:eastAsiaTheme="minorEastAsia"/>
                <w:sz w:val="24"/>
                <w:szCs w:val="24"/>
                <w:lang w:eastAsia="zh-CN"/>
              </w:rPr>
            </w:pPr>
            <w:r>
              <w:rPr>
                <w:rFonts w:hint="eastAsia" w:ascii="Times New Roman" w:hAnsi="Times New Roman" w:cs="Times New Roman"/>
                <w:sz w:val="24"/>
                <w:szCs w:val="24"/>
                <w:lang w:eastAsia="zh-CN"/>
              </w:rPr>
              <w:t>达州市宣汉县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spacing w:line="288" w:lineRule="auto"/>
              <w:jc w:val="center"/>
              <w:rPr>
                <w:rFonts w:ascii="Times New Roman" w:hAnsi="Times New Roman" w:cs="Times New Roman"/>
                <w:sz w:val="24"/>
                <w:szCs w:val="24"/>
              </w:rPr>
            </w:pPr>
            <w:r>
              <w:rPr>
                <w:rFonts w:ascii="Times New Roman" w:hAnsi="Times New Roman" w:cs="Times New Roman"/>
                <w:sz w:val="24"/>
                <w:szCs w:val="24"/>
              </w:rPr>
              <w:t>地理坐标</w:t>
            </w:r>
          </w:p>
        </w:tc>
        <w:tc>
          <w:tcPr>
            <w:tcW w:w="8725" w:type="dxa"/>
            <w:gridSpan w:val="3"/>
            <w:vAlign w:val="center"/>
          </w:tcPr>
          <w:p>
            <w:pPr>
              <w:autoSpaceDE w:val="0"/>
              <w:autoSpaceDN w:val="0"/>
              <w:adjustRightInd w:val="0"/>
              <w:snapToGrid w:val="0"/>
              <w:spacing w:line="276" w:lineRule="auto"/>
              <w:rPr>
                <w:rFonts w:hint="eastAsia" w:ascii="Times New Roman" w:hAnsi="Times New Roman" w:cs="Times New Roman"/>
                <w:b/>
                <w:bCs/>
                <w:kern w:val="0"/>
                <w:sz w:val="24"/>
                <w:szCs w:val="24"/>
                <w:lang w:val="en-US" w:eastAsia="zh-CN"/>
              </w:rPr>
            </w:pPr>
            <w:r>
              <w:rPr>
                <w:rFonts w:hint="eastAsia" w:ascii="Times New Roman" w:hAnsi="Times New Roman" w:cs="Times New Roman"/>
                <w:b/>
                <w:bCs/>
                <w:kern w:val="0"/>
                <w:sz w:val="24"/>
                <w:szCs w:val="24"/>
                <w:lang w:val="en-US" w:eastAsia="zh-CN"/>
              </w:rPr>
              <w:t>列出各灌区主输水管道、干渠起止点（末级管道、渠系较多此处不再列出）：</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观音岩水库灌区主管道：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57.974</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34.407</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32</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54.549</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12.476</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秧田湾水库灌区主渠道：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50.507</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34.407</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57.810</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28.357</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0"/>
                <w:sz w:val="24"/>
                <w:szCs w:val="24"/>
                <w:lang w:val="en-US" w:eastAsia="zh-CN"/>
                <w14:textFill>
                  <w14:solidFill>
                    <w14:schemeClr w14:val="tx1"/>
                  </w14:solidFill>
                </w14:textFill>
              </w:rPr>
              <w:t>云顶水库</w:t>
            </w:r>
            <w:r>
              <w:rPr>
                <w:rFonts w:hint="eastAsia" w:ascii="Times New Roman" w:hAnsi="Times New Roman" w:cs="Times New Roman"/>
                <w:kern w:val="0"/>
                <w:sz w:val="24"/>
                <w:szCs w:val="24"/>
                <w:lang w:val="en-US" w:eastAsia="zh-CN"/>
              </w:rPr>
              <w:t>灌区</w:t>
            </w:r>
            <w:r>
              <w:rPr>
                <w:rFonts w:hint="eastAsia" w:ascii="Times New Roman" w:hAnsi="Times New Roman" w:cs="Times New Roman"/>
                <w:color w:val="000000" w:themeColor="text1"/>
                <w:kern w:val="0"/>
                <w:sz w:val="24"/>
                <w:szCs w:val="24"/>
                <w:lang w:val="en-US" w:eastAsia="zh-CN"/>
                <w14:textFill>
                  <w14:solidFill>
                    <w14:schemeClr w14:val="tx1"/>
                  </w14:solidFill>
                </w14:textFill>
              </w:rPr>
              <w:t>主管道：</w:t>
            </w: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起点坐标</w:t>
            </w:r>
            <w:r>
              <w:rPr>
                <w:rFonts w:hint="eastAsia" w:ascii="Times New Roman" w:hAnsi="Times New Roman" w:cs="Times New Roman"/>
                <w:color w:val="000000" w:themeColor="text1"/>
                <w:kern w:val="0"/>
                <w:sz w:val="24"/>
                <w:szCs w:val="24"/>
                <w14:textFill>
                  <w14:solidFill>
                    <w14:schemeClr w14:val="tx1"/>
                  </w14:solidFill>
                </w14:textFill>
              </w:rPr>
              <w:t>10</w:t>
            </w:r>
            <w:r>
              <w:rPr>
                <w:rFonts w:hint="eastAsia" w:ascii="Times New Roman" w:hAnsi="Times New Roman" w:cs="Times New Roman"/>
                <w:color w:val="000000" w:themeColor="text1"/>
                <w:kern w:val="0"/>
                <w:sz w:val="24"/>
                <w:szCs w:val="24"/>
                <w:lang w:val="en-US" w:eastAsia="zh-CN"/>
                <w14:textFill>
                  <w14:solidFill>
                    <w14:schemeClr w14:val="tx1"/>
                  </w14:solidFill>
                </w14:textFill>
              </w:rPr>
              <w:t>8</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8</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57.201</w:t>
            </w:r>
            <w:r>
              <w:rPr>
                <w:rFonts w:hint="eastAsia" w:ascii="Times New Roman" w:hAnsi="Times New Roman" w:cs="Times New Roman"/>
                <w:color w:val="000000" w:themeColor="text1"/>
                <w:kern w:val="0"/>
                <w:sz w:val="24"/>
                <w:szCs w:val="24"/>
                <w14:textFill>
                  <w14:solidFill>
                    <w14:schemeClr w14:val="tx1"/>
                  </w14:solidFill>
                </w14:textFill>
              </w:rPr>
              <w:t>″、31°</w:t>
            </w:r>
            <w:r>
              <w:rPr>
                <w:rFonts w:hint="eastAsia" w:ascii="Times New Roman" w:hAnsi="Times New Roman" w:cs="Times New Roman"/>
                <w:color w:val="000000" w:themeColor="text1"/>
                <w:kern w:val="0"/>
                <w:sz w:val="24"/>
                <w:szCs w:val="24"/>
                <w:lang w:val="en-US" w:eastAsia="zh-CN"/>
                <w14:textFill>
                  <w14:solidFill>
                    <w14:schemeClr w14:val="tx1"/>
                  </w14:solidFill>
                </w14:textFill>
              </w:rPr>
              <w:t>38</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4.650</w:t>
            </w:r>
            <w:r>
              <w:rPr>
                <w:rFonts w:hint="eastAsia" w:ascii="Times New Roman" w:hAnsi="Times New Roman" w:cs="Times New Roman"/>
                <w:color w:val="000000" w:themeColor="text1"/>
                <w:kern w:val="0"/>
                <w:sz w:val="24"/>
                <w:szCs w:val="24"/>
                <w14:textFill>
                  <w14:solidFill>
                    <w14:schemeClr w14:val="tx1"/>
                  </w14:solidFill>
                </w14:textFill>
              </w:rPr>
              <w:t>″</w:t>
            </w:r>
            <w:r>
              <w:rPr>
                <w:rFonts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终点坐标</w:t>
            </w:r>
            <w:r>
              <w:rPr>
                <w:rFonts w:hint="eastAsia" w:ascii="Times New Roman" w:hAnsi="Times New Roman" w:cs="Times New Roman"/>
                <w:color w:val="000000" w:themeColor="text1"/>
                <w:kern w:val="0"/>
                <w:sz w:val="24"/>
                <w:szCs w:val="24"/>
                <w14:textFill>
                  <w14:solidFill>
                    <w14:schemeClr w14:val="tx1"/>
                  </w14:solidFill>
                </w14:textFill>
              </w:rPr>
              <w:t>10</w:t>
            </w:r>
            <w:r>
              <w:rPr>
                <w:rFonts w:hint="eastAsia" w:ascii="Times New Roman" w:hAnsi="Times New Roman" w:cs="Times New Roman"/>
                <w:color w:val="000000" w:themeColor="text1"/>
                <w:kern w:val="0"/>
                <w:sz w:val="24"/>
                <w:szCs w:val="24"/>
                <w:lang w:val="en-US" w:eastAsia="zh-CN"/>
                <w14:textFill>
                  <w14:solidFill>
                    <w14:schemeClr w14:val="tx1"/>
                  </w14:solidFill>
                </w14:textFill>
              </w:rPr>
              <w:t>8</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7</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2.604</w:t>
            </w:r>
            <w:r>
              <w:rPr>
                <w:rFonts w:hint="eastAsia" w:ascii="Times New Roman" w:hAnsi="Times New Roman" w:cs="Times New Roman"/>
                <w:color w:val="000000" w:themeColor="text1"/>
                <w:kern w:val="0"/>
                <w:sz w:val="24"/>
                <w:szCs w:val="24"/>
                <w14:textFill>
                  <w14:solidFill>
                    <w14:schemeClr w14:val="tx1"/>
                  </w14:solidFill>
                </w14:textFill>
              </w:rPr>
              <w:t>″、3</w:t>
            </w:r>
            <w:r>
              <w:rPr>
                <w:rFonts w:hint="eastAsia" w:ascii="Times New Roman" w:hAnsi="Times New Roman" w:cs="Times New Roman"/>
                <w:color w:val="000000" w:themeColor="text1"/>
                <w:kern w:val="0"/>
                <w:sz w:val="24"/>
                <w:szCs w:val="24"/>
                <w:lang w:val="en-US" w:eastAsia="zh-CN"/>
                <w14:textFill>
                  <w14:solidFill>
                    <w14:schemeClr w14:val="tx1"/>
                  </w14:solidFill>
                </w14:textFill>
              </w:rPr>
              <w:t>1</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37</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35.228</w:t>
            </w: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小沟河水库灌区主管道：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33.973</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7.092</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30.632</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52.726</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曹家沟水库灌区主管道：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35.777</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14</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46.632</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4.511</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14</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45.184</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漆树沟水库灌区主渠道：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43</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44.110</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44.767</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43</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42.381</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37.089</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刘家坪水库灌区主管道：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6.684</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43</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55.531</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49.016</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49.811</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烂田湾水库灌区主管道：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42.722</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22.124</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59</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4.319</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22.867</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eastAsia"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后头湾水库灌区主渠道：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39.826</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32</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48.367</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51.209</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32</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21.765</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长征水库灌区主管道：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53.471</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37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23.901</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24.830</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22.974</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南六水库灌区主渠道：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40.751</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20</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34.159</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34.984</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20</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35.762</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九军坪水库灌区主管道：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56.899</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10</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59.663</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17.578</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10</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22.604</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老寨沟水库灌区主渠道：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49</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49.064</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31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4.810</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59.720</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32</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9.630</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rPr>
                <w:rFonts w:hint="default"/>
                <w:lang w:val="en-US" w:eastAsia="zh-CN"/>
              </w:rPr>
            </w:pPr>
            <w:r>
              <w:rPr>
                <w:rFonts w:hint="eastAsia" w:ascii="Times New Roman" w:hAnsi="Times New Roman" w:cs="Times New Roman"/>
                <w:kern w:val="0"/>
                <w:sz w:val="24"/>
                <w:szCs w:val="24"/>
                <w:lang w:val="en-US" w:eastAsia="zh-CN"/>
              </w:rPr>
              <w:t>阴洞岩水库灌区主渠道：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53.110</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23</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39.773</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15.645</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7.796</w:t>
            </w:r>
            <w:r>
              <w:rPr>
                <w:rFonts w:hint="eastAsia" w:ascii="Times New Roman" w:hAnsi="Times New Roman" w:eastAsia="宋体" w:cs="Times New Roman"/>
                <w:b w:val="0"/>
                <w:bCs w:val="0"/>
                <w:color w:val="000000"/>
                <w:kern w:val="0"/>
                <w:sz w:val="24"/>
                <w:szCs w:val="24"/>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spacing w:line="276" w:lineRule="auto"/>
              <w:jc w:val="center"/>
              <w:rPr>
                <w:rFonts w:ascii="Times New Roman" w:hAnsi="Times New Roman" w:cs="Times New Roman"/>
                <w:sz w:val="24"/>
                <w:szCs w:val="24"/>
              </w:rPr>
            </w:pPr>
            <w:r>
              <w:rPr>
                <w:rFonts w:ascii="Times New Roman" w:hAnsi="Times New Roman" w:cs="Times New Roman"/>
                <w:sz w:val="24"/>
                <w:szCs w:val="24"/>
              </w:rPr>
              <w:t>建设项目行业类别</w:t>
            </w:r>
          </w:p>
        </w:tc>
        <w:tc>
          <w:tcPr>
            <w:tcW w:w="2152" w:type="dxa"/>
            <w:vAlign w:val="center"/>
          </w:tcPr>
          <w:p>
            <w:pPr>
              <w:adjustRightInd w:val="0"/>
              <w:snapToGrid w:val="0"/>
              <w:spacing w:line="276" w:lineRule="auto"/>
              <w:jc w:val="center"/>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五十一、水利、灌区工程（不含水源</w:t>
            </w:r>
          </w:p>
          <w:p>
            <w:pPr>
              <w:adjustRightInd w:val="0"/>
              <w:snapToGrid w:val="0"/>
              <w:spacing w:line="276" w:lineRule="auto"/>
              <w:jc w:val="center"/>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工程的）</w:t>
            </w:r>
          </w:p>
        </w:tc>
        <w:tc>
          <w:tcPr>
            <w:tcW w:w="2319" w:type="dxa"/>
            <w:vAlign w:val="center"/>
          </w:tcPr>
          <w:p>
            <w:pPr>
              <w:adjustRightInd w:val="0"/>
              <w:snapToGrid w:val="0"/>
              <w:spacing w:line="276"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用地（用海）面积/长度（km）</w:t>
            </w:r>
          </w:p>
        </w:tc>
        <w:tc>
          <w:tcPr>
            <w:tcW w:w="4254" w:type="dxa"/>
            <w:vAlign w:val="center"/>
          </w:tcPr>
          <w:p>
            <w:pPr>
              <w:adjustRightInd w:val="0"/>
              <w:snapToGrid w:val="0"/>
              <w:spacing w:line="276" w:lineRule="auto"/>
              <w:jc w:val="center"/>
              <w:rPr>
                <w:rFonts w:hint="eastAsia" w:ascii="Times New Roman" w:hAnsi="Times New Roman" w:cs="Times New Roman" w:eastAsiaTheme="minorEastAsia"/>
                <w:sz w:val="24"/>
                <w:szCs w:val="24"/>
                <w:lang w:eastAsia="zh-CN"/>
              </w:rPr>
            </w:pPr>
            <w:r>
              <w:rPr>
                <w:rFonts w:hint="eastAsia" w:ascii="Times New Roman" w:hAnsi="Times New Roman" w:cs="Times New Roman"/>
                <w:color w:val="000000" w:themeColor="text1"/>
                <w:sz w:val="24"/>
                <w:szCs w:val="24"/>
                <w:lang w:val="en-US" w:eastAsia="zh-CN"/>
                <w14:textFill>
                  <w14:solidFill>
                    <w14:schemeClr w14:val="tx1"/>
                  </w14:solidFill>
                </w14:textFill>
              </w:rPr>
              <w:t>/（无新增占地）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spacing w:line="288" w:lineRule="auto"/>
              <w:jc w:val="center"/>
              <w:rPr>
                <w:rFonts w:ascii="Times New Roman" w:hAnsi="Times New Roman" w:cs="Times New Roman"/>
                <w:sz w:val="24"/>
                <w:szCs w:val="24"/>
              </w:rPr>
            </w:pPr>
            <w:r>
              <w:rPr>
                <w:rFonts w:ascii="Times New Roman" w:hAnsi="Times New Roman" w:cs="Times New Roman"/>
                <w:sz w:val="24"/>
                <w:szCs w:val="24"/>
              </w:rPr>
              <w:t>建设性质</w:t>
            </w:r>
          </w:p>
        </w:tc>
        <w:tc>
          <w:tcPr>
            <w:tcW w:w="2152" w:type="dxa"/>
            <w:vAlign w:val="center"/>
          </w:tcPr>
          <w:p>
            <w:pPr>
              <w:adjustRightInd w:val="0"/>
              <w:snapToGrid w:val="0"/>
              <w:spacing w:line="276" w:lineRule="auto"/>
              <w:jc w:val="left"/>
              <w:rPr>
                <w:rFonts w:ascii="Times New Roman" w:hAnsi="Times New Roman" w:cs="Times New Roman"/>
                <w:sz w:val="24"/>
                <w:szCs w:val="24"/>
              </w:rPr>
            </w:pPr>
            <w:r>
              <w:rPr>
                <w:rFonts w:ascii="Times New Roman" w:hAnsi="Times New Roman" w:cs="Times New Roman"/>
                <w:sz w:val="24"/>
                <w:szCs w:val="24"/>
              </w:rPr>
              <w:sym w:font="Wingdings 2" w:char="00A3"/>
            </w:r>
            <w:r>
              <w:rPr>
                <w:rFonts w:ascii="Times New Roman" w:hAnsi="Times New Roman" w:cs="Times New Roman"/>
                <w:sz w:val="24"/>
                <w:szCs w:val="24"/>
              </w:rPr>
              <w:t>新建（迁建）</w:t>
            </w:r>
          </w:p>
          <w:p>
            <w:pPr>
              <w:adjustRightInd w:val="0"/>
              <w:snapToGrid w:val="0"/>
              <w:spacing w:line="276" w:lineRule="auto"/>
              <w:jc w:val="left"/>
              <w:rPr>
                <w:rFonts w:ascii="Times New Roman" w:hAnsi="Times New Roman" w:cs="Times New Roman"/>
                <w:sz w:val="24"/>
                <w:szCs w:val="24"/>
              </w:rPr>
            </w:pPr>
            <w:r>
              <w:rPr>
                <w:rFonts w:hint="eastAsia" w:ascii="Times New Roman" w:hAnsi="Times New Roman" w:cs="Times New Roman"/>
                <w:sz w:val="24"/>
                <w:szCs w:val="24"/>
                <w:lang w:eastAsia="zh-CN"/>
              </w:rPr>
              <w:t>☑</w:t>
            </w:r>
            <w:r>
              <w:rPr>
                <w:rFonts w:ascii="Times New Roman" w:hAnsi="Times New Roman" w:cs="Times New Roman"/>
                <w:sz w:val="24"/>
                <w:szCs w:val="24"/>
              </w:rPr>
              <w:t>改建</w:t>
            </w:r>
          </w:p>
          <w:p>
            <w:pPr>
              <w:adjustRightInd w:val="0"/>
              <w:snapToGrid w:val="0"/>
              <w:spacing w:line="276" w:lineRule="auto"/>
              <w:jc w:val="left"/>
              <w:rPr>
                <w:rFonts w:ascii="Times New Roman" w:hAnsi="Times New Roman" w:cs="Times New Roman"/>
                <w:sz w:val="24"/>
                <w:szCs w:val="24"/>
              </w:rPr>
            </w:pPr>
            <w:r>
              <w:rPr>
                <w:rFonts w:ascii="Times New Roman" w:hAnsi="Times New Roman" w:cs="Times New Roman"/>
                <w:sz w:val="24"/>
                <w:szCs w:val="24"/>
              </w:rPr>
              <w:t>□扩建</w:t>
            </w:r>
          </w:p>
          <w:p>
            <w:pPr>
              <w:adjustRightInd w:val="0"/>
              <w:snapToGrid w:val="0"/>
              <w:spacing w:line="276" w:lineRule="auto"/>
              <w:rPr>
                <w:rFonts w:ascii="Times New Roman" w:hAnsi="Times New Roman" w:cs="Times New Roman"/>
                <w:sz w:val="24"/>
                <w:szCs w:val="24"/>
              </w:rPr>
            </w:pPr>
            <w:r>
              <w:rPr>
                <w:rFonts w:ascii="Times New Roman" w:hAnsi="Times New Roman" w:cs="Times New Roman"/>
                <w:sz w:val="24"/>
                <w:szCs w:val="24"/>
              </w:rPr>
              <w:t>□技术改造</w:t>
            </w:r>
          </w:p>
        </w:tc>
        <w:tc>
          <w:tcPr>
            <w:tcW w:w="2319" w:type="dxa"/>
            <w:vAlign w:val="center"/>
          </w:tcPr>
          <w:p>
            <w:pPr>
              <w:adjustRightInd w:val="0"/>
              <w:snapToGrid w:val="0"/>
              <w:spacing w:line="276" w:lineRule="auto"/>
              <w:jc w:val="center"/>
              <w:rPr>
                <w:rFonts w:ascii="Times New Roman" w:hAnsi="Times New Roman" w:cs="Times New Roman"/>
                <w:sz w:val="24"/>
                <w:szCs w:val="24"/>
              </w:rPr>
            </w:pPr>
            <w:r>
              <w:rPr>
                <w:rFonts w:ascii="Times New Roman" w:hAnsi="Times New Roman" w:cs="Times New Roman"/>
                <w:sz w:val="24"/>
                <w:szCs w:val="24"/>
              </w:rPr>
              <w:t>建设项目申报情形</w:t>
            </w:r>
          </w:p>
        </w:tc>
        <w:tc>
          <w:tcPr>
            <w:tcW w:w="4254" w:type="dxa"/>
            <w:vAlign w:val="center"/>
          </w:tcPr>
          <w:p>
            <w:pPr>
              <w:adjustRightInd w:val="0"/>
              <w:snapToGrid w:val="0"/>
              <w:spacing w:line="276" w:lineRule="auto"/>
              <w:rPr>
                <w:rFonts w:ascii="Times New Roman" w:hAnsi="Times New Roman" w:cs="Times New Roman"/>
                <w:sz w:val="24"/>
                <w:szCs w:val="24"/>
              </w:rPr>
            </w:pPr>
            <w:r>
              <w:rPr>
                <w:rFonts w:ascii="Times New Roman" w:hAnsi="Times New Roman" w:cs="Times New Roman"/>
                <w:sz w:val="24"/>
                <w:szCs w:val="24"/>
              </w:rPr>
              <w:t>■首次申报项目</w:t>
            </w:r>
          </w:p>
          <w:p>
            <w:pPr>
              <w:adjustRightInd w:val="0"/>
              <w:snapToGrid w:val="0"/>
              <w:spacing w:line="276" w:lineRule="auto"/>
              <w:rPr>
                <w:rFonts w:ascii="Times New Roman" w:hAnsi="Times New Roman" w:cs="Times New Roman"/>
                <w:sz w:val="24"/>
                <w:szCs w:val="24"/>
              </w:rPr>
            </w:pPr>
            <w:r>
              <w:rPr>
                <w:rFonts w:ascii="Times New Roman" w:hAnsi="Times New Roman" w:cs="Times New Roman"/>
                <w:sz w:val="24"/>
                <w:szCs w:val="24"/>
              </w:rPr>
              <w:t>□不予批准后再次申报项目</w:t>
            </w:r>
          </w:p>
          <w:p>
            <w:pPr>
              <w:adjustRightInd w:val="0"/>
              <w:snapToGrid w:val="0"/>
              <w:spacing w:line="276" w:lineRule="auto"/>
              <w:rPr>
                <w:rFonts w:ascii="Times New Roman" w:hAnsi="Times New Roman" w:cs="Times New Roman"/>
                <w:sz w:val="24"/>
                <w:szCs w:val="24"/>
              </w:rPr>
            </w:pPr>
            <w:r>
              <w:rPr>
                <w:rFonts w:ascii="Times New Roman" w:hAnsi="Times New Roman" w:cs="Times New Roman"/>
                <w:sz w:val="24"/>
                <w:szCs w:val="24"/>
              </w:rPr>
              <w:t>□超五年重新审核项目</w:t>
            </w:r>
          </w:p>
          <w:p>
            <w:pPr>
              <w:adjustRightInd w:val="0"/>
              <w:snapToGrid w:val="0"/>
              <w:spacing w:line="276" w:lineRule="auto"/>
              <w:rPr>
                <w:rFonts w:ascii="Times New Roman" w:hAnsi="Times New Roman" w:cs="Times New Roman"/>
                <w:sz w:val="24"/>
                <w:szCs w:val="24"/>
              </w:rPr>
            </w:pPr>
            <w:r>
              <w:rPr>
                <w:rFonts w:ascii="Times New Roman" w:hAnsi="Times New Roman" w:cs="Times New Roman"/>
                <w:sz w:val="24"/>
                <w:szCs w:val="24"/>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项目审批（核准/备案）部门（选填）</w:t>
            </w:r>
          </w:p>
        </w:tc>
        <w:tc>
          <w:tcPr>
            <w:tcW w:w="2152" w:type="dxa"/>
            <w:vAlign w:val="center"/>
          </w:tcPr>
          <w:p>
            <w:pPr>
              <w:snapToGrid w:val="0"/>
              <w:jc w:val="center"/>
              <w:rPr>
                <w:rFonts w:hint="eastAsia" w:ascii="Times New Roman" w:hAnsi="Times New Roman" w:cs="Times New Roman" w:eastAsiaTheme="minorEastAsia"/>
                <w:sz w:val="24"/>
                <w:szCs w:val="24"/>
                <w:lang w:eastAsia="zh-CN"/>
              </w:rPr>
            </w:pPr>
            <w:r>
              <w:rPr>
                <w:rFonts w:hint="eastAsia" w:ascii="Times New Roman" w:hAnsi="Times New Roman"/>
                <w:sz w:val="24"/>
                <w:szCs w:val="24"/>
                <w:lang w:eastAsia="zh-CN"/>
              </w:rPr>
              <w:t>宣汉县发展和改革局</w:t>
            </w:r>
          </w:p>
        </w:tc>
        <w:tc>
          <w:tcPr>
            <w:tcW w:w="2319" w:type="dxa"/>
            <w:vAlign w:val="center"/>
          </w:tcPr>
          <w:p>
            <w:pPr>
              <w:snapToGrid w:val="0"/>
              <w:jc w:val="center"/>
              <w:rPr>
                <w:rFonts w:ascii="Times New Roman" w:hAnsi="Times New Roman"/>
                <w:b w:val="0"/>
                <w:bCs/>
                <w:sz w:val="24"/>
                <w:szCs w:val="24"/>
              </w:rPr>
            </w:pPr>
            <w:r>
              <w:rPr>
                <w:rFonts w:ascii="Times New Roman" w:hAnsi="Times New Roman"/>
                <w:b w:val="0"/>
                <w:bCs/>
                <w:sz w:val="24"/>
                <w:szCs w:val="24"/>
              </w:rPr>
              <w:t>项目审批（核准/</w:t>
            </w:r>
          </w:p>
          <w:p>
            <w:pPr>
              <w:snapToGrid w:val="0"/>
              <w:jc w:val="center"/>
              <w:rPr>
                <w:rFonts w:ascii="Times New Roman" w:hAnsi="Times New Roman" w:cs="Times New Roman"/>
                <w:sz w:val="24"/>
                <w:szCs w:val="24"/>
              </w:rPr>
            </w:pPr>
            <w:r>
              <w:rPr>
                <w:rFonts w:ascii="Times New Roman" w:hAnsi="Times New Roman"/>
                <w:b w:val="0"/>
                <w:bCs/>
                <w:sz w:val="24"/>
                <w:szCs w:val="24"/>
              </w:rPr>
              <w:t>备案）文号（选填）</w:t>
            </w:r>
          </w:p>
        </w:tc>
        <w:tc>
          <w:tcPr>
            <w:tcW w:w="4254" w:type="dxa"/>
            <w:vAlign w:val="center"/>
          </w:tcPr>
          <w:p>
            <w:pPr>
              <w:snapToGrid w:val="0"/>
              <w:jc w:val="center"/>
              <w:rPr>
                <w:rFonts w:ascii="Times New Roman" w:hAnsi="Times New Roman" w:cs="Times New Roman"/>
                <w:sz w:val="24"/>
                <w:szCs w:val="24"/>
              </w:rPr>
            </w:pPr>
            <w:r>
              <w:rPr>
                <w:rFonts w:hint="eastAsia" w:ascii="Times New Roman" w:hAnsi="Times New Roman" w:cs="Times New Roman"/>
                <w:sz w:val="24"/>
                <w:szCs w:val="24"/>
                <w:lang w:val="en-US" w:eastAsia="zh-CN"/>
              </w:rPr>
              <w:t>宣</w:t>
            </w:r>
            <w:r>
              <w:rPr>
                <w:rFonts w:hint="eastAsia" w:ascii="Times New Roman" w:hAnsi="Times New Roman" w:cs="Times New Roman"/>
                <w:sz w:val="24"/>
                <w:szCs w:val="24"/>
              </w:rPr>
              <w:t>发改</w:t>
            </w:r>
            <w:r>
              <w:rPr>
                <w:rFonts w:hint="eastAsia" w:ascii="Times New Roman" w:hAnsi="Times New Roman" w:cs="Times New Roman"/>
                <w:sz w:val="24"/>
                <w:szCs w:val="24"/>
                <w:lang w:val="en-US" w:eastAsia="zh-CN"/>
              </w:rPr>
              <w:t>审〔2023〕401</w:t>
            </w:r>
            <w:r>
              <w:rPr>
                <w:rFonts w:hint="eastAsia" w:ascii="Times New Roman" w:hAnsi="Times New Roman" w:cs="Times New Roman"/>
                <w:sz w:val="24"/>
                <w:szCs w:val="24"/>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总投资（万元）</w:t>
            </w:r>
          </w:p>
        </w:tc>
        <w:tc>
          <w:tcPr>
            <w:tcW w:w="2152" w:type="dxa"/>
            <w:vAlign w:val="center"/>
          </w:tcPr>
          <w:p>
            <w:pPr>
              <w:adjustRightInd w:val="0"/>
              <w:snapToGrid w:val="0"/>
              <w:spacing w:line="276" w:lineRule="auto"/>
              <w:jc w:val="center"/>
              <w:rPr>
                <w:rFonts w:hint="default" w:ascii="Times New Roman" w:hAnsi="Times New Roman" w:cs="Times New Roman"/>
                <w:sz w:val="24"/>
                <w:szCs w:val="24"/>
                <w:lang w:val="en-US"/>
              </w:rPr>
            </w:pPr>
            <w:r>
              <w:rPr>
                <w:rFonts w:hint="eastAsia" w:ascii="Times New Roman" w:hAnsi="Times New Roman" w:cs="Times New Roman"/>
                <w:sz w:val="24"/>
                <w:szCs w:val="24"/>
                <w:lang w:val="en-US" w:eastAsia="zh-CN"/>
              </w:rPr>
              <w:t>5790</w:t>
            </w:r>
          </w:p>
        </w:tc>
        <w:tc>
          <w:tcPr>
            <w:tcW w:w="2319" w:type="dxa"/>
            <w:vAlign w:val="center"/>
          </w:tcPr>
          <w:p>
            <w:pPr>
              <w:adjustRightInd w:val="0"/>
              <w:snapToGrid w:val="0"/>
              <w:spacing w:line="276"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环保投资（万元）</w:t>
            </w:r>
          </w:p>
        </w:tc>
        <w:tc>
          <w:tcPr>
            <w:tcW w:w="4254" w:type="dxa"/>
            <w:vAlign w:val="center"/>
          </w:tcPr>
          <w:p>
            <w:pPr>
              <w:adjustRightInd w:val="0"/>
              <w:snapToGrid w:val="0"/>
              <w:spacing w:line="276" w:lineRule="auto"/>
              <w:jc w:val="cente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环保投资占比（%）</w:t>
            </w:r>
          </w:p>
        </w:tc>
        <w:tc>
          <w:tcPr>
            <w:tcW w:w="2152" w:type="dxa"/>
            <w:vAlign w:val="center"/>
          </w:tcPr>
          <w:p>
            <w:pPr>
              <w:adjustRightInd w:val="0"/>
              <w:snapToGrid w:val="0"/>
              <w:spacing w:line="276" w:lineRule="auto"/>
              <w:jc w:val="center"/>
              <w:rPr>
                <w:rFonts w:hint="default" w:ascii="Times New Roman" w:hAnsi="Times New Roman" w:cs="Times New Roman" w:eastAsiaTheme="minorEastAsia"/>
                <w:sz w:val="24"/>
                <w:szCs w:val="24"/>
                <w:lang w:val="en-US" w:eastAsia="zh-CN"/>
              </w:rPr>
            </w:pPr>
            <w:r>
              <w:rPr>
                <w:rFonts w:hint="eastAsia" w:ascii="Times New Roman" w:hAnsi="Times New Roman" w:cs="Times New Roman"/>
                <w:color w:val="000000" w:themeColor="text1"/>
                <w:sz w:val="24"/>
                <w:szCs w:val="24"/>
                <w:lang w:val="en-US" w:eastAsia="zh-CN"/>
                <w14:textFill>
                  <w14:solidFill>
                    <w14:schemeClr w14:val="tx1"/>
                  </w14:solidFill>
                </w14:textFill>
              </w:rPr>
              <w:t>5.23</w:t>
            </w:r>
          </w:p>
        </w:tc>
        <w:tc>
          <w:tcPr>
            <w:tcW w:w="2319" w:type="dxa"/>
            <w:vAlign w:val="center"/>
          </w:tcPr>
          <w:p>
            <w:pPr>
              <w:adjustRightInd w:val="0"/>
              <w:snapToGrid w:val="0"/>
              <w:spacing w:line="276"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施工工期</w:t>
            </w:r>
          </w:p>
        </w:tc>
        <w:tc>
          <w:tcPr>
            <w:tcW w:w="4254" w:type="dxa"/>
            <w:vAlign w:val="center"/>
          </w:tcPr>
          <w:p>
            <w:pPr>
              <w:adjustRightInd w:val="0"/>
              <w:snapToGrid w:val="0"/>
              <w:spacing w:line="276" w:lineRule="auto"/>
              <w:jc w:val="center"/>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36个月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1237" w:type="dxa"/>
            <w:vAlign w:val="center"/>
          </w:tcPr>
          <w:p>
            <w:pPr>
              <w:adjustRightInd w:val="0"/>
              <w:snapToGrid w:val="0"/>
              <w:jc w:val="center"/>
              <w:rPr>
                <w:rFonts w:ascii="Times New Roman" w:hAnsi="Times New Roman" w:cs="Times New Roman"/>
                <w:sz w:val="24"/>
                <w:szCs w:val="24"/>
              </w:rPr>
            </w:pPr>
            <w:r>
              <w:rPr>
                <w:rFonts w:ascii="Times New Roman" w:hAnsi="Times New Roman" w:cs="Times New Roman"/>
                <w:sz w:val="24"/>
                <w:szCs w:val="24"/>
              </w:rPr>
              <w:t>是否开工建设</w:t>
            </w:r>
          </w:p>
        </w:tc>
        <w:tc>
          <w:tcPr>
            <w:tcW w:w="8725" w:type="dxa"/>
            <w:gridSpan w:val="3"/>
            <w:vAlign w:val="center"/>
          </w:tcPr>
          <w:p>
            <w:pPr>
              <w:adjustRightInd w:val="0"/>
              <w:snapToGrid w:val="0"/>
              <w:spacing w:line="276" w:lineRule="auto"/>
              <w:jc w:val="left"/>
              <w:rPr>
                <w:rFonts w:ascii="Times New Roman" w:hAnsi="Times New Roman" w:cs="Times New Roman"/>
                <w:sz w:val="24"/>
                <w:szCs w:val="24"/>
              </w:rPr>
            </w:pPr>
            <w:r>
              <w:rPr>
                <w:rFonts w:ascii="Times New Roman" w:hAnsi="Times New Roman" w:cs="Times New Roman"/>
                <w:sz w:val="24"/>
                <w:szCs w:val="24"/>
              </w:rPr>
              <w:t>■否</w:t>
            </w:r>
          </w:p>
          <w:p>
            <w:pPr>
              <w:adjustRightInd w:val="0"/>
              <w:snapToGrid w:val="0"/>
              <w:spacing w:line="276" w:lineRule="auto"/>
              <w:rPr>
                <w:rFonts w:ascii="Times New Roman" w:hAnsi="Times New Roman" w:cs="Times New Roman"/>
                <w:sz w:val="24"/>
                <w:szCs w:val="24"/>
              </w:rPr>
            </w:pPr>
            <w:r>
              <w:rPr>
                <w:rFonts w:ascii="Times New Roman" w:hAnsi="Times New Roman" w:cs="Times New Roman"/>
                <w:sz w:val="24"/>
                <w:szCs w:val="24"/>
              </w:rPr>
              <w:t>□是：</w:t>
            </w:r>
            <w:r>
              <w:rPr>
                <w:rFonts w:ascii="Times New Roman" w:hAnsi="Times New Roman" w:cs="Times New Roman"/>
                <w:sz w:val="24"/>
                <w:szCs w:val="24"/>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utoSpaceDE w:val="0"/>
              <w:autoSpaceDN w:val="0"/>
              <w:adjustRightInd w:val="0"/>
              <w:snapToGrid w:val="0"/>
              <w:jc w:val="center"/>
              <w:rPr>
                <w:rFonts w:ascii="Times New Roman" w:hAnsi="Times New Roman" w:cs="Times New Roman"/>
                <w:kern w:val="0"/>
                <w:sz w:val="24"/>
                <w:szCs w:val="24"/>
              </w:rPr>
            </w:pPr>
            <w:r>
              <w:rPr>
                <w:rFonts w:ascii="Times New Roman" w:hAnsi="Times New Roman" w:cs="Times New Roman"/>
                <w:kern w:val="0"/>
                <w:sz w:val="24"/>
                <w:szCs w:val="24"/>
              </w:rPr>
              <w:t>专项评价设置</w:t>
            </w:r>
          </w:p>
          <w:p>
            <w:pPr>
              <w:autoSpaceDE w:val="0"/>
              <w:autoSpaceDN w:val="0"/>
              <w:adjustRightInd w:val="0"/>
              <w:snapToGrid w:val="0"/>
              <w:jc w:val="center"/>
              <w:rPr>
                <w:rFonts w:ascii="Times New Roman" w:hAnsi="Times New Roman" w:cs="Times New Roman"/>
                <w:kern w:val="0"/>
                <w:sz w:val="24"/>
                <w:szCs w:val="24"/>
              </w:rPr>
            </w:pPr>
            <w:r>
              <w:rPr>
                <w:rFonts w:ascii="Times New Roman" w:hAnsi="Times New Roman" w:cs="Times New Roman"/>
                <w:kern w:val="0"/>
                <w:sz w:val="24"/>
                <w:szCs w:val="24"/>
              </w:rPr>
              <w:t>情况</w:t>
            </w:r>
          </w:p>
        </w:tc>
        <w:tc>
          <w:tcPr>
            <w:tcW w:w="8725" w:type="dxa"/>
            <w:gridSpan w:val="3"/>
            <w:vAlign w:val="center"/>
          </w:tcPr>
          <w:p>
            <w:pPr>
              <w:autoSpaceDE w:val="0"/>
              <w:autoSpaceDN w:val="0"/>
              <w:adjustRightInd w:val="0"/>
              <w:snapToGrid w:val="0"/>
              <w:ind w:firstLine="420" w:firstLineChars="200"/>
              <w:rPr>
                <w:rFonts w:hint="default" w:ascii="Times New Roman" w:hAnsi="Times New Roman" w:eastAsia="宋体" w:cs="Times New Roman"/>
                <w:color w:val="000000"/>
                <w:kern w:val="0"/>
                <w:szCs w:val="21"/>
              </w:rPr>
            </w:pPr>
            <w:r>
              <w:rPr>
                <w:rFonts w:hint="default" w:ascii="Times New Roman" w:hAnsi="Times New Roman" w:eastAsia="宋体" w:cs="Times New Roman"/>
                <w:color w:val="000000"/>
                <w:kern w:val="0"/>
                <w:szCs w:val="21"/>
              </w:rPr>
              <w:t>根据对照建设项目环境影响报告表编制技术指南（生态影响类）（试行）中表1专项评价设置原则表，如下：</w:t>
            </w:r>
          </w:p>
          <w:p>
            <w:pPr>
              <w:autoSpaceDE w:val="0"/>
              <w:autoSpaceDN w:val="0"/>
              <w:adjustRightInd w:val="0"/>
              <w:snapToGrid w:val="0"/>
              <w:spacing w:line="240" w:lineRule="auto"/>
              <w:jc w:val="center"/>
              <w:rPr>
                <w:rFonts w:hint="default" w:ascii="Times New Roman" w:hAnsi="Times New Roman" w:eastAsia="宋体" w:cs="Times New Roman"/>
                <w:b/>
                <w:color w:val="000000"/>
                <w:kern w:val="0"/>
                <w:sz w:val="21"/>
                <w:szCs w:val="21"/>
              </w:rPr>
            </w:pPr>
            <w:r>
              <w:rPr>
                <w:rFonts w:hint="default" w:ascii="Times New Roman" w:hAnsi="Times New Roman" w:eastAsia="宋体" w:cs="Times New Roman"/>
                <w:b/>
                <w:color w:val="000000"/>
                <w:kern w:val="0"/>
                <w:sz w:val="21"/>
                <w:szCs w:val="21"/>
              </w:rPr>
              <w:t xml:space="preserve">表1-1 </w:t>
            </w:r>
            <w:r>
              <w:rPr>
                <w:rFonts w:hint="eastAsia" w:ascii="Times New Roman" w:hAnsi="Times New Roman" w:eastAsia="宋体" w:cs="Times New Roman"/>
                <w:b/>
                <w:color w:val="000000"/>
                <w:kern w:val="0"/>
                <w:sz w:val="21"/>
                <w:szCs w:val="21"/>
                <w:lang w:val="en-US" w:eastAsia="zh-CN"/>
              </w:rPr>
              <w:t xml:space="preserve">  </w:t>
            </w:r>
            <w:r>
              <w:rPr>
                <w:rFonts w:hint="default" w:ascii="Times New Roman" w:hAnsi="Times New Roman" w:eastAsia="宋体" w:cs="Times New Roman"/>
                <w:b/>
                <w:color w:val="000000"/>
                <w:kern w:val="0"/>
                <w:sz w:val="21"/>
                <w:szCs w:val="21"/>
              </w:rPr>
              <w:t>专项评价设置原则对照情况表</w:t>
            </w:r>
          </w:p>
          <w:tbl>
            <w:tblPr>
              <w:tblStyle w:val="26"/>
              <w:tblW w:w="845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0"/>
              <w:gridCol w:w="5219"/>
              <w:gridCol w:w="193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31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专项评价的类别</w:t>
                  </w:r>
                </w:p>
              </w:tc>
              <w:tc>
                <w:tcPr>
                  <w:tcW w:w="521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涉及项目类别</w:t>
                  </w:r>
                </w:p>
              </w:tc>
              <w:tc>
                <w:tcPr>
                  <w:tcW w:w="19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对照分析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3" w:hRule="atLeast"/>
                <w:jc w:val="center"/>
              </w:trPr>
              <w:tc>
                <w:tcPr>
                  <w:tcW w:w="131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地表水</w:t>
                  </w:r>
                </w:p>
              </w:tc>
              <w:tc>
                <w:tcPr>
                  <w:tcW w:w="521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水力发电：引水式发电、涉及调峰发电的项目；</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人工湖、人工湿地：全部；</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水库：全部；</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引水工程：全部（配套的管线工程等除外）；</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防洪除涝工程：包含水库的项目；</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河湖整治：涉及清淤且底泥存在重金属污染的项目</w:t>
                  </w:r>
                </w:p>
              </w:tc>
              <w:tc>
                <w:tcPr>
                  <w:tcW w:w="19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rPr>
                    <w:t>本项目</w:t>
                  </w:r>
                  <w:r>
                    <w:rPr>
                      <w:rFonts w:hint="eastAsia" w:ascii="Times New Roman" w:hAnsi="Times New Roman" w:eastAsia="宋体" w:cs="Times New Roman"/>
                      <w:color w:val="000000"/>
                      <w:kern w:val="0"/>
                      <w:sz w:val="21"/>
                      <w:szCs w:val="21"/>
                      <w:lang w:val="en-US" w:eastAsia="zh-CN"/>
                    </w:rPr>
                    <w:t>仅涉及灌区工程</w:t>
                  </w:r>
                  <w:r>
                    <w:rPr>
                      <w:rFonts w:hint="default" w:ascii="Times New Roman" w:hAnsi="Times New Roman" w:eastAsia="宋体" w:cs="Times New Roman"/>
                      <w:color w:val="000000"/>
                      <w:kern w:val="0"/>
                      <w:sz w:val="21"/>
                      <w:szCs w:val="21"/>
                    </w:rPr>
                    <w:t>，不包括水库</w:t>
                  </w:r>
                  <w:r>
                    <w:rPr>
                      <w:rFonts w:hint="eastAsia" w:ascii="Times New Roman" w:hAnsi="Times New Roman" w:eastAsia="宋体" w:cs="Times New Roman"/>
                      <w:color w:val="000000"/>
                      <w:kern w:val="0"/>
                      <w:sz w:val="21"/>
                      <w:szCs w:val="21"/>
                      <w:lang w:eastAsia="zh-CN"/>
                    </w:rPr>
                    <w:t>、</w:t>
                  </w:r>
                  <w:r>
                    <w:rPr>
                      <w:rFonts w:hint="eastAsia" w:ascii="Times New Roman" w:hAnsi="Times New Roman" w:eastAsia="宋体" w:cs="Times New Roman"/>
                      <w:color w:val="000000"/>
                      <w:kern w:val="0"/>
                      <w:sz w:val="21"/>
                      <w:szCs w:val="21"/>
                      <w:lang w:val="en-US" w:eastAsia="zh-CN"/>
                    </w:rPr>
                    <w:t>人工湖、人工湿地</w:t>
                  </w:r>
                  <w:r>
                    <w:rPr>
                      <w:rFonts w:hint="eastAsia" w:ascii="Times New Roman" w:hAnsi="Times New Roman" w:eastAsia="宋体" w:cs="Times New Roman"/>
                      <w:color w:val="000000"/>
                      <w:kern w:val="0"/>
                      <w:sz w:val="21"/>
                      <w:szCs w:val="21"/>
                      <w:lang w:eastAsia="zh-CN"/>
                    </w:rPr>
                    <w:t>，</w:t>
                  </w:r>
                  <w:r>
                    <w:rPr>
                      <w:rFonts w:hint="eastAsia" w:ascii="Times New Roman" w:hAnsi="Times New Roman" w:eastAsia="宋体" w:cs="Times New Roman"/>
                      <w:color w:val="000000"/>
                      <w:kern w:val="0"/>
                      <w:sz w:val="21"/>
                      <w:szCs w:val="21"/>
                      <w:lang w:val="en-US" w:eastAsia="zh-CN"/>
                    </w:rPr>
                    <w:t>不涉及河湖整治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131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地下水</w:t>
                  </w:r>
                </w:p>
              </w:tc>
              <w:tc>
                <w:tcPr>
                  <w:tcW w:w="521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陆地石油和天然气开采：全部；</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地下水（含矿泉水）开采：全部；</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水利、水电、交通等：含穿越可溶岩地层隧道的项目</w:t>
                  </w:r>
                </w:p>
              </w:tc>
              <w:tc>
                <w:tcPr>
                  <w:tcW w:w="19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kern w:val="0"/>
                      <w:sz w:val="21"/>
                      <w:szCs w:val="21"/>
                      <w:lang w:eastAsia="zh-CN"/>
                    </w:rPr>
                  </w:pPr>
                  <w:r>
                    <w:rPr>
                      <w:rFonts w:hint="default" w:ascii="Times New Roman" w:hAnsi="Times New Roman" w:eastAsia="宋体" w:cs="Times New Roman"/>
                      <w:color w:val="000000"/>
                      <w:kern w:val="0"/>
                      <w:sz w:val="21"/>
                      <w:szCs w:val="21"/>
                    </w:rPr>
                    <w:t>本项目不</w:t>
                  </w:r>
                  <w:r>
                    <w:rPr>
                      <w:rFonts w:hint="eastAsia" w:ascii="Times New Roman" w:hAnsi="Times New Roman" w:eastAsia="宋体" w:cs="Times New Roman"/>
                      <w:color w:val="000000"/>
                      <w:kern w:val="0"/>
                      <w:sz w:val="21"/>
                      <w:szCs w:val="21"/>
                      <w:lang w:val="en-US" w:eastAsia="zh-CN"/>
                    </w:rPr>
                    <w:t>涉及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131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生态</w:t>
                  </w:r>
                </w:p>
              </w:tc>
              <w:tc>
                <w:tcPr>
                  <w:tcW w:w="521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涉及环境敏感区（不包括饮用水水源保护区，以居住、医疗卫生、文化教育、科研、行政办公为主要功能的区域，以及文物保护单位）的项目</w:t>
                  </w:r>
                </w:p>
              </w:tc>
              <w:tc>
                <w:tcPr>
                  <w:tcW w:w="19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lang w:val="en-US"/>
                    </w:rPr>
                  </w:pPr>
                  <w:r>
                    <w:rPr>
                      <w:rFonts w:hint="default" w:ascii="Times New Roman" w:hAnsi="Times New Roman" w:eastAsia="宋体" w:cs="Times New Roman"/>
                      <w:color w:val="000000"/>
                      <w:kern w:val="0"/>
                      <w:sz w:val="21"/>
                      <w:szCs w:val="21"/>
                    </w:rPr>
                    <w:t>本项目不</w:t>
                  </w:r>
                  <w:r>
                    <w:rPr>
                      <w:rFonts w:hint="eastAsia" w:ascii="Times New Roman" w:hAnsi="Times New Roman" w:eastAsia="宋体" w:cs="Times New Roman"/>
                      <w:color w:val="000000"/>
                      <w:kern w:val="0"/>
                      <w:sz w:val="21"/>
                      <w:szCs w:val="21"/>
                      <w:lang w:val="en-US" w:eastAsia="zh-CN"/>
                    </w:rPr>
                    <w:t>涉及列出的环境敏感区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131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大气</w:t>
                  </w:r>
                </w:p>
              </w:tc>
              <w:tc>
                <w:tcPr>
                  <w:tcW w:w="521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油气、液体化工码头：全部；</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干散货（含煤炭、矿石）、件杂、多用途、通用码头：涉及粉尘、挥发性有机物排放的项目</w:t>
                  </w:r>
                </w:p>
              </w:tc>
              <w:tc>
                <w:tcPr>
                  <w:tcW w:w="19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kern w:val="0"/>
                      <w:sz w:val="21"/>
                      <w:szCs w:val="21"/>
                      <w:lang w:eastAsia="zh-CN"/>
                    </w:rPr>
                  </w:pPr>
                  <w:r>
                    <w:rPr>
                      <w:rFonts w:hint="default" w:ascii="Times New Roman" w:hAnsi="Times New Roman" w:eastAsia="宋体" w:cs="Times New Roman"/>
                      <w:color w:val="000000"/>
                      <w:kern w:val="0"/>
                      <w:sz w:val="21"/>
                      <w:szCs w:val="21"/>
                    </w:rPr>
                    <w:t>本项目</w:t>
                  </w:r>
                  <w:r>
                    <w:rPr>
                      <w:rFonts w:hint="eastAsia" w:ascii="Times New Roman" w:hAnsi="Times New Roman" w:eastAsia="宋体" w:cs="Times New Roman"/>
                      <w:color w:val="000000"/>
                      <w:kern w:val="0"/>
                      <w:sz w:val="21"/>
                      <w:szCs w:val="21"/>
                      <w:lang w:val="en-US" w:eastAsia="zh-CN"/>
                    </w:rPr>
                    <w:t>不涉及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5" w:hRule="atLeast"/>
                <w:jc w:val="center"/>
              </w:trPr>
              <w:tc>
                <w:tcPr>
                  <w:tcW w:w="131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噪声</w:t>
                  </w:r>
                </w:p>
              </w:tc>
              <w:tc>
                <w:tcPr>
                  <w:tcW w:w="521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公路、铁路、机场等交通运输业涉及环境敏感区（以居住、医疗卫生、文化教育、科研、行政办公为主要功能的区域）的项目；</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城市道路（不含维护，不含支路、人行天桥、人行地道）：全部</w:t>
                  </w:r>
                </w:p>
              </w:tc>
              <w:tc>
                <w:tcPr>
                  <w:tcW w:w="19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本项目</w:t>
                  </w:r>
                  <w:r>
                    <w:rPr>
                      <w:rFonts w:hint="eastAsia" w:ascii="Times New Roman" w:hAnsi="Times New Roman" w:eastAsia="宋体" w:cs="Times New Roman"/>
                      <w:color w:val="000000"/>
                      <w:kern w:val="0"/>
                      <w:sz w:val="21"/>
                      <w:szCs w:val="21"/>
                      <w:lang w:val="en-US" w:eastAsia="zh-CN"/>
                    </w:rPr>
                    <w:t>不涉及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环境风险</w:t>
                  </w:r>
                </w:p>
              </w:tc>
              <w:tc>
                <w:tcPr>
                  <w:tcW w:w="521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石油和天然气开采：全部；</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油气、液体化工码头：全部；</w:t>
                  </w:r>
                </w:p>
                <w:p>
                  <w:pPr>
                    <w:keepNext w:val="0"/>
                    <w:keepLines w:val="0"/>
                    <w:pageBreakBefore w:val="0"/>
                    <w:widowControl w:val="0"/>
                    <w:kinsoku/>
                    <w:wordWrap/>
                    <w:overflowPunct/>
                    <w:topLinePunct w:val="0"/>
                    <w:autoSpaceDE w:val="0"/>
                    <w:autoSpaceDN w:val="0"/>
                    <w:bidi w:val="0"/>
                    <w:adjustRightInd w:val="0"/>
                    <w:snapToGrid w:val="0"/>
                    <w:spacing w:line="240" w:lineRule="auto"/>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原油、成品油、天然气管线（不含城镇天然气管线、企业厂区内管线），危险化学品输送管线（不含企业厂区内管线）：全部</w:t>
                  </w:r>
                </w:p>
              </w:tc>
              <w:tc>
                <w:tcPr>
                  <w:tcW w:w="19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本项目</w:t>
                  </w:r>
                  <w:r>
                    <w:rPr>
                      <w:rFonts w:hint="eastAsia" w:ascii="Times New Roman" w:hAnsi="Times New Roman" w:eastAsia="宋体" w:cs="Times New Roman"/>
                      <w:color w:val="000000"/>
                      <w:kern w:val="0"/>
                      <w:sz w:val="21"/>
                      <w:szCs w:val="21"/>
                      <w:lang w:val="en-US" w:eastAsia="zh-CN"/>
                    </w:rPr>
                    <w:t>不涉及</w:t>
                  </w:r>
                </w:p>
              </w:tc>
            </w:tr>
          </w:tbl>
          <w:p>
            <w:pPr>
              <w:autoSpaceDE w:val="0"/>
              <w:autoSpaceDN w:val="0"/>
              <w:adjustRightInd w:val="0"/>
              <w:snapToGrid w:val="0"/>
              <w:spacing w:line="240" w:lineRule="auto"/>
              <w:rPr>
                <w:rFonts w:hint="default" w:ascii="Times New Roman" w:hAnsi="Times New Roman" w:eastAsia="宋体" w:cs="Times New Roman"/>
                <w:color w:val="000000"/>
                <w:kern w:val="0"/>
                <w:sz w:val="18"/>
                <w:szCs w:val="18"/>
              </w:rPr>
            </w:pPr>
            <w:r>
              <w:rPr>
                <w:rFonts w:hint="default" w:ascii="Times New Roman" w:hAnsi="Times New Roman" w:eastAsia="宋体" w:cs="Times New Roman"/>
                <w:color w:val="000000"/>
                <w:kern w:val="0"/>
                <w:sz w:val="18"/>
                <w:szCs w:val="18"/>
              </w:rPr>
              <w:t>注：“涉及环境敏感区”是指建设项目位于、穿（跨）越（无害化通过的除外）环境敏感区，或环境影响范围涵盖环境敏感区。环境敏感区是指《建设项目环境影响评价分类管理名录》中针对该类项目所列的敏感区。</w:t>
            </w:r>
          </w:p>
          <w:p>
            <w:pPr>
              <w:pStyle w:val="15"/>
              <w:rPr>
                <w:sz w:val="24"/>
              </w:rPr>
            </w:pPr>
            <w:r>
              <w:rPr>
                <w:rFonts w:hint="default" w:ascii="Times New Roman" w:hAnsi="Times New Roman" w:eastAsia="宋体" w:cs="Times New Roman"/>
                <w:color w:val="000000"/>
                <w:kern w:val="0"/>
                <w:szCs w:val="21"/>
              </w:rPr>
              <w:t>综上所述，本项目无需编制环境影响专项评价。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djustRightInd w:val="0"/>
              <w:snapToGrid w:val="0"/>
              <w:spacing w:line="276" w:lineRule="auto"/>
              <w:rPr>
                <w:sz w:val="24"/>
                <w:szCs w:val="24"/>
              </w:rPr>
            </w:pPr>
            <w:r>
              <w:rPr>
                <w:sz w:val="24"/>
                <w:szCs w:val="24"/>
              </w:rPr>
              <w:t>规划情况</w:t>
            </w:r>
          </w:p>
        </w:tc>
        <w:tc>
          <w:tcPr>
            <w:tcW w:w="8725" w:type="dxa"/>
            <w:gridSpan w:val="3"/>
            <w:vAlign w:val="center"/>
          </w:tcPr>
          <w:p>
            <w:pPr>
              <w:adjustRightInd w:val="0"/>
              <w:snapToGrid w:val="0"/>
              <w:spacing w:line="276" w:lineRule="auto"/>
              <w:jc w:val="center"/>
              <w:rPr>
                <w:rFonts w:hint="eastAsia" w:eastAsiaTheme="minorEastAsia"/>
                <w:sz w:val="24"/>
                <w:szCs w:val="24"/>
                <w:lang w:eastAsia="zh-CN"/>
              </w:rPr>
            </w:pPr>
            <w:r>
              <w:rPr>
                <w:rFonts w:hint="eastAsia" w:eastAsiaTheme="minorEastAsia"/>
                <w:sz w:val="24"/>
                <w:szCs w:val="24"/>
                <w:lang w:eastAsia="zh-CN"/>
              </w:rPr>
              <w:t>《达州市高标准农田建设规划（2021-2023）</w:t>
            </w:r>
            <w:r>
              <w:rPr>
                <w:rFonts w:hint="eastAsia"/>
                <w:sz w:val="24"/>
                <w:szCs w:val="24"/>
                <w:lang w:eastAsia="zh-CN"/>
              </w:rPr>
              <w:t>》《宣汉县“十四五”推进农业农村现代化规划》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autoSpaceDE w:val="0"/>
              <w:autoSpaceDN w:val="0"/>
              <w:adjustRightInd w:val="0"/>
              <w:snapToGrid w:val="0"/>
              <w:jc w:val="center"/>
              <w:rPr>
                <w:rFonts w:ascii="Times New Roman" w:hAnsi="Times New Roman" w:cs="Times New Roman"/>
                <w:kern w:val="0"/>
                <w:sz w:val="24"/>
                <w:szCs w:val="24"/>
              </w:rPr>
            </w:pPr>
            <w:r>
              <w:rPr>
                <w:rFonts w:ascii="Times New Roman" w:hAnsi="Times New Roman" w:cs="Times New Roman"/>
                <w:sz w:val="24"/>
                <w:szCs w:val="24"/>
              </w:rPr>
              <w:t>规划环境影响评价情况</w:t>
            </w:r>
          </w:p>
        </w:tc>
        <w:tc>
          <w:tcPr>
            <w:tcW w:w="8725" w:type="dxa"/>
            <w:gridSpan w:val="3"/>
            <w:vAlign w:val="center"/>
          </w:tcPr>
          <w:p>
            <w:pPr>
              <w:adjustRightInd w:val="0"/>
              <w:snapToGrid w:val="0"/>
              <w:spacing w:line="276" w:lineRule="auto"/>
              <w:jc w:val="center"/>
              <w:rPr>
                <w:rFonts w:ascii="Times New Roman" w:hAnsi="Times New Roman" w:cs="Times New Roman"/>
                <w:sz w:val="24"/>
                <w:szCs w:val="24"/>
              </w:rPr>
            </w:pPr>
            <w:r>
              <w:rPr>
                <w:rFonts w:hint="eastAsia" w:ascii="Times New Roman" w:hAnsi="Times New Roman" w:cs="Times New Roman"/>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7" w:type="dxa"/>
            <w:vAlign w:val="center"/>
          </w:tcPr>
          <w:p>
            <w:pPr>
              <w:snapToGrid w:val="0"/>
              <w:jc w:val="center"/>
              <w:rPr>
                <w:rFonts w:ascii="Times New Roman" w:hAnsi="Times New Roman" w:cs="Times New Roman"/>
                <w:b/>
                <w:sz w:val="24"/>
                <w:szCs w:val="24"/>
              </w:rPr>
            </w:pPr>
            <w:r>
              <w:rPr>
                <w:rFonts w:ascii="Times New Roman" w:hAnsi="Times New Roman" w:cs="Times New Roman"/>
                <w:b/>
                <w:sz w:val="24"/>
                <w:szCs w:val="24"/>
              </w:rPr>
              <w:t>规划及规划环境影响评价符合性分析</w:t>
            </w:r>
          </w:p>
        </w:tc>
        <w:tc>
          <w:tcPr>
            <w:tcW w:w="8725" w:type="dxa"/>
            <w:gridSpan w:val="3"/>
            <w:vAlign w:val="center"/>
          </w:tcPr>
          <w:p>
            <w:pPr>
              <w:keepNext/>
              <w:keepLines/>
              <w:spacing w:line="336" w:lineRule="auto"/>
              <w:outlineLvl w:val="2"/>
              <w:rPr>
                <w:rFonts w:ascii="Times New Roman" w:hAnsi="Times New Roman" w:cs="Times New Roman"/>
                <w:b/>
                <w:bCs/>
                <w:sz w:val="24"/>
                <w:szCs w:val="24"/>
              </w:rPr>
            </w:pPr>
            <w:r>
              <w:rPr>
                <w:rFonts w:hint="eastAsia" w:ascii="Times New Roman" w:hAnsi="Times New Roman" w:cs="Times New Roman"/>
                <w:b/>
                <w:bCs/>
                <w:sz w:val="24"/>
                <w:szCs w:val="24"/>
                <w:lang w:val="en-US" w:eastAsia="zh-CN"/>
              </w:rPr>
              <w:t>一、</w:t>
            </w:r>
            <w:r>
              <w:rPr>
                <w:rFonts w:ascii="Times New Roman" w:hAnsi="Times New Roman" w:cs="Times New Roman"/>
                <w:b/>
                <w:bCs/>
                <w:sz w:val="24"/>
                <w:szCs w:val="24"/>
              </w:rPr>
              <w:t>与</w:t>
            </w:r>
            <w:r>
              <w:rPr>
                <w:rFonts w:hint="eastAsia" w:ascii="Times New Roman" w:hAnsi="Times New Roman" w:cs="Times New Roman"/>
                <w:b/>
                <w:bCs/>
                <w:sz w:val="24"/>
                <w:szCs w:val="24"/>
              </w:rPr>
              <w:t>《达州市高标准农田建设规划（2021-2023）》</w:t>
            </w:r>
            <w:r>
              <w:rPr>
                <w:rFonts w:ascii="Times New Roman" w:hAnsi="Times New Roman" w:cs="Times New Roman"/>
                <w:b/>
                <w:bCs/>
                <w:sz w:val="24"/>
                <w:szCs w:val="24"/>
              </w:rPr>
              <w:t>符合性分析</w:t>
            </w:r>
          </w:p>
          <w:p>
            <w:pPr>
              <w:widowControl/>
              <w:spacing w:line="360" w:lineRule="auto"/>
              <w:ind w:firstLine="480" w:firstLineChars="200"/>
              <w:rPr>
                <w:rFonts w:hint="eastAsia" w:ascii="Times New Roman" w:hAnsi="Times New Roman" w:eastAsia="宋体" w:cs="Times New Roman"/>
                <w:kern w:val="0"/>
                <w:sz w:val="24"/>
                <w:szCs w:val="24"/>
                <w:lang w:eastAsia="zh-CN" w:bidi="ar"/>
              </w:rPr>
            </w:pPr>
            <w:r>
              <w:rPr>
                <w:rFonts w:hint="eastAsia" w:ascii="Times New Roman" w:hAnsi="Times New Roman" w:eastAsia="宋体" w:cs="Times New Roman"/>
                <w:kern w:val="0"/>
                <w:sz w:val="24"/>
                <w:szCs w:val="24"/>
                <w:lang w:bidi="ar"/>
              </w:rPr>
              <w:t>《达州市高标准农田建设规划（2021-2023）》中指出：“农田水利工程是农业发展的基础设施和重要支撑。2024年，达州市将抓好以大中型水库为重点的水源工程，提升水资源开发利用水平；健全水网体系，以川渝东北一体化水资源配置工程为主轴，</w:t>
            </w:r>
            <w:r>
              <w:rPr>
                <w:rFonts w:hint="eastAsia" w:ascii="Times New Roman" w:hAnsi="Times New Roman" w:eastAsia="宋体" w:cs="Times New Roman"/>
                <w:kern w:val="0"/>
                <w:sz w:val="24"/>
                <w:szCs w:val="24"/>
                <w:u w:val="single"/>
                <w:lang w:bidi="ar"/>
              </w:rPr>
              <w:t>构建达州大水网体系，形成城乡一体、互联互通、相互补给、丰枯调节的水网骨架体系</w:t>
            </w:r>
            <w:r>
              <w:rPr>
                <w:rFonts w:hint="eastAsia" w:ascii="Times New Roman" w:hAnsi="Times New Roman" w:eastAsia="宋体" w:cs="Times New Roman"/>
                <w:kern w:val="0"/>
                <w:sz w:val="24"/>
                <w:szCs w:val="24"/>
                <w:lang w:bidi="ar"/>
              </w:rPr>
              <w:t>”</w:t>
            </w:r>
            <w:r>
              <w:rPr>
                <w:rFonts w:hint="eastAsia" w:ascii="Times New Roman" w:hAnsi="Times New Roman" w:eastAsia="宋体" w:cs="Times New Roman"/>
                <w:kern w:val="0"/>
                <w:sz w:val="24"/>
                <w:szCs w:val="24"/>
                <w:lang w:eastAsia="zh-CN" w:bidi="ar"/>
              </w:rPr>
              <w:t>“在水利基础建设上，达州市新建成大中型水利工程3座，整治病险水库9座、重点山坪塘11口，新增恢复供水能力2.04亿立方米，</w:t>
            </w:r>
            <w:r>
              <w:rPr>
                <w:rFonts w:hint="eastAsia" w:ascii="Times New Roman" w:hAnsi="Times New Roman" w:eastAsia="宋体" w:cs="Times New Roman"/>
                <w:kern w:val="0"/>
                <w:sz w:val="24"/>
                <w:szCs w:val="24"/>
                <w:u w:val="single"/>
                <w:lang w:eastAsia="zh-CN" w:bidi="ar"/>
              </w:rPr>
              <w:t>恢复改善灌面8.69万亩</w:t>
            </w:r>
            <w:r>
              <w:rPr>
                <w:rFonts w:hint="eastAsia" w:ascii="Times New Roman" w:hAnsi="Times New Roman" w:eastAsia="宋体" w:cs="Times New Roman"/>
                <w:kern w:val="0"/>
                <w:sz w:val="24"/>
                <w:szCs w:val="24"/>
                <w:lang w:eastAsia="zh-CN" w:bidi="ar"/>
              </w:rPr>
              <w:t>”</w:t>
            </w:r>
          </w:p>
          <w:p>
            <w:pPr>
              <w:widowControl/>
              <w:spacing w:line="360" w:lineRule="auto"/>
              <w:ind w:firstLine="480" w:firstLineChars="200"/>
              <w:rPr>
                <w:rFonts w:ascii="Times New Roman" w:hAnsi="Times New Roman" w:eastAsia="宋体" w:cs="Times New Roman"/>
                <w:kern w:val="0"/>
                <w:sz w:val="24"/>
                <w:szCs w:val="24"/>
                <w:lang w:bidi="ar"/>
              </w:rPr>
            </w:pPr>
            <w:r>
              <w:rPr>
                <w:rFonts w:hint="eastAsia" w:ascii="Times New Roman" w:hAnsi="Times New Roman" w:cs="Times New Roman"/>
                <w:sz w:val="24"/>
                <w:szCs w:val="24"/>
                <w:lang w:eastAsia="zh-CN"/>
              </w:rPr>
              <w:t>宣汉县小型灌区新建项目</w:t>
            </w:r>
            <w:r>
              <w:rPr>
                <w:rFonts w:hint="eastAsia" w:ascii="Times New Roman" w:hAnsi="Times New Roman" w:eastAsia="宋体" w:cs="Times New Roman"/>
                <w:kern w:val="0"/>
                <w:sz w:val="24"/>
                <w:szCs w:val="24"/>
                <w:lang w:bidi="ar"/>
              </w:rPr>
              <w:t>属于该“规划”中提出的</w:t>
            </w:r>
            <w:r>
              <w:rPr>
                <w:rFonts w:hint="eastAsia" w:ascii="Times New Roman" w:hAnsi="Times New Roman" w:eastAsia="宋体" w:cs="Times New Roman"/>
                <w:kern w:val="0"/>
                <w:sz w:val="24"/>
                <w:szCs w:val="24"/>
                <w:lang w:val="en-US" w:eastAsia="zh-CN" w:bidi="ar"/>
              </w:rPr>
              <w:t>恢复改善灌面中的重要组成部分</w:t>
            </w:r>
            <w:r>
              <w:rPr>
                <w:rFonts w:hint="eastAsia" w:ascii="Times New Roman" w:hAnsi="Times New Roman" w:eastAsia="宋体" w:cs="Times New Roman"/>
                <w:kern w:val="0"/>
                <w:sz w:val="24"/>
                <w:szCs w:val="24"/>
                <w:lang w:bidi="ar"/>
              </w:rPr>
              <w:t>，项目的建设能够有效完善农田水利设施</w:t>
            </w:r>
            <w:r>
              <w:rPr>
                <w:rFonts w:hint="eastAsia" w:ascii="Times New Roman" w:hAnsi="Times New Roman" w:eastAsia="宋体" w:cs="Times New Roman"/>
                <w:kern w:val="0"/>
                <w:sz w:val="24"/>
                <w:szCs w:val="24"/>
                <w:lang w:eastAsia="zh-CN" w:bidi="ar"/>
              </w:rPr>
              <w:t>，</w:t>
            </w:r>
            <w:r>
              <w:rPr>
                <w:rFonts w:hint="eastAsia" w:ascii="Times New Roman" w:hAnsi="Times New Roman" w:eastAsia="宋体" w:cs="Times New Roman"/>
                <w:kern w:val="0"/>
                <w:sz w:val="24"/>
                <w:szCs w:val="24"/>
                <w:lang w:val="en-US" w:eastAsia="zh-CN" w:bidi="ar"/>
              </w:rPr>
              <w:t>恢复改善当地灌面</w:t>
            </w:r>
            <w:r>
              <w:rPr>
                <w:rFonts w:hint="eastAsia" w:ascii="Times New Roman" w:hAnsi="Times New Roman" w:eastAsia="宋体" w:cs="Times New Roman"/>
                <w:kern w:val="0"/>
                <w:sz w:val="24"/>
                <w:szCs w:val="24"/>
                <w:lang w:bidi="ar"/>
              </w:rPr>
              <w:t>，符合</w:t>
            </w:r>
            <w:r>
              <w:rPr>
                <w:rFonts w:hint="eastAsia" w:ascii="Times New Roman" w:hAnsi="Times New Roman" w:cs="Times New Roman"/>
                <w:b w:val="0"/>
                <w:bCs w:val="0"/>
                <w:sz w:val="24"/>
                <w:szCs w:val="24"/>
              </w:rPr>
              <w:t>《达州市高标准农田建设规划（2021-2023）》</w:t>
            </w:r>
            <w:r>
              <w:rPr>
                <w:rFonts w:hint="eastAsia" w:ascii="Times New Roman" w:hAnsi="Times New Roman" w:eastAsia="宋体" w:cs="Times New Roman"/>
                <w:kern w:val="0"/>
                <w:sz w:val="24"/>
                <w:szCs w:val="24"/>
                <w:lang w:bidi="ar"/>
              </w:rPr>
              <w:t>。</w:t>
            </w:r>
          </w:p>
          <w:p>
            <w:pPr>
              <w:keepNext/>
              <w:keepLines/>
              <w:spacing w:line="336" w:lineRule="auto"/>
              <w:outlineLvl w:val="2"/>
              <w:rPr>
                <w:rFonts w:ascii="Times New Roman" w:hAnsi="Times New Roman" w:cs="Times New Roman"/>
                <w:b/>
                <w:bCs/>
                <w:sz w:val="24"/>
                <w:szCs w:val="24"/>
              </w:rPr>
            </w:pPr>
            <w:r>
              <w:rPr>
                <w:rFonts w:hint="eastAsia" w:ascii="Times New Roman" w:hAnsi="Times New Roman" w:cs="Times New Roman"/>
                <w:b/>
                <w:bCs/>
                <w:sz w:val="24"/>
                <w:szCs w:val="24"/>
                <w:lang w:val="en-US" w:eastAsia="zh-CN"/>
              </w:rPr>
              <w:t>二、</w:t>
            </w:r>
            <w:r>
              <w:rPr>
                <w:rFonts w:ascii="Times New Roman" w:hAnsi="Times New Roman" w:cs="Times New Roman"/>
                <w:b/>
                <w:bCs/>
                <w:sz w:val="24"/>
                <w:szCs w:val="24"/>
              </w:rPr>
              <w:t>与</w:t>
            </w:r>
            <w:r>
              <w:rPr>
                <w:rFonts w:hint="eastAsia" w:ascii="Times New Roman" w:hAnsi="Times New Roman" w:cs="Times New Roman"/>
                <w:b/>
                <w:bCs/>
                <w:sz w:val="24"/>
                <w:szCs w:val="24"/>
              </w:rPr>
              <w:t>《宣汉县“十四五”推进农业农村现代化规划》</w:t>
            </w:r>
            <w:r>
              <w:rPr>
                <w:rFonts w:ascii="Times New Roman" w:hAnsi="Times New Roman" w:cs="Times New Roman"/>
                <w:b/>
                <w:bCs/>
                <w:sz w:val="24"/>
                <w:szCs w:val="24"/>
              </w:rPr>
              <w:t>符合性分析</w:t>
            </w:r>
          </w:p>
          <w:p>
            <w:pPr>
              <w:pStyle w:val="15"/>
              <w:spacing w:line="360" w:lineRule="auto"/>
              <w:rPr>
                <w:rFonts w:hint="eastAsia" w:ascii="Times New Roman" w:hAnsi="Times New Roman" w:eastAsia="宋体" w:cs="Times New Roman"/>
                <w:b w:val="0"/>
                <w:bCs w:val="0"/>
                <w:kern w:val="0"/>
                <w:sz w:val="24"/>
                <w:lang w:bidi="ar"/>
              </w:rPr>
            </w:pPr>
            <w:r>
              <w:rPr>
                <w:rFonts w:hint="eastAsia" w:ascii="Times New Roman" w:hAnsi="Times New Roman" w:eastAsia="宋体" w:cs="Times New Roman"/>
                <w:b w:val="0"/>
                <w:bCs w:val="0"/>
                <w:kern w:val="0"/>
                <w:sz w:val="24"/>
                <w:lang w:bidi="ar"/>
              </w:rPr>
              <w:t>根据《宣汉县“十四五”推进农业农村现代化规划》：</w:t>
            </w:r>
            <w:r>
              <w:rPr>
                <w:rFonts w:hint="eastAsia" w:ascii="Times New Roman" w:hAnsi="Times New Roman" w:eastAsia="宋体" w:cs="Times New Roman"/>
                <w:b w:val="0"/>
                <w:bCs w:val="0"/>
                <w:kern w:val="0"/>
                <w:sz w:val="24"/>
                <w:lang w:eastAsia="zh-CN" w:bidi="ar"/>
              </w:rPr>
              <w:t>“</w:t>
            </w:r>
            <w:r>
              <w:rPr>
                <w:rFonts w:hint="eastAsia" w:ascii="Times New Roman" w:hAnsi="Times New Roman" w:eastAsia="宋体" w:cs="Times New Roman"/>
                <w:b w:val="0"/>
                <w:bCs w:val="0"/>
                <w:kern w:val="0"/>
                <w:sz w:val="24"/>
                <w:lang w:bidi="ar"/>
              </w:rPr>
              <w:t>围绕“四创四抓”，以红峰、马渡关镇等西北乡镇，上峡、芭蕉等南部乡镇，新华、厂溪、华景、黄金、渡口等北部乡镇为重点，按照区域适宜化、水系优先化、坎埂牢固化、表土复位化和淹水调平化的“五化”建设标准，</w:t>
            </w:r>
            <w:r>
              <w:rPr>
                <w:rFonts w:hint="eastAsia" w:ascii="Times New Roman" w:hAnsi="Times New Roman" w:eastAsia="宋体" w:cs="Times New Roman"/>
                <w:b w:val="0"/>
                <w:bCs w:val="0"/>
                <w:kern w:val="0"/>
                <w:sz w:val="24"/>
                <w:u w:val="single"/>
                <w:lang w:bidi="ar"/>
              </w:rPr>
              <w:t>新建19.04万亩高标准农田，改造提升8.97万亩。包含格田、旱地整理、山坪塘整治、新建蓄水池，实行“田土水路林电技管”综合配套，实现高标准农田建设区“七网”配套（田网、渠网、路网、观光网、服务网、信息化网、设施用地网）和“三力”提升（排灌能力、土壤肥力、机械作业能力）</w:t>
            </w:r>
            <w:r>
              <w:rPr>
                <w:rFonts w:hint="eastAsia" w:ascii="Times New Roman" w:hAnsi="Times New Roman" w:eastAsia="宋体" w:cs="Times New Roman"/>
                <w:b w:val="0"/>
                <w:bCs w:val="0"/>
                <w:kern w:val="0"/>
                <w:sz w:val="24"/>
                <w:lang w:eastAsia="zh-CN" w:bidi="ar"/>
              </w:rPr>
              <w:t>”</w:t>
            </w:r>
            <w:r>
              <w:rPr>
                <w:rFonts w:hint="eastAsia" w:ascii="Times New Roman" w:hAnsi="Times New Roman" w:eastAsia="宋体" w:cs="Times New Roman"/>
                <w:b w:val="0"/>
                <w:bCs w:val="0"/>
                <w:kern w:val="0"/>
                <w:sz w:val="24"/>
                <w:lang w:bidi="ar"/>
              </w:rPr>
              <w:t>。</w:t>
            </w:r>
          </w:p>
          <w:p>
            <w:pPr>
              <w:pStyle w:val="15"/>
              <w:spacing w:line="360" w:lineRule="auto"/>
              <w:rPr>
                <w:rFonts w:ascii="Times New Roman" w:hAnsi="Times New Roman" w:eastAsia="宋体" w:cs="Times New Roman"/>
                <w:sz w:val="24"/>
                <w:szCs w:val="24"/>
              </w:rPr>
            </w:pPr>
            <w:r>
              <w:rPr>
                <w:rFonts w:hint="eastAsia" w:ascii="Times New Roman" w:hAnsi="Times New Roman" w:eastAsia="宋体" w:cs="Times New Roman"/>
                <w:b w:val="0"/>
                <w:bCs w:val="0"/>
                <w:kern w:val="0"/>
                <w:sz w:val="24"/>
                <w:lang w:bidi="ar"/>
              </w:rPr>
              <w:t>本项目为宣汉县小型灌区新建项目，</w:t>
            </w:r>
            <w:r>
              <w:rPr>
                <w:rFonts w:hint="eastAsia" w:ascii="Times New Roman" w:hAnsi="Times New Roman" w:eastAsia="宋体" w:cs="Times New Roman"/>
                <w:b w:val="0"/>
                <w:bCs w:val="0"/>
                <w:kern w:val="0"/>
                <w:sz w:val="24"/>
                <w:lang w:val="en-US" w:eastAsia="zh-CN" w:bidi="ar"/>
              </w:rPr>
              <w:t>14个水库灌区工程提升改造涉及宣汉县各个乡镇，</w:t>
            </w:r>
            <w:r>
              <w:rPr>
                <w:rFonts w:hint="eastAsia" w:ascii="Times New Roman" w:hAnsi="Times New Roman" w:eastAsia="宋体" w:cs="Times New Roman"/>
                <w:b w:val="0"/>
                <w:bCs w:val="0"/>
                <w:kern w:val="0"/>
                <w:sz w:val="24"/>
                <w:lang w:bidi="ar"/>
              </w:rPr>
              <w:t>建成后可</w:t>
            </w:r>
            <w:r>
              <w:rPr>
                <w:rFonts w:hint="eastAsia" w:ascii="Times New Roman" w:hAnsi="Times New Roman" w:eastAsia="宋体" w:cs="Times New Roman"/>
                <w:b w:val="0"/>
                <w:bCs w:val="0"/>
                <w:kern w:val="0"/>
                <w:sz w:val="24"/>
                <w:lang w:val="en-US" w:eastAsia="zh-CN" w:bidi="ar"/>
              </w:rPr>
              <w:t>促进宣汉县境内农用</w:t>
            </w:r>
            <w:r>
              <w:rPr>
                <w:rFonts w:hint="eastAsia" w:ascii="Times New Roman" w:hAnsi="Times New Roman" w:eastAsia="宋体" w:cs="Times New Roman"/>
                <w:b w:val="0"/>
                <w:bCs w:val="0"/>
                <w:kern w:val="0"/>
                <w:sz w:val="24"/>
                <w:lang w:bidi="ar"/>
              </w:rPr>
              <w:t>输水安全、提高灌溉水利用系数</w:t>
            </w:r>
            <w:r>
              <w:rPr>
                <w:rFonts w:hint="eastAsia" w:ascii="Times New Roman" w:hAnsi="Times New Roman" w:eastAsia="宋体" w:cs="Times New Roman"/>
                <w:b w:val="0"/>
                <w:bCs w:val="0"/>
                <w:kern w:val="0"/>
                <w:sz w:val="24"/>
                <w:lang w:eastAsia="zh-CN" w:bidi="ar"/>
              </w:rPr>
              <w:t>、</w:t>
            </w:r>
            <w:r>
              <w:rPr>
                <w:rFonts w:hint="eastAsia" w:ascii="Times New Roman" w:hAnsi="Times New Roman" w:eastAsia="宋体" w:cs="Times New Roman"/>
                <w:b w:val="0"/>
                <w:bCs w:val="0"/>
                <w:kern w:val="0"/>
                <w:sz w:val="24"/>
                <w:lang w:bidi="ar"/>
              </w:rPr>
              <w:t>减少输水损失，</w:t>
            </w:r>
            <w:r>
              <w:rPr>
                <w:rFonts w:hint="eastAsia" w:ascii="Times New Roman" w:hAnsi="Times New Roman" w:eastAsia="宋体" w:cs="Times New Roman"/>
                <w:b w:val="0"/>
                <w:bCs w:val="0"/>
                <w:kern w:val="0"/>
                <w:sz w:val="24"/>
                <w:lang w:val="en-US" w:eastAsia="zh-CN" w:bidi="ar"/>
              </w:rPr>
              <w:t>为高标准农田建设打下坚实基础，</w:t>
            </w:r>
            <w:r>
              <w:rPr>
                <w:rFonts w:hint="eastAsia" w:ascii="Times New Roman" w:hAnsi="Times New Roman" w:eastAsia="宋体" w:cs="Times New Roman"/>
                <w:b w:val="0"/>
                <w:bCs w:val="0"/>
                <w:kern w:val="0"/>
                <w:sz w:val="24"/>
                <w:lang w:bidi="ar"/>
              </w:rPr>
              <w:t>与《宣汉县“十四五”推进农业农村现代化规划》相符。</w:t>
            </w:r>
          </w:p>
        </w:tc>
      </w:tr>
    </w:tbl>
    <w:p>
      <w:pPr>
        <w:autoSpaceDE w:val="0"/>
        <w:autoSpaceDN w:val="0"/>
        <w:adjustRightInd w:val="0"/>
        <w:snapToGrid w:val="0"/>
        <w:spacing w:line="360" w:lineRule="auto"/>
        <w:jc w:val="center"/>
        <w:rPr>
          <w:rFonts w:ascii="Times New Roman" w:hAnsi="Times New Roman" w:cs="Times New Roman"/>
          <w:kern w:val="0"/>
          <w:sz w:val="24"/>
          <w:szCs w:val="24"/>
        </w:rPr>
        <w:sectPr>
          <w:footerReference r:id="rId4" w:type="default"/>
          <w:pgSz w:w="11906" w:h="16838"/>
          <w:pgMar w:top="1440" w:right="1080" w:bottom="1440" w:left="1080" w:header="851" w:footer="992" w:gutter="0"/>
          <w:pgNumType w:start="1"/>
          <w:cols w:space="425" w:num="1"/>
          <w:docGrid w:type="lines" w:linePitch="312" w:charSpace="0"/>
        </w:sectPr>
      </w:pPr>
      <w:bookmarkStart w:id="0" w:name="_Hlk56690880"/>
    </w:p>
    <w:tbl>
      <w:tblPr>
        <w:tblStyle w:val="27"/>
        <w:tblW w:w="9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8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38" w:hRule="atLeast"/>
        </w:trPr>
        <w:tc>
          <w:tcPr>
            <w:tcW w:w="1237"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其他符合性分析</w:t>
            </w:r>
          </w:p>
        </w:tc>
        <w:tc>
          <w:tcPr>
            <w:tcW w:w="8725" w:type="dxa"/>
            <w:vAlign w:val="top"/>
          </w:tcPr>
          <w:p>
            <w:pPr>
              <w:adjustRightInd w:val="0"/>
              <w:snapToGrid w:val="0"/>
              <w:spacing w:line="360" w:lineRule="auto"/>
              <w:jc w:val="both"/>
              <w:rPr>
                <w:rFonts w:ascii="Times New Roman" w:hAnsi="Times New Roman" w:cs="Times New Roman"/>
                <w:b/>
                <w:sz w:val="24"/>
                <w:szCs w:val="24"/>
              </w:rPr>
            </w:pPr>
            <w:r>
              <w:rPr>
                <w:rFonts w:ascii="Times New Roman" w:hAnsi="Times New Roman" w:cs="Times New Roman"/>
                <w:b/>
                <w:sz w:val="24"/>
                <w:szCs w:val="24"/>
              </w:rPr>
              <w:t>1、产业政策符合性分析</w:t>
            </w:r>
          </w:p>
          <w:p>
            <w:pPr>
              <w:wordWrap w:val="0"/>
              <w:adjustRightInd w:val="0"/>
              <w:snapToGrid w:val="0"/>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本项目符合《产业结构调整指导目录（20</w:t>
            </w:r>
            <w:r>
              <w:rPr>
                <w:rFonts w:hint="eastAsia" w:ascii="Times New Roman" w:hAnsi="Times New Roman" w:cs="Times New Roman"/>
                <w:sz w:val="24"/>
                <w:szCs w:val="24"/>
                <w:lang w:val="en-US" w:eastAsia="zh-CN"/>
              </w:rPr>
              <w:t>24</w:t>
            </w:r>
            <w:r>
              <w:rPr>
                <w:rFonts w:ascii="Times New Roman" w:hAnsi="Times New Roman" w:cs="Times New Roman"/>
                <w:sz w:val="24"/>
                <w:szCs w:val="24"/>
              </w:rPr>
              <w:t>年本）》第一类 鼓励类 中第</w:t>
            </w:r>
            <w:r>
              <w:rPr>
                <w:rFonts w:hint="eastAsia" w:ascii="Times New Roman" w:hAnsi="Times New Roman" w:cs="Times New Roman"/>
                <w:sz w:val="24"/>
                <w:szCs w:val="24"/>
                <w:lang w:val="en-US" w:eastAsia="zh-CN"/>
              </w:rPr>
              <w:t>二“</w:t>
            </w:r>
            <w:r>
              <w:rPr>
                <w:rFonts w:ascii="Times New Roman" w:hAnsi="Times New Roman" w:cs="Times New Roman"/>
                <w:sz w:val="24"/>
                <w:szCs w:val="24"/>
              </w:rPr>
              <w:t>水利</w:t>
            </w:r>
            <w:r>
              <w:rPr>
                <w:rFonts w:hint="eastAsia" w:ascii="Times New Roman" w:hAnsi="Times New Roman" w:cs="Times New Roman"/>
                <w:sz w:val="24"/>
                <w:szCs w:val="24"/>
                <w:lang w:val="en-US" w:eastAsia="zh-CN"/>
              </w:rPr>
              <w:t>”</w:t>
            </w:r>
            <w:r>
              <w:rPr>
                <w:rFonts w:ascii="Times New Roman" w:hAnsi="Times New Roman" w:cs="Times New Roman"/>
                <w:sz w:val="24"/>
                <w:szCs w:val="24"/>
              </w:rPr>
              <w:t>、</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2、节水供水工程</w:t>
            </w:r>
            <w:r>
              <w:rPr>
                <w:rFonts w:hint="eastAsia" w:ascii="Times New Roman" w:hAnsi="Times New Roman" w:cs="Times New Roman"/>
                <w:sz w:val="24"/>
                <w:szCs w:val="24"/>
                <w:lang w:eastAsia="zh-CN"/>
              </w:rPr>
              <w:t>”</w:t>
            </w:r>
            <w:r>
              <w:rPr>
                <w:rFonts w:ascii="Times New Roman" w:hAnsi="Times New Roman" w:cs="Times New Roman"/>
                <w:sz w:val="24"/>
                <w:szCs w:val="24"/>
              </w:rPr>
              <w:t>，同时本项目建设不属于国土资源部“关于发布实施《限制用地项目目录（2012年本）》和《禁止用地项目目录（2012年本）》的通知”（国土资发〔2012〕98号）规定的项目，工程建设符合国家现行产业政策。</w:t>
            </w:r>
          </w:p>
          <w:p>
            <w:pPr>
              <w:adjustRightInd w:val="0"/>
              <w:snapToGrid w:val="0"/>
              <w:spacing w:line="360" w:lineRule="auto"/>
              <w:ind w:firstLine="480" w:firstLineChars="200"/>
              <w:jc w:val="both"/>
              <w:rPr>
                <w:rFonts w:ascii="Times New Roman" w:hAnsi="Times New Roman" w:cs="Times New Roman"/>
                <w:bCs/>
                <w:sz w:val="24"/>
                <w:szCs w:val="24"/>
              </w:rPr>
            </w:pPr>
            <w:r>
              <w:rPr>
                <w:rFonts w:ascii="Times New Roman" w:hAnsi="Times New Roman" w:cs="Times New Roman"/>
                <w:bCs/>
                <w:sz w:val="24"/>
                <w:szCs w:val="24"/>
              </w:rPr>
              <w:t>本项目已取得由</w:t>
            </w:r>
            <w:r>
              <w:rPr>
                <w:rFonts w:hint="eastAsia" w:ascii="Times New Roman" w:hAnsi="Times New Roman" w:cs="Times New Roman"/>
                <w:bCs/>
                <w:sz w:val="24"/>
                <w:szCs w:val="24"/>
                <w:lang w:eastAsia="zh-CN"/>
              </w:rPr>
              <w:t>宣汉县发展和改革局</w:t>
            </w:r>
            <w:r>
              <w:rPr>
                <w:rFonts w:ascii="Times New Roman" w:hAnsi="Times New Roman" w:cs="Times New Roman"/>
                <w:bCs/>
                <w:sz w:val="24"/>
                <w:szCs w:val="24"/>
              </w:rPr>
              <w:t>出具的</w:t>
            </w:r>
            <w:r>
              <w:rPr>
                <w:rFonts w:hint="eastAsia" w:ascii="Times New Roman" w:hAnsi="Times New Roman" w:cs="Times New Roman"/>
                <w:bCs/>
                <w:sz w:val="24"/>
                <w:szCs w:val="24"/>
                <w:lang w:val="en-US" w:eastAsia="zh-CN"/>
              </w:rPr>
              <w:t>发改立项</w:t>
            </w:r>
            <w:r>
              <w:rPr>
                <w:rFonts w:hint="eastAsia" w:ascii="Times New Roman" w:hAnsi="Times New Roman" w:cs="Times New Roman"/>
                <w:bCs/>
                <w:sz w:val="24"/>
                <w:szCs w:val="24"/>
              </w:rPr>
              <w:t>（</w:t>
            </w:r>
            <w:r>
              <w:rPr>
                <w:rFonts w:hint="eastAsia" w:ascii="Times New Roman" w:hAnsi="Times New Roman" w:cs="Times New Roman"/>
                <w:bCs/>
                <w:sz w:val="24"/>
                <w:szCs w:val="24"/>
                <w:lang w:eastAsia="zh-CN"/>
              </w:rPr>
              <w:t>宣发改审〔2023〕401号</w:t>
            </w:r>
            <w:r>
              <w:rPr>
                <w:rFonts w:hint="eastAsia" w:ascii="Times New Roman" w:hAnsi="Times New Roman" w:cs="Times New Roman"/>
                <w:bCs/>
                <w:sz w:val="24"/>
                <w:szCs w:val="24"/>
              </w:rPr>
              <w:t>）</w:t>
            </w:r>
            <w:r>
              <w:rPr>
                <w:rFonts w:ascii="Times New Roman" w:hAnsi="Times New Roman" w:cs="Times New Roman"/>
                <w:bCs/>
                <w:sz w:val="24"/>
                <w:szCs w:val="24"/>
              </w:rPr>
              <w:t>，见附件。</w:t>
            </w:r>
          </w:p>
          <w:p>
            <w:pPr>
              <w:adjustRightInd w:val="0"/>
              <w:snapToGrid w:val="0"/>
              <w:spacing w:line="360" w:lineRule="auto"/>
              <w:jc w:val="both"/>
              <w:rPr>
                <w:rFonts w:ascii="Times New Roman" w:hAnsi="Times New Roman" w:cs="Times New Roman"/>
                <w:b/>
                <w:sz w:val="24"/>
                <w:szCs w:val="24"/>
              </w:rPr>
            </w:pPr>
            <w:r>
              <w:rPr>
                <w:rFonts w:ascii="Times New Roman" w:hAnsi="Times New Roman" w:cs="Times New Roman"/>
                <w:b/>
                <w:sz w:val="24"/>
                <w:szCs w:val="24"/>
              </w:rPr>
              <w:t>2、用地规划符合性分析</w:t>
            </w:r>
          </w:p>
          <w:p>
            <w:pPr>
              <w:adjustRightInd w:val="0"/>
              <w:snapToGrid w:val="0"/>
              <w:spacing w:line="360" w:lineRule="auto"/>
              <w:ind w:firstLine="480"/>
              <w:jc w:val="both"/>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项目均为现有渠道整治修复，以及新建、改造输水管道，无新增用地。</w:t>
            </w:r>
          </w:p>
          <w:p>
            <w:pPr>
              <w:adjustRightInd w:val="0"/>
              <w:snapToGrid w:val="0"/>
              <w:spacing w:line="360" w:lineRule="auto"/>
              <w:ind w:firstLine="480"/>
              <w:jc w:val="both"/>
              <w:rPr>
                <w:rFonts w:ascii="Times New Roman" w:hAnsi="Times New Roman" w:cs="Times New Roman"/>
                <w:sz w:val="24"/>
                <w:szCs w:val="24"/>
              </w:rPr>
            </w:pPr>
            <w:r>
              <w:rPr>
                <w:rFonts w:hint="eastAsia" w:ascii="Times New Roman" w:hAnsi="Times New Roman" w:cs="Times New Roman"/>
                <w:sz w:val="24"/>
                <w:szCs w:val="24"/>
              </w:rPr>
              <w:t>项目临时占地共</w:t>
            </w:r>
            <w:r>
              <w:rPr>
                <w:rFonts w:hint="eastAsia" w:ascii="Times New Roman" w:hAnsi="Times New Roman" w:cs="Times New Roman"/>
                <w:sz w:val="24"/>
                <w:szCs w:val="24"/>
                <w:lang w:val="en-US" w:eastAsia="zh-CN"/>
              </w:rPr>
              <w:t>1.3</w:t>
            </w:r>
            <w:r>
              <w:rPr>
                <w:rFonts w:hint="eastAsia" w:ascii="Times New Roman" w:hAnsi="Times New Roman" w:cs="Times New Roman"/>
                <w:color w:val="000000" w:themeColor="text1"/>
                <w:sz w:val="24"/>
                <w:szCs w:val="24"/>
                <w:lang w:val="en-US" w:eastAsia="zh-CN"/>
                <w14:textFill>
                  <w14:solidFill>
                    <w14:schemeClr w14:val="tx1"/>
                  </w14:solidFill>
                </w14:textFill>
              </w:rPr>
              <w:t>4hm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sz w:val="24"/>
                <w:szCs w:val="24"/>
              </w:rPr>
              <w:t>不占用</w:t>
            </w:r>
            <w:r>
              <w:rPr>
                <w:rFonts w:hint="eastAsia" w:ascii="Times New Roman" w:hAnsi="Times New Roman" w:cs="Times New Roman"/>
                <w:sz w:val="24"/>
                <w:szCs w:val="24"/>
                <w:lang w:val="en-US" w:eastAsia="zh-CN"/>
              </w:rPr>
              <w:t>永久</w:t>
            </w:r>
            <w:r>
              <w:rPr>
                <w:rFonts w:hint="eastAsia" w:ascii="Times New Roman" w:hAnsi="Times New Roman" w:cs="Times New Roman"/>
                <w:sz w:val="24"/>
                <w:szCs w:val="24"/>
              </w:rPr>
              <w:t>基本农田，避让饮用水源保护区），在工程建设期间给予相应的土地补偿，工程建成后通过复垦交还原单位、个人</w:t>
            </w:r>
            <w:r>
              <w:rPr>
                <w:rFonts w:hint="eastAsia" w:ascii="Times New Roman" w:hAnsi="Times New Roman" w:cs="Times New Roman"/>
                <w:sz w:val="24"/>
                <w:szCs w:val="24"/>
                <w:lang w:val="en-US" w:eastAsia="zh-CN"/>
              </w:rPr>
              <w:t>用于其原用途</w:t>
            </w:r>
            <w:r>
              <w:rPr>
                <w:rFonts w:ascii="Times New Roman" w:hAnsi="Times New Roman" w:cs="Times New Roman"/>
                <w:sz w:val="24"/>
                <w:szCs w:val="24"/>
              </w:rPr>
              <w:t>。</w:t>
            </w:r>
          </w:p>
          <w:p>
            <w:pPr>
              <w:adjustRightInd w:val="0"/>
              <w:snapToGrid w:val="0"/>
              <w:spacing w:line="360" w:lineRule="auto"/>
              <w:jc w:val="both"/>
              <w:rPr>
                <w:rFonts w:hint="eastAsia" w:ascii="Times New Roman" w:hAnsi="Times New Roman" w:cs="Times New Roman" w:eastAsiaTheme="minorEastAsia"/>
                <w:b/>
                <w:sz w:val="24"/>
                <w:szCs w:val="24"/>
                <w:lang w:val="en-US" w:eastAsia="zh-CN"/>
              </w:rPr>
            </w:pPr>
            <w:r>
              <w:rPr>
                <w:rFonts w:hint="eastAsia" w:ascii="Times New Roman" w:hAnsi="Times New Roman" w:cs="Times New Roman"/>
                <w:b/>
                <w:sz w:val="24"/>
                <w:szCs w:val="24"/>
                <w:lang w:val="en-US" w:eastAsia="zh-CN"/>
              </w:rPr>
              <w:t>3、</w:t>
            </w:r>
            <w:r>
              <w:rPr>
                <w:rFonts w:hint="default" w:ascii="Times New Roman" w:hAnsi="Times New Roman" w:eastAsia="宋体" w:cs="Times New Roman"/>
                <w:b/>
                <w:color w:val="auto"/>
                <w:sz w:val="24"/>
                <w:szCs w:val="24"/>
              </w:rPr>
              <w:t>与</w:t>
            </w:r>
            <w:r>
              <w:rPr>
                <w:rFonts w:hint="default" w:ascii="Times New Roman" w:hAnsi="Times New Roman" w:eastAsia="宋体" w:cs="Times New Roman"/>
                <w:b/>
                <w:bCs/>
                <w:kern w:val="1"/>
                <w:sz w:val="24"/>
                <w:szCs w:val="24"/>
              </w:rPr>
              <w:t>《水利建设项目（灌区工程）环境影响评价文件审批原则（试行）》符合性分析</w:t>
            </w:r>
          </w:p>
          <w:p>
            <w:pPr>
              <w:autoSpaceDE w:val="0"/>
              <w:autoSpaceDN w:val="0"/>
              <w:adjustRightInd w:val="0"/>
              <w:snapToGrid w:val="0"/>
              <w:spacing w:line="360" w:lineRule="auto"/>
              <w:ind w:firstLine="480"/>
              <w:textAlignment w:val="baseline"/>
              <w:rPr>
                <w:rFonts w:hint="default" w:ascii="Times New Roman" w:hAnsi="Times New Roman" w:eastAsia="宋体" w:cs="Times New Roman"/>
                <w:kern w:val="0"/>
                <w:sz w:val="24"/>
                <w:szCs w:val="24"/>
                <w:lang w:val="zh-CN"/>
              </w:rPr>
            </w:pPr>
            <w:r>
              <w:rPr>
                <w:rFonts w:hint="default" w:ascii="Times New Roman" w:hAnsi="Times New Roman" w:eastAsia="宋体" w:cs="Times New Roman"/>
                <w:kern w:val="0"/>
                <w:sz w:val="24"/>
                <w:szCs w:val="24"/>
                <w:lang w:val="zh-CN"/>
              </w:rPr>
              <w:t>本工程与《水利建设项目（灌区工程）环境影响评价文件审批原则（试行）》符合性详见下表。</w:t>
            </w:r>
          </w:p>
          <w:p>
            <w:pPr>
              <w:autoSpaceDE w:val="0"/>
              <w:autoSpaceDN w:val="0"/>
              <w:adjustRightInd w:val="0"/>
              <w:snapToGrid w:val="0"/>
              <w:spacing w:line="240" w:lineRule="auto"/>
              <w:jc w:val="center"/>
              <w:textAlignment w:val="baseline"/>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表1-</w:t>
            </w:r>
            <w:r>
              <w:rPr>
                <w:rFonts w:hint="eastAsia" w:ascii="Times New Roman" w:hAnsi="Times New Roman" w:eastAsia="宋体" w:cs="Times New Roman"/>
                <w:b/>
                <w:bCs/>
                <w:kern w:val="0"/>
                <w:sz w:val="21"/>
                <w:szCs w:val="21"/>
                <w:lang w:val="en-US" w:eastAsia="zh-CN"/>
              </w:rPr>
              <w:t>1</w:t>
            </w:r>
            <w:r>
              <w:rPr>
                <w:rFonts w:hint="default" w:ascii="Times New Roman" w:hAnsi="Times New Roman" w:eastAsia="宋体" w:cs="Times New Roman"/>
                <w:b/>
                <w:bCs/>
                <w:kern w:val="0"/>
                <w:sz w:val="21"/>
                <w:szCs w:val="21"/>
              </w:rPr>
              <w:t xml:space="preserve">  </w:t>
            </w:r>
            <w:r>
              <w:rPr>
                <w:rFonts w:hint="eastAsia" w:ascii="Times New Roman" w:hAnsi="Times New Roman" w:eastAsia="宋体" w:cs="Times New Roman"/>
                <w:b/>
                <w:bCs/>
                <w:kern w:val="0"/>
                <w:sz w:val="21"/>
                <w:szCs w:val="21"/>
                <w:lang w:val="en-US" w:eastAsia="zh-CN"/>
              </w:rPr>
              <w:t xml:space="preserve"> </w:t>
            </w:r>
            <w:r>
              <w:rPr>
                <w:rFonts w:hint="default" w:ascii="Times New Roman" w:hAnsi="Times New Roman" w:eastAsia="宋体" w:cs="Times New Roman"/>
                <w:b/>
                <w:bCs/>
                <w:kern w:val="0"/>
                <w:sz w:val="21"/>
                <w:szCs w:val="21"/>
              </w:rPr>
              <w:t>本工程与审批原则相符性分析</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
              <w:gridCol w:w="4452"/>
              <w:gridCol w:w="2890"/>
              <w:gridCol w:w="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273" w:type="pct"/>
                  <w:noWrap w:val="0"/>
                  <w:vAlign w:val="center"/>
                </w:tcPr>
                <w:p>
                  <w:pPr>
                    <w:autoSpaceDE w:val="0"/>
                    <w:autoSpaceDN w:val="0"/>
                    <w:adjustRightInd w:val="0"/>
                    <w:snapToGrid w:val="0"/>
                    <w:spacing w:line="240" w:lineRule="auto"/>
                    <w:jc w:val="center"/>
                    <w:textAlignment w:val="baseline"/>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序号</w:t>
                  </w:r>
                </w:p>
              </w:tc>
              <w:tc>
                <w:tcPr>
                  <w:tcW w:w="2620" w:type="pct"/>
                  <w:noWrap w:val="0"/>
                  <w:vAlign w:val="center"/>
                </w:tcPr>
                <w:p>
                  <w:pPr>
                    <w:autoSpaceDE w:val="0"/>
                    <w:autoSpaceDN w:val="0"/>
                    <w:adjustRightInd w:val="0"/>
                    <w:snapToGrid w:val="0"/>
                    <w:spacing w:line="240" w:lineRule="auto"/>
                    <w:jc w:val="center"/>
                    <w:textAlignment w:val="baseline"/>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审批原则要求</w:t>
                  </w:r>
                </w:p>
              </w:tc>
              <w:tc>
                <w:tcPr>
                  <w:tcW w:w="1700" w:type="pct"/>
                  <w:noWrap w:val="0"/>
                  <w:vAlign w:val="center"/>
                </w:tcPr>
                <w:p>
                  <w:pPr>
                    <w:autoSpaceDE w:val="0"/>
                    <w:autoSpaceDN w:val="0"/>
                    <w:adjustRightInd w:val="0"/>
                    <w:snapToGrid w:val="0"/>
                    <w:spacing w:line="240" w:lineRule="auto"/>
                    <w:jc w:val="center"/>
                    <w:textAlignment w:val="baseline"/>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相符性分析</w:t>
                  </w:r>
                </w:p>
              </w:tc>
              <w:tc>
                <w:tcPr>
                  <w:tcW w:w="406" w:type="pct"/>
                  <w:noWrap w:val="0"/>
                  <w:vAlign w:val="center"/>
                </w:tcPr>
                <w:p>
                  <w:pPr>
                    <w:autoSpaceDE w:val="0"/>
                    <w:autoSpaceDN w:val="0"/>
                    <w:adjustRightInd w:val="0"/>
                    <w:snapToGrid w:val="0"/>
                    <w:spacing w:line="240" w:lineRule="auto"/>
                    <w:jc w:val="center"/>
                    <w:textAlignment w:val="baseline"/>
                    <w:rPr>
                      <w:rFonts w:hint="default" w:ascii="Times New Roman" w:hAnsi="Times New Roman" w:eastAsia="宋体" w:cs="Times New Roman"/>
                      <w:b/>
                      <w:bCs/>
                      <w:kern w:val="0"/>
                      <w:sz w:val="21"/>
                      <w:szCs w:val="21"/>
                      <w:lang w:eastAsia="zh-CN"/>
                    </w:rPr>
                  </w:pPr>
                  <w:r>
                    <w:rPr>
                      <w:rFonts w:hint="default" w:ascii="Times New Roman" w:hAnsi="Times New Roman" w:eastAsia="宋体" w:cs="Times New Roman"/>
                      <w:b/>
                      <w:bCs/>
                      <w:kern w:val="0"/>
                      <w:sz w:val="21"/>
                      <w:szCs w:val="21"/>
                      <w:lang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1</w:t>
                  </w:r>
                </w:p>
              </w:tc>
              <w:tc>
                <w:tcPr>
                  <w:tcW w:w="262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第二条 项目符合生态环境及资源相关法律法规和政策要求，与主体功能区规划、生态功能区划、水（环境）功能区划、水污染防治规划、生态环境保护规划等相协调，项目开发任务、供水量、供水范围和对象、灌区规模、种植结构等主要内容总体符合流域区域综合规划、水资源规划、灌区规划、农业生产规划、节水规划等相关规划及规划环评要求。项目水资源开发利用符合以水定产、以水定地原则，未超出流域区域水资源利用上限，灌溉定额、灌溉用水保证率、灌溉水有效利用系数满足流域区域用水效率控制要求。</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根据符合性分析，本项目符合生态及资源相关法律法规和政策要求，与相应主体功能区规划、生态功能区划、水（环境）功能区划</w:t>
                  </w:r>
                  <w:r>
                    <w:rPr>
                      <w:rFonts w:hint="eastAsia" w:ascii="Times New Roman" w:hAnsi="Times New Roman" w:eastAsia="宋体" w:cs="Times New Roman"/>
                      <w:kern w:val="0"/>
                      <w:sz w:val="21"/>
                      <w:szCs w:val="21"/>
                      <w:lang w:val="en-US" w:eastAsia="zh-CN"/>
                    </w:rPr>
                    <w:t>等</w:t>
                  </w:r>
                  <w:r>
                    <w:rPr>
                      <w:rFonts w:hint="default" w:ascii="Times New Roman" w:hAnsi="Times New Roman" w:eastAsia="宋体" w:cs="Times New Roman"/>
                      <w:kern w:val="0"/>
                      <w:sz w:val="21"/>
                      <w:szCs w:val="21"/>
                      <w:lang w:eastAsia="zh-CN"/>
                    </w:rPr>
                    <w:t>相协调，本项目为</w:t>
                  </w:r>
                  <w:r>
                    <w:rPr>
                      <w:rFonts w:hint="eastAsia" w:ascii="Times New Roman" w:hAnsi="Times New Roman" w:eastAsia="宋体" w:cs="Times New Roman"/>
                      <w:kern w:val="0"/>
                      <w:sz w:val="21"/>
                      <w:szCs w:val="21"/>
                      <w:lang w:val="en-US" w:eastAsia="zh-CN"/>
                    </w:rPr>
                    <w:t>灌区</w:t>
                  </w:r>
                  <w:r>
                    <w:rPr>
                      <w:rFonts w:hint="default" w:ascii="Times New Roman" w:hAnsi="Times New Roman" w:eastAsia="宋体" w:cs="Times New Roman"/>
                      <w:kern w:val="0"/>
                      <w:sz w:val="21"/>
                      <w:szCs w:val="21"/>
                      <w:lang w:eastAsia="zh-CN"/>
                    </w:rPr>
                    <w:t>整治工程，</w:t>
                  </w:r>
                  <w:r>
                    <w:rPr>
                      <w:rFonts w:hint="eastAsia" w:ascii="Times New Roman" w:hAnsi="Times New Roman" w:eastAsia="宋体" w:cs="Times New Roman"/>
                      <w:kern w:val="0"/>
                      <w:sz w:val="21"/>
                      <w:szCs w:val="21"/>
                      <w:lang w:val="en-US" w:eastAsia="zh-CN"/>
                    </w:rPr>
                    <w:t>项目实施即为了改善现有灌溉用水浪费现象，</w:t>
                  </w:r>
                  <w:r>
                    <w:rPr>
                      <w:rFonts w:hint="default" w:ascii="Times New Roman" w:hAnsi="Times New Roman" w:eastAsia="宋体" w:cs="Times New Roman"/>
                      <w:kern w:val="0"/>
                      <w:sz w:val="21"/>
                      <w:szCs w:val="21"/>
                      <w:lang w:eastAsia="zh-CN"/>
                    </w:rPr>
                    <w:t>不会超过区域资源利用上线，灌溉水有效利用系数能够满足流域区域用水效率控制要求。</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2</w:t>
                  </w:r>
                </w:p>
              </w:tc>
              <w:tc>
                <w:tcPr>
                  <w:tcW w:w="2620" w:type="pct"/>
                  <w:noWrap w:val="0"/>
                  <w:vAlign w:val="center"/>
                </w:tcPr>
                <w:p>
                  <w:pPr>
                    <w:autoSpaceDE w:val="0"/>
                    <w:autoSpaceDN w:val="0"/>
                    <w:adjustRightInd w:val="0"/>
                    <w:snapToGrid w:val="0"/>
                    <w:spacing w:line="240" w:lineRule="auto"/>
                    <w:textAlignment w:val="baseline"/>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第三条 项目选址选线、取（蓄）水工程淹没、施工布置等不占用自然保护区、风景名胜区、世界文化和自然遗产地以及其他生态保护红线中法律法规禁止占用的区域，并与饮用水水源</w:t>
                  </w:r>
                </w:p>
                <w:p>
                  <w:pPr>
                    <w:autoSpaceDE w:val="0"/>
                    <w:autoSpaceDN w:val="0"/>
                    <w:adjustRightInd w:val="0"/>
                    <w:snapToGrid w:val="0"/>
                    <w:spacing w:line="240" w:lineRule="auto"/>
                    <w:textAlignment w:val="baseline"/>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保护区、重要湿地等环境敏感区的保护要求相协调。</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eastAsia="zh-CN"/>
                    </w:rPr>
                    <w:t>本项目</w:t>
                  </w:r>
                  <w:r>
                    <w:rPr>
                      <w:rFonts w:hint="eastAsia" w:ascii="Times New Roman" w:hAnsi="Times New Roman" w:eastAsia="宋体" w:cs="Times New Roman"/>
                      <w:kern w:val="0"/>
                      <w:sz w:val="21"/>
                      <w:szCs w:val="21"/>
                      <w:lang w:val="en-US" w:eastAsia="zh-CN"/>
                    </w:rPr>
                    <w:t>选址选线不涉及所列出的重要敏感区域</w:t>
                  </w:r>
                  <w:r>
                    <w:rPr>
                      <w:rFonts w:hint="default" w:ascii="Times New Roman" w:hAnsi="Times New Roman" w:eastAsia="宋体" w:cs="Times New Roman"/>
                      <w:kern w:val="0"/>
                      <w:sz w:val="21"/>
                      <w:szCs w:val="21"/>
                      <w:lang w:eastAsia="zh-CN"/>
                    </w:rPr>
                    <w:t>，不占用自然保护区、风景名胜区、生态保护红线、重要湿地中禁止占用的区域</w:t>
                  </w:r>
                  <w:r>
                    <w:rPr>
                      <w:rFonts w:hint="eastAsia" w:ascii="Times New Roman" w:hAnsi="Times New Roman" w:eastAsia="宋体" w:cs="Times New Roman"/>
                      <w:kern w:val="0"/>
                      <w:sz w:val="21"/>
                      <w:szCs w:val="21"/>
                      <w:lang w:val="en-US" w:eastAsia="zh-CN"/>
                    </w:rPr>
                    <w:t>。</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3</w:t>
                  </w:r>
                </w:p>
              </w:tc>
              <w:tc>
                <w:tcPr>
                  <w:tcW w:w="262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第四条 项目取（蓄）水造成河、湖或水库水文情势改变且带来不利影响的，统筹考虑了上、下游河道水环境、水生生态、景观、湿地等生态用水及生产、生活用水需求，提出了优化取</w:t>
                  </w:r>
                </w:p>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水方案、泄放生态流量、实施在线监控等措施。通过节水、置换等措施获得供水水量的，用水方式和规模具有环境合理性和可行性。采取上述措施后，未造成河道脱水，河道生态环境及生产、生活用水需求能够得到满足。</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本</w:t>
                  </w:r>
                  <w:r>
                    <w:rPr>
                      <w:rFonts w:hint="eastAsia" w:ascii="Times New Roman" w:hAnsi="Times New Roman" w:eastAsia="宋体" w:cs="Times New Roman"/>
                      <w:kern w:val="0"/>
                      <w:sz w:val="21"/>
                      <w:szCs w:val="21"/>
                      <w:lang w:val="en-US" w:eastAsia="zh-CN"/>
                    </w:rPr>
                    <w:t>次渠道整治取水量不发生变化，且水源均为当地小型灌溉用水库，水库不涉及生态敏感保护目标，也不涉及日常生态流量下泄，</w:t>
                  </w:r>
                  <w:r>
                    <w:rPr>
                      <w:rFonts w:hint="default" w:ascii="Times New Roman" w:hAnsi="Times New Roman" w:eastAsia="宋体" w:cs="Times New Roman"/>
                      <w:kern w:val="0"/>
                      <w:sz w:val="21"/>
                      <w:szCs w:val="21"/>
                      <w:lang w:eastAsia="zh-CN"/>
                    </w:rPr>
                    <w:t>项目</w:t>
                  </w:r>
                  <w:r>
                    <w:rPr>
                      <w:rFonts w:hint="eastAsia" w:ascii="Times New Roman" w:hAnsi="Times New Roman" w:eastAsia="宋体" w:cs="Times New Roman"/>
                      <w:kern w:val="0"/>
                      <w:sz w:val="21"/>
                      <w:szCs w:val="21"/>
                      <w:lang w:val="en-US" w:eastAsia="zh-CN"/>
                    </w:rPr>
                    <w:t>在</w:t>
                  </w:r>
                  <w:r>
                    <w:rPr>
                      <w:rFonts w:hint="default" w:ascii="Times New Roman" w:hAnsi="Times New Roman" w:eastAsia="宋体" w:cs="Times New Roman"/>
                      <w:kern w:val="0"/>
                      <w:sz w:val="21"/>
                      <w:szCs w:val="21"/>
                      <w:lang w:eastAsia="zh-CN"/>
                    </w:rPr>
                    <w:t>运营期</w:t>
                  </w:r>
                  <w:r>
                    <w:rPr>
                      <w:rFonts w:hint="eastAsia" w:ascii="Times New Roman" w:hAnsi="Times New Roman" w:eastAsia="宋体" w:cs="Times New Roman"/>
                      <w:kern w:val="0"/>
                      <w:sz w:val="21"/>
                      <w:szCs w:val="21"/>
                      <w:lang w:val="en-US" w:eastAsia="zh-CN"/>
                    </w:rPr>
                    <w:t>对</w:t>
                  </w:r>
                  <w:r>
                    <w:rPr>
                      <w:rFonts w:hint="default" w:ascii="Times New Roman" w:hAnsi="Times New Roman" w:eastAsia="宋体" w:cs="Times New Roman"/>
                      <w:kern w:val="0"/>
                      <w:sz w:val="21"/>
                      <w:szCs w:val="21"/>
                      <w:lang w:eastAsia="zh-CN"/>
                    </w:rPr>
                    <w:t>取水</w:t>
                  </w:r>
                  <w:r>
                    <w:rPr>
                      <w:rFonts w:hint="eastAsia" w:ascii="Times New Roman" w:hAnsi="Times New Roman" w:eastAsia="宋体" w:cs="Times New Roman"/>
                      <w:kern w:val="0"/>
                      <w:sz w:val="21"/>
                      <w:szCs w:val="21"/>
                      <w:lang w:val="en-US" w:eastAsia="zh-CN"/>
                    </w:rPr>
                    <w:t>造成的</w:t>
                  </w:r>
                  <w:r>
                    <w:rPr>
                      <w:rFonts w:hint="default" w:ascii="Times New Roman" w:hAnsi="Times New Roman" w:eastAsia="宋体" w:cs="Times New Roman"/>
                      <w:kern w:val="0"/>
                      <w:sz w:val="21"/>
                      <w:szCs w:val="21"/>
                      <w:lang w:eastAsia="zh-CN"/>
                    </w:rPr>
                    <w:t>水域水文情势</w:t>
                  </w:r>
                  <w:r>
                    <w:rPr>
                      <w:rFonts w:hint="eastAsia" w:ascii="Times New Roman" w:hAnsi="Times New Roman" w:eastAsia="宋体" w:cs="Times New Roman"/>
                      <w:kern w:val="0"/>
                      <w:sz w:val="21"/>
                      <w:szCs w:val="21"/>
                      <w:lang w:eastAsia="zh-CN"/>
                    </w:rPr>
                    <w:t>的</w:t>
                  </w:r>
                  <w:r>
                    <w:rPr>
                      <w:rFonts w:hint="default" w:ascii="Times New Roman" w:hAnsi="Times New Roman" w:eastAsia="宋体" w:cs="Times New Roman"/>
                      <w:kern w:val="0"/>
                      <w:sz w:val="21"/>
                      <w:szCs w:val="21"/>
                      <w:lang w:eastAsia="zh-CN"/>
                    </w:rPr>
                    <w:t>影响</w:t>
                  </w:r>
                  <w:r>
                    <w:rPr>
                      <w:rFonts w:hint="eastAsia" w:ascii="Times New Roman" w:hAnsi="Times New Roman" w:eastAsia="宋体" w:cs="Times New Roman"/>
                      <w:kern w:val="0"/>
                      <w:sz w:val="21"/>
                      <w:szCs w:val="21"/>
                      <w:lang w:val="en-US" w:eastAsia="zh-CN"/>
                    </w:rPr>
                    <w:t>不会发生改变</w:t>
                  </w:r>
                  <w:r>
                    <w:rPr>
                      <w:rFonts w:hint="default" w:ascii="Times New Roman" w:hAnsi="Times New Roman" w:eastAsia="宋体" w:cs="Times New Roman"/>
                      <w:kern w:val="0"/>
                      <w:sz w:val="21"/>
                      <w:szCs w:val="21"/>
                      <w:lang w:eastAsia="zh-CN"/>
                    </w:rPr>
                    <w:t>。</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4</w:t>
                  </w:r>
                </w:p>
              </w:tc>
              <w:tc>
                <w:tcPr>
                  <w:tcW w:w="2620" w:type="pct"/>
                  <w:noWrap w:val="0"/>
                  <w:vAlign w:val="center"/>
                </w:tcPr>
                <w:p>
                  <w:pPr>
                    <w:autoSpaceDE w:val="0"/>
                    <w:autoSpaceDN w:val="0"/>
                    <w:adjustRightInd w:val="0"/>
                    <w:snapToGrid w:val="0"/>
                    <w:spacing w:line="240" w:lineRule="auto"/>
                    <w:textAlignment w:val="baseline"/>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第五条 项目取（蓄）水、输水或灌溉造成周边区域地下水位变化，引起土壤潜育化、沼泽化、盐碱化、沙化或植被退化演替等次生环境问题或造成居民水井、泉水位下降影响居民用水安全的，提出了优化取（蓄）水方案及灌溉方式、渠道防渗、截水导排、生态修复或保障居民供水等措施。灌区土壤存在重金属污染等威胁农产品质量安全问题的，按照土壤环境管理的有关要求，提出了农艺调控、种植结构优化、耕地污染修复、灌溉水源调整或休耕等措施。采取上述措施后，对地下水、土壤和植被的次生环境影响能够得到缓解和控制，居民用水和农产品质量安全能够得到保障。</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项目运营期灌溉退水可能对周边环境造成影响，本项目提出了合理灌溉方式、渠道防渗，截水导排、种植结构优化等措施，采取措施后，灌溉退</w:t>
                  </w:r>
                </w:p>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水对地表水、地下水、土壤的影响可得到有效控制。</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5</w:t>
                  </w:r>
                </w:p>
              </w:tc>
              <w:tc>
                <w:tcPr>
                  <w:tcW w:w="2620" w:type="pct"/>
                  <w:noWrap w:val="0"/>
                  <w:vAlign w:val="center"/>
                </w:tcPr>
                <w:p>
                  <w:pPr>
                    <w:autoSpaceDE w:val="0"/>
                    <w:autoSpaceDN w:val="0"/>
                    <w:adjustRightInd w:val="0"/>
                    <w:snapToGrid w:val="0"/>
                    <w:spacing w:line="240" w:lineRule="auto"/>
                    <w:textAlignment w:val="baseline"/>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第七条 项目对湿地、陆生生态系统及珍稀保护陆生动植物造成不利影响的，提出了优化工程设计、合理安排工期、建设或保留动物迁移通道、异地保护、就地保护、生态修复等措施。可能引起灌区及周边土地退化的，提出了轮作、休耕等措施。项目对水生生态系统及鱼类等造成不利影响的，提出了优化工程设计及调度、拦河闸坝建设过鱼设施、引水渠道设置拦鱼设施、栖息地保护修复、增殖放流等措施。项目对景观产生不利影响的，提出了避让、优化设计、景观塑造等措施。</w:t>
                  </w:r>
                </w:p>
                <w:p>
                  <w:pPr>
                    <w:autoSpaceDE w:val="0"/>
                    <w:autoSpaceDN w:val="0"/>
                    <w:adjustRightInd w:val="0"/>
                    <w:snapToGrid w:val="0"/>
                    <w:spacing w:line="240" w:lineRule="auto"/>
                    <w:textAlignment w:val="baseline"/>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采取上述措施后，对生态的不利影响能够得到缓解和控制，不会造成原有珍稀保护动植物在相关区域和河段消失，并与区域景观相协调。</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eastAsia="zh-CN"/>
                    </w:rPr>
                    <w:t>本项目施工期针对</w:t>
                  </w:r>
                  <w:r>
                    <w:rPr>
                      <w:rFonts w:hint="eastAsia" w:ascii="Times New Roman" w:hAnsi="Times New Roman" w:eastAsia="宋体" w:cs="Times New Roman"/>
                      <w:kern w:val="0"/>
                      <w:sz w:val="21"/>
                      <w:szCs w:val="21"/>
                      <w:lang w:val="en-US" w:eastAsia="zh-CN"/>
                    </w:rPr>
                    <w:t>农田生态系统采取了</w:t>
                  </w:r>
                  <w:r>
                    <w:rPr>
                      <w:rFonts w:hint="default" w:ascii="Times New Roman" w:hAnsi="Times New Roman" w:eastAsia="宋体" w:cs="Times New Roman"/>
                      <w:kern w:val="0"/>
                      <w:sz w:val="21"/>
                      <w:szCs w:val="21"/>
                      <w:lang w:eastAsia="zh-CN"/>
                    </w:rPr>
                    <w:t>相应的保护措施，采取措施后，对生态的不利影响能够得到缓解和控制。</w:t>
                  </w:r>
                  <w:r>
                    <w:rPr>
                      <w:rFonts w:hint="eastAsia" w:ascii="Times New Roman" w:hAnsi="Times New Roman" w:eastAsia="宋体" w:cs="Times New Roman"/>
                      <w:kern w:val="0"/>
                      <w:sz w:val="21"/>
                      <w:szCs w:val="21"/>
                      <w:lang w:val="en-US" w:eastAsia="zh-CN"/>
                    </w:rPr>
                    <w:t>灌区以农业灌溉和排洪为主，不涉及鱼类栖息。项目不涉及新建拦河闸坝，不涉及相关鱼类保护措施。</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6</w:t>
                  </w:r>
                </w:p>
              </w:tc>
              <w:tc>
                <w:tcPr>
                  <w:tcW w:w="2620" w:type="pct"/>
                  <w:noWrap w:val="0"/>
                  <w:vAlign w:val="center"/>
                </w:tcPr>
                <w:p>
                  <w:pPr>
                    <w:autoSpaceDE w:val="0"/>
                    <w:autoSpaceDN w:val="0"/>
                    <w:adjustRightInd w:val="0"/>
                    <w:snapToGrid w:val="0"/>
                    <w:spacing w:line="240" w:lineRule="auto"/>
                    <w:textAlignment w:val="baseline"/>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第九条 项目施工组织方案具有环境合理性，对主体工程区、料场、弃土（渣）场、施工道路等施工区域提出了水土流失防治、生态修复等措施。根据环境保护相关标准和要求，提出了施工期废（污）水、施工机械车辆尾气、扬尘、噪声、固体废物等防治措施。</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本项目施工期对主体工程区、临时</w:t>
                  </w:r>
                  <w:r>
                    <w:rPr>
                      <w:rFonts w:hint="eastAsia" w:ascii="Times New Roman" w:hAnsi="Times New Roman" w:eastAsia="宋体" w:cs="Times New Roman"/>
                      <w:kern w:val="0"/>
                      <w:sz w:val="21"/>
                      <w:szCs w:val="21"/>
                      <w:lang w:val="en-US" w:eastAsia="zh-CN"/>
                    </w:rPr>
                    <w:t>堆土</w:t>
                  </w:r>
                  <w:r>
                    <w:rPr>
                      <w:rFonts w:hint="default" w:ascii="Times New Roman" w:hAnsi="Times New Roman" w:eastAsia="宋体" w:cs="Times New Roman"/>
                      <w:kern w:val="0"/>
                      <w:sz w:val="21"/>
                      <w:szCs w:val="21"/>
                      <w:lang w:eastAsia="zh-CN"/>
                    </w:rPr>
                    <w:t>场、</w:t>
                  </w:r>
                  <w:r>
                    <w:rPr>
                      <w:rFonts w:hint="eastAsia" w:ascii="Times New Roman" w:hAnsi="Times New Roman" w:eastAsia="宋体" w:cs="Times New Roman"/>
                      <w:kern w:val="0"/>
                      <w:sz w:val="21"/>
                      <w:szCs w:val="21"/>
                      <w:lang w:val="en-US" w:eastAsia="zh-CN"/>
                    </w:rPr>
                    <w:t>临时施工场地</w:t>
                  </w:r>
                  <w:r>
                    <w:rPr>
                      <w:rFonts w:hint="default" w:ascii="Times New Roman" w:hAnsi="Times New Roman" w:eastAsia="宋体" w:cs="Times New Roman"/>
                      <w:kern w:val="0"/>
                      <w:sz w:val="21"/>
                      <w:szCs w:val="21"/>
                      <w:lang w:eastAsia="zh-CN"/>
                    </w:rPr>
                    <w:t>等施工区域均提出了水土流失及生态修复措施，同时根据相关标准和要求提出了施工废水、施工机械车辆尾气、扬尘、噪声等污染物的防治措施。</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7</w:t>
                  </w:r>
                </w:p>
              </w:tc>
              <w:tc>
                <w:tcPr>
                  <w:tcW w:w="2620" w:type="pct"/>
                  <w:noWrap w:val="0"/>
                  <w:vAlign w:val="center"/>
                </w:tcPr>
                <w:p>
                  <w:pPr>
                    <w:autoSpaceDE w:val="0"/>
                    <w:autoSpaceDN w:val="0"/>
                    <w:adjustRightInd w:val="0"/>
                    <w:snapToGrid w:val="0"/>
                    <w:spacing w:line="240" w:lineRule="auto"/>
                    <w:textAlignment w:val="baseline"/>
                    <w:rPr>
                      <w:rFonts w:hint="eastAsia"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eastAsia="zh-CN"/>
                    </w:rPr>
                    <w:t>第十条 项目存在外来物种入侵以及灌溉水质污染等环境风险的，提出了针对性的环境风险防范措施以及环境应急预案编制、建立必要的应急联动机制等要求。</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val="en-US" w:eastAsia="zh-CN"/>
                    </w:rPr>
                    <w:t>本项目提出了针对性的环境风险防范措施。</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8</w:t>
                  </w:r>
                </w:p>
              </w:tc>
              <w:tc>
                <w:tcPr>
                  <w:tcW w:w="262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第十一条 改、扩建或依托现有工程的项目，在全面梳理与项目有关的现有工程环境问题的基础上，提出了与项目相适应的“以新带老”措施。</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本项目属于</w:t>
                  </w:r>
                  <w:r>
                    <w:rPr>
                      <w:rFonts w:hint="eastAsia" w:ascii="Times New Roman" w:hAnsi="Times New Roman" w:eastAsia="宋体" w:cs="Times New Roman"/>
                      <w:kern w:val="0"/>
                      <w:sz w:val="21"/>
                      <w:szCs w:val="21"/>
                      <w:lang w:val="en-US" w:eastAsia="zh-CN"/>
                    </w:rPr>
                    <w:t>灌区</w:t>
                  </w:r>
                  <w:r>
                    <w:rPr>
                      <w:rFonts w:hint="default" w:ascii="Times New Roman" w:hAnsi="Times New Roman" w:eastAsia="宋体" w:cs="Times New Roman"/>
                      <w:kern w:val="0"/>
                      <w:sz w:val="21"/>
                      <w:szCs w:val="21"/>
                      <w:lang w:eastAsia="zh-CN"/>
                    </w:rPr>
                    <w:t>整治工程，</w:t>
                  </w:r>
                  <w:r>
                    <w:rPr>
                      <w:rFonts w:hint="eastAsia" w:ascii="Times New Roman" w:hAnsi="Times New Roman" w:eastAsia="宋体" w:cs="Times New Roman"/>
                      <w:kern w:val="0"/>
                      <w:sz w:val="21"/>
                      <w:szCs w:val="21"/>
                      <w:lang w:val="en-US" w:eastAsia="zh-CN"/>
                    </w:rPr>
                    <w:t>本次评价</w:t>
                  </w:r>
                  <w:r>
                    <w:rPr>
                      <w:rFonts w:hint="default" w:ascii="Times New Roman" w:hAnsi="Times New Roman" w:eastAsia="宋体" w:cs="Times New Roman"/>
                      <w:kern w:val="0"/>
                      <w:sz w:val="21"/>
                      <w:szCs w:val="21"/>
                      <w:lang w:eastAsia="zh-CN"/>
                    </w:rPr>
                    <w:t>针对原有项目现有环境问题进行了梳理，并提出了相应整改措施。</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3"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9</w:t>
                  </w:r>
                </w:p>
              </w:tc>
              <w:tc>
                <w:tcPr>
                  <w:tcW w:w="262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val="en-US" w:eastAsia="zh-CN"/>
                    </w:rPr>
                    <w:t>按相关导则及规定要求，制定了生态、水、土壤等环境要素的监测计划，明确了监测网点、因子、频次等 有关要求，提出了根据监测环境保护 措施的要求。根据生态环境保护需要和相关规定，提出了开展生态环境保护设计、科学研究、环境管理、环境影响后评价等要求。</w:t>
                  </w:r>
                </w:p>
              </w:tc>
              <w:tc>
                <w:tcPr>
                  <w:tcW w:w="1700"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eastAsia" w:ascii="Times New Roman" w:hAnsi="Times New Roman" w:eastAsia="宋体" w:cs="Times New Roman"/>
                      <w:kern w:val="0"/>
                      <w:sz w:val="21"/>
                      <w:szCs w:val="21"/>
                      <w:lang w:val="en-US" w:eastAsia="zh-CN"/>
                    </w:rPr>
                    <w:t>本项目按照相关环境技术导则规定要求，制定了生态、水、土壤等环境要素的监测计划，并明确提出了监测点位、因子以及监测频次，提出了相关环境保护措施。</w:t>
                  </w:r>
                </w:p>
              </w:tc>
              <w:tc>
                <w:tcPr>
                  <w:tcW w:w="406" w:type="pct"/>
                  <w:noWrap w:val="0"/>
                  <w:vAlign w:val="center"/>
                </w:tcPr>
                <w:p>
                  <w:pPr>
                    <w:autoSpaceDE w:val="0"/>
                    <w:autoSpaceDN w:val="0"/>
                    <w:adjustRightInd w:val="0"/>
                    <w:snapToGrid w:val="0"/>
                    <w:spacing w:line="240" w:lineRule="auto"/>
                    <w:textAlignment w:val="baseline"/>
                    <w:rPr>
                      <w:rFonts w:hint="default" w:ascii="Times New Roman" w:hAnsi="Times New Roman" w:eastAsia="宋体" w:cs="Times New Roman"/>
                      <w:kern w:val="0"/>
                      <w:sz w:val="21"/>
                      <w:szCs w:val="21"/>
                      <w:lang w:eastAsia="zh-CN"/>
                    </w:rPr>
                  </w:pPr>
                  <w:r>
                    <w:rPr>
                      <w:rFonts w:hint="default" w:ascii="Times New Roman" w:hAnsi="Times New Roman" w:eastAsia="宋体" w:cs="Times New Roman"/>
                      <w:kern w:val="0"/>
                      <w:sz w:val="21"/>
                      <w:szCs w:val="21"/>
                      <w:lang w:eastAsia="zh-CN"/>
                    </w:rPr>
                    <w:t>相符</w:t>
                  </w:r>
                </w:p>
              </w:tc>
            </w:tr>
          </w:tbl>
          <w:p>
            <w:pPr>
              <w:adjustRightInd w:val="0"/>
              <w:snapToGrid w:val="0"/>
              <w:spacing w:line="360" w:lineRule="auto"/>
              <w:jc w:val="both"/>
              <w:rPr>
                <w:rFonts w:hint="eastAsia" w:ascii="Times New Roman" w:hAnsi="Times New Roman" w:cs="Times New Roman"/>
                <w:b/>
                <w:sz w:val="24"/>
                <w:szCs w:val="24"/>
                <w:lang w:val="en-US" w:eastAsia="zh-CN"/>
              </w:rPr>
            </w:pPr>
          </w:p>
          <w:p>
            <w:pPr>
              <w:adjustRightInd w:val="0"/>
              <w:snapToGrid w:val="0"/>
              <w:spacing w:line="360" w:lineRule="auto"/>
              <w:jc w:val="both"/>
              <w:rPr>
                <w:rFonts w:ascii="Times New Roman" w:hAnsi="Times New Roman" w:cs="Times New Roman"/>
                <w:b/>
                <w:sz w:val="24"/>
                <w:szCs w:val="24"/>
              </w:rPr>
            </w:pPr>
            <w:r>
              <w:rPr>
                <w:rFonts w:hint="eastAsia" w:ascii="Times New Roman" w:hAnsi="Times New Roman" w:cs="Times New Roman"/>
                <w:b/>
                <w:sz w:val="24"/>
                <w:szCs w:val="24"/>
                <w:lang w:val="en-US" w:eastAsia="zh-CN"/>
              </w:rPr>
              <w:t>4</w:t>
            </w:r>
            <w:r>
              <w:rPr>
                <w:rFonts w:ascii="Times New Roman" w:hAnsi="Times New Roman" w:cs="Times New Roman"/>
                <w:b/>
                <w:sz w:val="24"/>
                <w:szCs w:val="24"/>
              </w:rPr>
              <w:t>、“三线一单”符合性分析</w:t>
            </w:r>
          </w:p>
          <w:p>
            <w:pPr>
              <w:spacing w:line="360" w:lineRule="auto"/>
              <w:ind w:firstLine="480" w:firstLineChars="200"/>
              <w:jc w:val="both"/>
              <w:rPr>
                <w:rFonts w:hint="eastAsia" w:ascii="Times New Roman" w:hAnsi="Times New Roman" w:eastAsia="宋体" w:cs="Times New Roman"/>
                <w:b w:val="0"/>
                <w:bCs w:val="0"/>
                <w:sz w:val="24"/>
                <w:szCs w:val="24"/>
              </w:rPr>
            </w:pPr>
            <w:r>
              <w:rPr>
                <w:rFonts w:hint="eastAsia" w:ascii="Times New Roman" w:hAnsi="Times New Roman" w:eastAsia="宋体" w:cs="Times New Roman"/>
                <w:b w:val="0"/>
                <w:bCs w:val="0"/>
                <w:sz w:val="24"/>
                <w:szCs w:val="24"/>
              </w:rPr>
              <w:t>根据《四川省人民政府关于落实生态保护红线、环境质量底线、资源利用上线制定生态环境准入清单实施生态环境分区管控的通知》（川府发〔2020〕9号）、《四川省生态保护红线方案》（川府发〔2018〕24号）。本项目不在四川省生态保护红线范围内。</w:t>
            </w:r>
          </w:p>
          <w:p>
            <w:pPr>
              <w:spacing w:line="360" w:lineRule="auto"/>
              <w:ind w:firstLine="480" w:firstLineChars="200"/>
              <w:rPr>
                <w:rFonts w:hint="default" w:ascii="Times New Roman" w:hAnsi="Times New Roman" w:cs="Times New Roman"/>
                <w:kern w:val="0"/>
                <w:sz w:val="24"/>
                <w:szCs w:val="24"/>
              </w:rPr>
            </w:pPr>
            <w:r>
              <w:rPr>
                <w:rFonts w:hint="default" w:ascii="Times New Roman" w:hAnsi="Times New Roman" w:cs="Times New Roman"/>
                <w:kern w:val="0"/>
                <w:sz w:val="24"/>
                <w:szCs w:val="24"/>
              </w:rPr>
              <w:t>根据生态环境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numPr>
                <w:ilvl w:val="0"/>
                <w:numId w:val="4"/>
              </w:numPr>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生态保护红线</w:t>
            </w:r>
          </w:p>
          <w:p>
            <w:pPr>
              <w:numPr>
                <w:ilvl w:val="0"/>
                <w:numId w:val="0"/>
              </w:numPr>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生态保护红线是生态空间范围内具有特殊重要生态功能必须实行强制性严格保护的区域。</w:t>
            </w:r>
          </w:p>
          <w:p>
            <w:pPr>
              <w:numPr>
                <w:ilvl w:val="0"/>
                <w:numId w:val="0"/>
              </w:numPr>
              <w:spacing w:line="360" w:lineRule="auto"/>
              <w:ind w:firstLine="480" w:firstLineChars="200"/>
              <w:rPr>
                <w:rFonts w:hint="default" w:ascii="Times New Roman" w:hAnsi="Times New Roman" w:cs="Times New Roman"/>
                <w:color w:val="000000" w:themeColor="text1"/>
                <w:kern w:val="0"/>
                <w:sz w:val="24"/>
                <w:szCs w:val="24"/>
                <w:lang w:eastAsia="zh-CN"/>
                <w14:textFill>
                  <w14:solidFill>
                    <w14:schemeClr w14:val="tx1"/>
                  </w14:solidFill>
                </w14:textFill>
              </w:rPr>
            </w:pPr>
            <w:r>
              <w:rPr>
                <w:rFonts w:hint="default" w:ascii="Times New Roman" w:hAnsi="Times New Roman" w:cs="Times New Roman"/>
                <w:color w:val="000000" w:themeColor="text1"/>
                <w:kern w:val="0"/>
                <w:sz w:val="24"/>
                <w:szCs w:val="24"/>
                <w:lang w:eastAsia="zh-CN"/>
                <w14:textFill>
                  <w14:solidFill>
                    <w14:schemeClr w14:val="tx1"/>
                  </w14:solidFill>
                </w14:textFill>
              </w:rPr>
              <w:t>根据达州市人民政府发布的《长江经济带战略环境评价达州市“三线一单”编制文本》，达州市境内划定的生态保护红线面积1254.27平方公里，占达州市国土面积约7.56%，涵盖了水源涵养、生物多样性维护、水土保持功能极重要区以及水土流失、极敏感区，还包括龙潭河特有鱼类国家级水产种质资源保护区、八台山省级风景名胜区、后河特有鱼类水产种质资源保护区、百里峡风景名胜区、乌木水库饮用水源地、大竹百岛湖省级湿地公园、大竹龙潭省级湿地公园、宝石桥水库饮用水源地、巴河特色鱼类国家级水产种植资源保护区、百里峡省级自然保护区、蜂桶山省级自然保护区、罗江库区水源地、龙潭水库饮用水源地等法定保护区域，以及崖柏极小种群物种分布的栖息地、国家一级公益林、特大和大型地质灾害隐患点等各类保护地。</w:t>
            </w:r>
          </w:p>
          <w:p>
            <w:pPr>
              <w:numPr>
                <w:ilvl w:val="0"/>
                <w:numId w:val="0"/>
              </w:numPr>
              <w:spacing w:line="360" w:lineRule="auto"/>
              <w:ind w:firstLine="480" w:firstLineChars="200"/>
              <w:rPr>
                <w:rFonts w:hint="eastAsia" w:ascii="Times New Roman" w:hAnsi="Times New Roman" w:eastAsia="宋体" w:cs="Times New Roman"/>
                <w:color w:val="000000" w:themeColor="text1"/>
                <w:kern w:val="0"/>
                <w:sz w:val="24"/>
                <w:szCs w:val="24"/>
                <w:lang w:eastAsia="zh-CN"/>
                <w14:textFill>
                  <w14:solidFill>
                    <w14:schemeClr w14:val="tx1"/>
                  </w14:solidFill>
                </w14:textFill>
              </w:rPr>
            </w:pPr>
            <w:r>
              <w:rPr>
                <w:rFonts w:hint="eastAsia"/>
                <w:color w:val="000000" w:themeColor="text1"/>
                <w:kern w:val="0"/>
                <w:sz w:val="24"/>
                <w:szCs w:val="24"/>
                <w:lang w:eastAsia="zh-CN"/>
                <w14:textFill>
                  <w14:solidFill>
                    <w14:schemeClr w14:val="tx1"/>
                  </w14:solidFill>
                </w14:textFill>
              </w:rPr>
              <w:t>根据达州市人民政府发布的《关于落实生态保护红线、环境质量底</w:t>
            </w:r>
            <w:r>
              <w:rPr>
                <w:rFonts w:hint="eastAsia" w:ascii="Times New Roman" w:hAnsi="Times New Roman" w:eastAsia="宋体" w:cs="Times New Roman"/>
                <w:color w:val="000000" w:themeColor="text1"/>
                <w:kern w:val="0"/>
                <w:sz w:val="24"/>
                <w:szCs w:val="24"/>
                <w:lang w:eastAsia="zh-CN"/>
                <w14:textFill>
                  <w14:solidFill>
                    <w14:schemeClr w14:val="tx1"/>
                  </w14:solidFill>
                </w14:textFill>
              </w:rPr>
              <w:t xml:space="preserve">线、资源利用上线制定生态环境准人清单实施生态环境分区管控的通知》（达市府发 〔2021〕17号），达州市将全市行政区域从生态环境保护角度划分为优先保护、重点管控和一般管控三类环境管控单元，全市共划定46个综合环境管控单元。其中： </w:t>
            </w:r>
          </w:p>
          <w:p>
            <w:pPr>
              <w:numPr>
                <w:ilvl w:val="0"/>
                <w:numId w:val="0"/>
              </w:numPr>
              <w:spacing w:line="360" w:lineRule="auto"/>
              <w:ind w:firstLine="480" w:firstLineChars="200"/>
              <w:rPr>
                <w:rFonts w:hint="eastAsia" w:ascii="Times New Roman" w:hAnsi="Times New Roman" w:eastAsia="宋体" w:cs="Times New Roman"/>
                <w:color w:val="000000" w:themeColor="text1"/>
                <w:kern w:val="0"/>
                <w:sz w:val="24"/>
                <w:szCs w:val="24"/>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eastAsia="zh-CN"/>
                <w14:textFill>
                  <w14:solidFill>
                    <w14:schemeClr w14:val="tx1"/>
                  </w14:solidFill>
                </w14:textFill>
              </w:rPr>
              <w:t>——优先保护单元。以生态环境保护为主的区域，全市划分优先保护单元17个，主要包括生态保护红线、自然保护地、饮用水水源保护区等，应以生态环境保护优先为原则，严格执行相关法律、法规要求，严守生态环境质量底线，确保生态环境功能不降低。</w:t>
            </w:r>
          </w:p>
          <w:p>
            <w:pPr>
              <w:numPr>
                <w:ilvl w:val="0"/>
                <w:numId w:val="0"/>
              </w:numPr>
              <w:spacing w:line="360" w:lineRule="auto"/>
              <w:ind w:firstLine="480" w:firstLineChars="200"/>
              <w:rPr>
                <w:rFonts w:hint="eastAsia" w:ascii="Times New Roman" w:hAnsi="Times New Roman" w:eastAsia="宋体" w:cs="Times New Roman"/>
                <w:color w:val="000000" w:themeColor="text1"/>
                <w:kern w:val="0"/>
                <w:sz w:val="24"/>
                <w:szCs w:val="24"/>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eastAsia="zh-CN"/>
                <w14:textFill>
                  <w14:solidFill>
                    <w14:schemeClr w14:val="tx1"/>
                  </w14:solidFill>
                </w14:textFill>
              </w:rPr>
              <w:t>——重点管控单元。涉及水、大气、土壤、自然资源等资源环境要素重点管控的区域，全市划分重点管控单元22个，主要包括人口密集的城镇规划区和 产业集聚的工业园区（工业集聚区）等，应不断提升资源利用效率，有针对性地加强污染物排放控制和环境风险防控，解决生态环境质量不达标、生态环境 风险突出等问题，制定差别化的生态环境准入要求。对环境质量不达标区域，提出污染物削减比例要求。对环境质量达标区域，提出允许排放量建议指标。</w:t>
            </w:r>
          </w:p>
          <w:p>
            <w:pPr>
              <w:numPr>
                <w:ilvl w:val="0"/>
                <w:numId w:val="0"/>
              </w:numPr>
              <w:spacing w:line="360" w:lineRule="auto"/>
              <w:ind w:firstLine="480" w:firstLineChars="200"/>
              <w:rPr>
                <w:rFonts w:hint="eastAsia" w:ascii="Times New Roman" w:hAnsi="Times New Roman" w:eastAsia="宋体" w:cs="Times New Roman"/>
                <w:color w:val="000000" w:themeColor="text1"/>
                <w:kern w:val="0"/>
                <w:sz w:val="24"/>
                <w:szCs w:val="24"/>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eastAsia="zh-CN"/>
                <w14:textFill>
                  <w14:solidFill>
                    <w14:schemeClr w14:val="tx1"/>
                  </w14:solidFill>
                </w14:textFill>
              </w:rPr>
              <w:t>———般管控单元。除优先保护单元和重点管控单元之外的其他区域，全市共划分一般管控单元7个。执行区域生态环境保护的基本要求，重点加强农业、生活等领域污染治理。</w:t>
            </w:r>
          </w:p>
          <w:p>
            <w:pPr>
              <w:numPr>
                <w:ilvl w:val="0"/>
                <w:numId w:val="0"/>
              </w:numPr>
              <w:spacing w:line="360" w:lineRule="auto"/>
              <w:ind w:firstLine="480" w:firstLineChars="200"/>
              <w:rPr>
                <w:rFonts w:hint="default" w:ascii="Times New Roman" w:hAnsi="Times New Roman" w:cs="Times New Roman"/>
                <w:color w:val="000000" w:themeColor="text1"/>
                <w:kern w:val="0"/>
                <w:sz w:val="24"/>
                <w:szCs w:val="24"/>
                <w:lang w:eastAsia="zh-CN"/>
                <w14:textFill>
                  <w14:solidFill>
                    <w14:schemeClr w14:val="tx1"/>
                  </w14:solidFill>
                </w14:textFill>
              </w:rPr>
            </w:pPr>
            <w:r>
              <w:rPr>
                <w:rFonts w:hint="default" w:ascii="Times New Roman" w:hAnsi="Times New Roman" w:cs="Times New Roman"/>
                <w:color w:val="000000" w:themeColor="text1"/>
                <w:kern w:val="0"/>
                <w:sz w:val="24"/>
                <w:szCs w:val="24"/>
                <w:lang w:eastAsia="zh-CN"/>
                <w14:textFill>
                  <w14:solidFill>
                    <w14:schemeClr w14:val="tx1"/>
                  </w14:solidFill>
                </w14:textFill>
              </w:rPr>
              <w:t>项目</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涉及</w:t>
            </w:r>
            <w:r>
              <w:rPr>
                <w:rFonts w:hint="eastAsia" w:ascii="Times New Roman" w:hAnsi="Times New Roman" w:cs="Times New Roman"/>
                <w:color w:val="000000" w:themeColor="text1"/>
                <w:kern w:val="0"/>
                <w:sz w:val="24"/>
                <w:szCs w:val="24"/>
                <w:lang w:eastAsia="zh-CN"/>
                <w14:textFill>
                  <w14:solidFill>
                    <w14:schemeClr w14:val="tx1"/>
                  </w14:solidFill>
                </w14:textFill>
              </w:rPr>
              <w:t>宣汉</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县各个乡镇，涉及当地</w:t>
            </w:r>
            <w:r>
              <w:rPr>
                <w:rFonts w:hint="default" w:ascii="Times New Roman" w:hAnsi="Times New Roman" w:cs="Times New Roman"/>
                <w:color w:val="000000" w:themeColor="text1"/>
                <w:kern w:val="0"/>
                <w:sz w:val="24"/>
                <w:szCs w:val="24"/>
                <w:lang w:eastAsia="zh-CN"/>
                <w14:textFill>
                  <w14:solidFill>
                    <w14:schemeClr w14:val="tx1"/>
                  </w14:solidFill>
                </w14:textFill>
              </w:rPr>
              <w:t>一般管控单元。同时项目为</w:t>
            </w:r>
            <w:r>
              <w:rPr>
                <w:rFonts w:hint="eastAsia" w:ascii="Times New Roman" w:hAnsi="Times New Roman" w:cs="Times New Roman"/>
                <w:color w:val="000000" w:themeColor="text1"/>
                <w:kern w:val="0"/>
                <w:sz w:val="24"/>
                <w:szCs w:val="24"/>
                <w:lang w:val="en-US" w:eastAsia="zh-CN"/>
                <w14:textFill>
                  <w14:solidFill>
                    <w14:schemeClr w14:val="tx1"/>
                  </w14:solidFill>
                </w14:textFill>
              </w:rPr>
              <w:t>灌区</w:t>
            </w:r>
            <w:r>
              <w:rPr>
                <w:rFonts w:hint="default" w:ascii="Times New Roman" w:hAnsi="Times New Roman" w:cs="Times New Roman"/>
                <w:color w:val="000000" w:themeColor="text1"/>
                <w:kern w:val="0"/>
                <w:sz w:val="24"/>
                <w:szCs w:val="24"/>
                <w:lang w:eastAsia="zh-CN"/>
                <w14:textFill>
                  <w14:solidFill>
                    <w14:schemeClr w14:val="tx1"/>
                  </w14:solidFill>
                </w14:textFill>
              </w:rPr>
              <w:t>整治，不属于区域重点管控项目，区域环境质量良好，污染物均能实现有效治理，满足环境质量管控要求。</w:t>
            </w:r>
          </w:p>
          <w:p>
            <w:pPr>
              <w:tabs>
                <w:tab w:val="left" w:pos="676"/>
              </w:tabs>
              <w:adjustRightInd w:val="0"/>
              <w:snapToGrid w:val="0"/>
              <w:spacing w:line="360" w:lineRule="auto"/>
              <w:jc w:val="center"/>
              <w:rPr>
                <w:rFonts w:hint="eastAsia"/>
                <w:color w:val="FF0000"/>
                <w:kern w:val="0"/>
                <w:sz w:val="24"/>
                <w:szCs w:val="24"/>
                <w:lang w:eastAsia="zh-CN"/>
              </w:rPr>
            </w:pPr>
            <w:r>
              <w:rPr>
                <w:sz w:val="24"/>
              </w:rPr>
              <mc:AlternateContent>
                <mc:Choice Requires="wps">
                  <w:drawing>
                    <wp:anchor distT="0" distB="0" distL="114300" distR="114300" simplePos="0" relativeHeight="251673600" behindDoc="0" locked="0" layoutInCell="1" allowOverlap="1">
                      <wp:simplePos x="0" y="0"/>
                      <wp:positionH relativeFrom="column">
                        <wp:posOffset>1536065</wp:posOffset>
                      </wp:positionH>
                      <wp:positionV relativeFrom="paragraph">
                        <wp:posOffset>1136650</wp:posOffset>
                      </wp:positionV>
                      <wp:extent cx="1057275" cy="266700"/>
                      <wp:effectExtent l="4445" t="4445" r="62230" b="243205"/>
                      <wp:wrapNone/>
                      <wp:docPr id="4" name="矩形标注 4"/>
                      <wp:cNvGraphicFramePr/>
                      <a:graphic xmlns:a="http://schemas.openxmlformats.org/drawingml/2006/main">
                        <a:graphicData uri="http://schemas.microsoft.com/office/word/2010/wordprocessingShape">
                          <wps:wsp>
                            <wps:cNvSpPr/>
                            <wps:spPr>
                              <a:xfrm>
                                <a:off x="0" y="0"/>
                                <a:ext cx="1057275" cy="266700"/>
                              </a:xfrm>
                              <a:prstGeom prst="wedgeRectCallout">
                                <a:avLst>
                                  <a:gd name="adj1" fmla="val 53843"/>
                                  <a:gd name="adj2" fmla="val 134285"/>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eastAsia="zh-CN"/>
                                    </w:rPr>
                                    <w:t>项目</w:t>
                                  </w:r>
                                  <w:r>
                                    <w:rPr>
                                      <w:rFonts w:hint="eastAsia"/>
                                      <w:lang w:val="en-US" w:eastAsia="zh-CN"/>
                                    </w:rPr>
                                    <w:t>分布区域</w:t>
                                  </w:r>
                                </w:p>
                              </w:txbxContent>
                            </wps:txbx>
                            <wps:bodyPr upright="1"/>
                          </wps:wsp>
                        </a:graphicData>
                      </a:graphic>
                    </wp:anchor>
                  </w:drawing>
                </mc:Choice>
                <mc:Fallback>
                  <w:pict>
                    <v:shape id="_x0000_s1026" o:spid="_x0000_s1026" o:spt="61" type="#_x0000_t61" style="position:absolute;left:0pt;margin-left:120.95pt;margin-top:89.5pt;height:21pt;width:83.25pt;z-index:251673600;mso-width-relative:page;mso-height-relative:page;" fillcolor="#FFFFFF" filled="t" stroked="t" coordsize="21600,21600" o:gfxdata="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NaEoPWAAAACwEAAA8AAAAAAAAAAQAgAAAAIgAAAGRycy9kb3ducmV2&#10;LnhtbFBLAQIUABQAAAAIAIdO4kAilLrtNwIAAI0EAAAOAAAAAAAAAAEAIAAAACUBAABkcnMvZTJv&#10;RG9jLnhtbFBLBQYAAAAABgAGAFkBAADOBQAAAAA=&#10;" adj="22430,39806">
                      <v:fill on="t" focussize="0,0"/>
                      <v:stroke color="#000000" joinstyle="miter"/>
                      <v:imagedata o:title=""/>
                      <o:lock v:ext="edit" aspectratio="f"/>
                      <v:textbox>
                        <w:txbxContent>
                          <w:p>
                            <w:pPr>
                              <w:jc w:val="center"/>
                              <w:rPr>
                                <w:rFonts w:hint="default" w:eastAsia="宋体"/>
                                <w:lang w:val="en-US" w:eastAsia="zh-CN"/>
                              </w:rPr>
                            </w:pPr>
                            <w:r>
                              <w:rPr>
                                <w:rFonts w:hint="eastAsia"/>
                                <w:lang w:eastAsia="zh-CN"/>
                              </w:rPr>
                              <w:t>项目</w:t>
                            </w:r>
                            <w:r>
                              <w:rPr>
                                <w:rFonts w:hint="eastAsia"/>
                                <w:lang w:val="en-US" w:eastAsia="zh-CN"/>
                              </w:rPr>
                              <w:t>分布区域</w:t>
                            </w:r>
                          </w:p>
                        </w:txbxContent>
                      </v:textbox>
                    </v:shape>
                  </w:pict>
                </mc:Fallback>
              </mc:AlternateContent>
            </w:r>
            <w:r>
              <w:rPr>
                <w:rFonts w:hint="eastAsia"/>
                <w:color w:val="FF0000"/>
                <w:kern w:val="0"/>
                <w:sz w:val="24"/>
                <w:szCs w:val="24"/>
                <w:lang w:eastAsia="zh-CN"/>
              </w:rPr>
              <w:drawing>
                <wp:inline distT="0" distB="0" distL="114300" distR="114300">
                  <wp:extent cx="4217670" cy="3636645"/>
                  <wp:effectExtent l="0" t="0" r="11430" b="1905"/>
                  <wp:docPr id="3" name="图片 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图片"/>
                          <pic:cNvPicPr>
                            <a:picLocks noChangeAspect="1"/>
                          </pic:cNvPicPr>
                        </pic:nvPicPr>
                        <pic:blipFill>
                          <a:blip r:embed="rId6"/>
                          <a:stretch>
                            <a:fillRect/>
                          </a:stretch>
                        </pic:blipFill>
                        <pic:spPr>
                          <a:xfrm>
                            <a:off x="0" y="0"/>
                            <a:ext cx="4217670" cy="3636645"/>
                          </a:xfrm>
                          <a:prstGeom prst="rect">
                            <a:avLst/>
                          </a:prstGeom>
                          <a:noFill/>
                          <a:ln>
                            <a:noFill/>
                          </a:ln>
                        </pic:spPr>
                      </pic:pic>
                    </a:graphicData>
                  </a:graphic>
                </wp:inline>
              </w:drawing>
            </w:r>
          </w:p>
          <w:p>
            <w:pPr>
              <w:tabs>
                <w:tab w:val="left" w:pos="676"/>
              </w:tabs>
              <w:adjustRightInd w:val="0"/>
              <w:snapToGrid w:val="0"/>
              <w:spacing w:line="360" w:lineRule="auto"/>
              <w:jc w:val="center"/>
              <w:rPr>
                <w:rFonts w:hint="eastAsia"/>
                <w:color w:val="000000" w:themeColor="text1"/>
                <w:kern w:val="0"/>
                <w:sz w:val="24"/>
                <w:szCs w:val="24"/>
                <w:lang w:eastAsia="zh-CN"/>
                <w14:textFill>
                  <w14:solidFill>
                    <w14:schemeClr w14:val="tx1"/>
                  </w14:solidFill>
                </w14:textFill>
              </w:rPr>
            </w:pPr>
            <w:r>
              <w:rPr>
                <w:rFonts w:hint="eastAsia"/>
                <w:b/>
                <w:bCs/>
                <w:color w:val="000000" w:themeColor="text1"/>
                <w:kern w:val="0"/>
                <w:sz w:val="21"/>
                <w:szCs w:val="21"/>
                <w:lang w:eastAsia="zh-CN"/>
                <w14:textFill>
                  <w14:solidFill>
                    <w14:schemeClr w14:val="tx1"/>
                  </w14:solidFill>
                </w14:textFill>
              </w:rPr>
              <w:t>图1-1 项目与达州市环境管控单元位置关系</w:t>
            </w:r>
          </w:p>
          <w:p>
            <w:pPr>
              <w:tabs>
                <w:tab w:val="left" w:pos="676"/>
              </w:tabs>
              <w:adjustRightInd w:val="0"/>
              <w:snapToGrid w:val="0"/>
              <w:spacing w:line="240" w:lineRule="auto"/>
              <w:jc w:val="center"/>
              <w:rPr>
                <w:rFonts w:hint="eastAsia"/>
                <w:b/>
                <w:bCs/>
                <w:color w:val="000000" w:themeColor="text1"/>
                <w:kern w:val="0"/>
                <w:sz w:val="21"/>
                <w:szCs w:val="21"/>
                <w:vertAlign w:val="baseline"/>
                <w:lang w:eastAsia="zh-CN"/>
                <w14:textFill>
                  <w14:solidFill>
                    <w14:schemeClr w14:val="tx1"/>
                  </w14:solidFill>
                </w14:textFill>
              </w:rPr>
            </w:pPr>
            <w:r>
              <w:rPr>
                <w:rFonts w:hint="eastAsia"/>
                <w:b/>
                <w:bCs/>
                <w:color w:val="000000" w:themeColor="text1"/>
                <w:kern w:val="0"/>
                <w:sz w:val="21"/>
                <w:szCs w:val="21"/>
                <w:lang w:eastAsia="zh-CN"/>
                <w14:textFill>
                  <w14:solidFill>
                    <w14:schemeClr w14:val="tx1"/>
                  </w14:solidFill>
                </w14:textFill>
              </w:rPr>
              <w:t>表</w:t>
            </w:r>
            <w:r>
              <w:rPr>
                <w:rFonts w:hint="eastAsia"/>
                <w:b/>
                <w:bCs/>
                <w:color w:val="000000" w:themeColor="text1"/>
                <w:kern w:val="0"/>
                <w:sz w:val="21"/>
                <w:szCs w:val="21"/>
                <w:lang w:val="en-US" w:eastAsia="zh-CN"/>
                <w14:textFill>
                  <w14:solidFill>
                    <w14:schemeClr w14:val="tx1"/>
                  </w14:solidFill>
                </w14:textFill>
              </w:rPr>
              <w:t>1-1</w:t>
            </w:r>
            <w:r>
              <w:rPr>
                <w:rFonts w:hint="eastAsia"/>
                <w:b/>
                <w:bCs/>
                <w:color w:val="000000" w:themeColor="text1"/>
                <w:kern w:val="0"/>
                <w:sz w:val="21"/>
                <w:szCs w:val="21"/>
                <w:lang w:eastAsia="zh-CN"/>
                <w14:textFill>
                  <w14:solidFill>
                    <w14:schemeClr w14:val="tx1"/>
                  </w14:solidFill>
                </w14:textFill>
              </w:rPr>
              <w:t xml:space="preserve">  宣汉县总体生态环境管控要求</w:t>
            </w:r>
          </w:p>
          <w:tbl>
            <w:tblPr>
              <w:tblStyle w:val="27"/>
              <w:tblW w:w="8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4"/>
              <w:gridCol w:w="3693"/>
              <w:gridCol w:w="2480"/>
              <w:gridCol w:w="1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874" w:type="dxa"/>
                  <w:noWrap w:val="0"/>
                  <w:vAlign w:val="center"/>
                </w:tcPr>
                <w:p>
                  <w:pPr>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序号</w:t>
                  </w:r>
                </w:p>
              </w:tc>
              <w:tc>
                <w:tcPr>
                  <w:tcW w:w="3693" w:type="dxa"/>
                  <w:noWrap w:val="0"/>
                  <w:vAlign w:val="center"/>
                </w:tcPr>
                <w:p>
                  <w:pPr>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宣汉县总体生态环境管控要求</w:t>
                  </w:r>
                </w:p>
              </w:tc>
              <w:tc>
                <w:tcPr>
                  <w:tcW w:w="2480" w:type="dxa"/>
                  <w:noWrap w:val="0"/>
                  <w:vAlign w:val="center"/>
                </w:tcPr>
                <w:p>
                  <w:pPr>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本项目</w:t>
                  </w:r>
                </w:p>
              </w:tc>
              <w:tc>
                <w:tcPr>
                  <w:tcW w:w="1190" w:type="dxa"/>
                  <w:noWrap w:val="0"/>
                  <w:vAlign w:val="center"/>
                </w:tcPr>
                <w:p>
                  <w:pPr>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2" w:hRule="atLeast"/>
                <w:jc w:val="center"/>
              </w:trPr>
              <w:tc>
                <w:tcPr>
                  <w:tcW w:w="874" w:type="dxa"/>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3693" w:type="dxa"/>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加强小流域水环境保护，推动农村环保基础设施建设，全面推进农村环境综合整治、生活污水处理项目。大力开展沿河畜禽养殖污染整治，大力推广生态种植，减少农药化肥使用量</w:t>
                  </w:r>
                </w:p>
              </w:tc>
              <w:tc>
                <w:tcPr>
                  <w:tcW w:w="2480" w:type="dxa"/>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本项目属于灌区整治项目，不涉及该类管控要求</w:t>
                  </w:r>
                </w:p>
              </w:tc>
              <w:tc>
                <w:tcPr>
                  <w:tcW w:w="1190" w:type="dxa"/>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4" w:type="dxa"/>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c>
              <w:tc>
                <w:tcPr>
                  <w:tcW w:w="3693" w:type="dxa"/>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打好升级版污染防治攻坚战。持续优化调整产业布局，以PM</w:t>
                  </w:r>
                  <w:r>
                    <w:rPr>
                      <w:rFonts w:hint="eastAsia" w:ascii="Times New Roman" w:hAnsi="Times New Roman" w:eastAsia="宋体" w:cs="Times New Roman"/>
                      <w:sz w:val="21"/>
                      <w:szCs w:val="21"/>
                      <w:vertAlign w:val="subscript"/>
                      <w:lang w:val="en-US" w:eastAsia="zh-CN"/>
                    </w:rPr>
                    <w:t>2.5</w:t>
                  </w:r>
                  <w:r>
                    <w:rPr>
                      <w:rFonts w:hint="eastAsia" w:ascii="Times New Roman" w:hAnsi="Times New Roman" w:eastAsia="宋体" w:cs="Times New Roman"/>
                      <w:sz w:val="21"/>
                      <w:szCs w:val="21"/>
                      <w:lang w:val="en-US" w:eastAsia="zh-CN"/>
                    </w:rPr>
                    <w:t>和臭氧污染协同控制为重点，全面开展VOCs治理，实施移动源整治，持续推进空气质量精细化管理</w:t>
                  </w:r>
                </w:p>
              </w:tc>
              <w:tc>
                <w:tcPr>
                  <w:tcW w:w="2480" w:type="dxa"/>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本项目属于灌区整治项目，不涉及VOCs等重点污染物排放</w:t>
                  </w:r>
                </w:p>
              </w:tc>
              <w:tc>
                <w:tcPr>
                  <w:tcW w:w="1190" w:type="dxa"/>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jc w:val="center"/>
              </w:trPr>
              <w:tc>
                <w:tcPr>
                  <w:tcW w:w="874" w:type="dxa"/>
                  <w:noWrap w:val="0"/>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3693" w:type="dxa"/>
                  <w:noWrap w:val="0"/>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2480" w:type="dxa"/>
                  <w:noWrap w:val="0"/>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本项目属于灌区整治项目，不涉及天然气化工、硫化工、锂钾综合开发、冶金建材、新材料等</w:t>
                  </w:r>
                </w:p>
              </w:tc>
              <w:tc>
                <w:tcPr>
                  <w:tcW w:w="1190" w:type="dxa"/>
                  <w:noWrap w:val="0"/>
                  <w:vAlign w:val="center"/>
                </w:tcPr>
                <w:p>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符合</w:t>
                  </w:r>
                </w:p>
              </w:tc>
            </w:tr>
          </w:tbl>
          <w:p>
            <w:pPr>
              <w:tabs>
                <w:tab w:val="left" w:pos="676"/>
              </w:tabs>
              <w:adjustRightInd w:val="0"/>
              <w:snapToGrid w:val="0"/>
              <w:spacing w:line="360" w:lineRule="auto"/>
              <w:rPr>
                <w:rFonts w:hint="eastAsia"/>
                <w:color w:val="000000" w:themeColor="text1"/>
                <w:kern w:val="0"/>
                <w:sz w:val="24"/>
                <w:szCs w:val="24"/>
                <w:lang w:eastAsia="zh-CN"/>
                <w14:textFill>
                  <w14:solidFill>
                    <w14:schemeClr w14:val="tx1"/>
                  </w14:solidFill>
                </w14:textFill>
              </w:rPr>
            </w:pPr>
          </w:p>
          <w:p>
            <w:pPr>
              <w:tabs>
                <w:tab w:val="left" w:pos="676"/>
              </w:tabs>
              <w:adjustRightInd w:val="0"/>
              <w:snapToGrid w:val="0"/>
              <w:spacing w:line="360" w:lineRule="auto"/>
              <w:ind w:firstLine="480" w:firstLineChars="200"/>
              <w:rPr>
                <w:rFonts w:hint="eastAsia" w:ascii="Times New Roman" w:hAnsi="Times New Roman" w:cs="Times New Roman"/>
                <w:b/>
                <w:bCs/>
                <w:color w:val="000000" w:themeColor="text1"/>
                <w:kern w:val="0"/>
                <w:sz w:val="24"/>
                <w:szCs w:val="24"/>
                <w14:textFill>
                  <w14:solidFill>
                    <w14:schemeClr w14:val="tx1"/>
                  </w14:solidFill>
                </w14:textFill>
              </w:rPr>
            </w:pPr>
            <w:r>
              <w:rPr>
                <w:rFonts w:hint="eastAsia"/>
                <w:color w:val="000000" w:themeColor="text1"/>
                <w:kern w:val="0"/>
                <w:sz w:val="24"/>
                <w:szCs w:val="24"/>
                <w:lang w:eastAsia="zh-CN"/>
                <w14:textFill>
                  <w14:solidFill>
                    <w14:schemeClr w14:val="tx1"/>
                  </w14:solidFill>
                </w14:textFill>
              </w:rPr>
              <w:t>本项目位于宣汉县</w:t>
            </w:r>
            <w:r>
              <w:rPr>
                <w:rFonts w:hint="eastAsia"/>
                <w:color w:val="000000" w:themeColor="text1"/>
                <w:kern w:val="0"/>
                <w:sz w:val="24"/>
                <w:szCs w:val="24"/>
                <w:lang w:val="en-US" w:eastAsia="zh-CN"/>
                <w14:textFill>
                  <w14:solidFill>
                    <w14:schemeClr w14:val="tx1"/>
                  </w14:solidFill>
                </w14:textFill>
              </w:rPr>
              <w:t>桃花镇、新华镇、老君乡、东乡街道、毛坝镇、天生镇、普光镇、大成镇、柏树镇、厂溪镇、蒲江街道、</w:t>
            </w:r>
            <w:bookmarkStart w:id="1" w:name="_GoBack"/>
            <w:bookmarkEnd w:id="1"/>
            <w:r>
              <w:rPr>
                <w:rFonts w:hint="eastAsia"/>
                <w:color w:val="000000" w:themeColor="text1"/>
                <w:kern w:val="0"/>
                <w:sz w:val="24"/>
                <w:szCs w:val="24"/>
                <w:lang w:val="en-US" w:eastAsia="zh-CN"/>
                <w14:textFill>
                  <w14:solidFill>
                    <w14:schemeClr w14:val="tx1"/>
                  </w14:solidFill>
                </w14:textFill>
              </w:rPr>
              <w:t>清溪镇、南坝镇</w:t>
            </w:r>
            <w:r>
              <w:rPr>
                <w:rFonts w:hint="eastAsia"/>
                <w:color w:val="000000" w:themeColor="text1"/>
                <w:sz w:val="24"/>
                <w:szCs w:val="24"/>
                <w:u w:val="none"/>
                <w:lang w:eastAsia="zh-CN"/>
                <w14:textFill>
                  <w14:solidFill>
                    <w14:schemeClr w14:val="tx1"/>
                  </w14:solidFill>
                </w14:textFill>
              </w:rPr>
              <w:t>，</w:t>
            </w:r>
            <w:r>
              <w:rPr>
                <w:rFonts w:hint="eastAsia"/>
                <w:color w:val="000000" w:themeColor="text1"/>
                <w:kern w:val="0"/>
                <w:sz w:val="24"/>
                <w:szCs w:val="24"/>
                <w:lang w:val="en-US" w:eastAsia="zh-CN"/>
                <w14:textFill>
                  <w14:solidFill>
                    <w14:schemeClr w14:val="tx1"/>
                  </w14:solidFill>
                </w14:textFill>
              </w:rPr>
              <w:t>不涉及生态保护红线，满足</w:t>
            </w:r>
            <w:r>
              <w:rPr>
                <w:rFonts w:hint="eastAsia"/>
                <w:color w:val="000000" w:themeColor="text1"/>
                <w:kern w:val="0"/>
                <w:sz w:val="24"/>
                <w:szCs w:val="24"/>
                <w:lang w:eastAsia="zh-CN"/>
                <w14:textFill>
                  <w14:solidFill>
                    <w14:schemeClr w14:val="tx1"/>
                  </w14:solidFill>
                </w14:textFill>
              </w:rPr>
              <w:t>达州市人民政府发布的《关于落实生态保护红线、环境质量底</w:t>
            </w:r>
            <w:r>
              <w:rPr>
                <w:rFonts w:hint="eastAsia" w:ascii="Times New Roman" w:hAnsi="Times New Roman" w:eastAsia="宋体" w:cs="Times New Roman"/>
                <w:color w:val="000000" w:themeColor="text1"/>
                <w:kern w:val="0"/>
                <w:sz w:val="24"/>
                <w:szCs w:val="24"/>
                <w:lang w:eastAsia="zh-CN"/>
                <w14:textFill>
                  <w14:solidFill>
                    <w14:schemeClr w14:val="tx1"/>
                  </w14:solidFill>
                </w14:textFill>
              </w:rPr>
              <w:t>线、资源利用上线制定生态环境准人清单实施生态环境分区管控的通知》（达市府发〔2021〕17号）</w:t>
            </w:r>
            <w:r>
              <w:rPr>
                <w:rFonts w:hint="eastAsia"/>
                <w:color w:val="000000" w:themeColor="text1"/>
                <w:kern w:val="0"/>
                <w:sz w:val="24"/>
                <w:szCs w:val="24"/>
                <w:lang w:val="en-US" w:eastAsia="zh-CN"/>
                <w14:textFill>
                  <w14:solidFill>
                    <w14:schemeClr w14:val="tx1"/>
                  </w14:solidFill>
                </w14:textFill>
              </w:rPr>
              <w:t>相关生态保护要求。</w:t>
            </w:r>
          </w:p>
          <w:p>
            <w:pPr>
              <w:spacing w:line="360" w:lineRule="auto"/>
              <w:ind w:firstLine="482" w:firstLineChars="200"/>
              <w:jc w:val="both"/>
              <w:rPr>
                <w:rFonts w:ascii="Times New Roman" w:hAnsi="Times New Roman" w:cs="Times New Roman"/>
                <w:b/>
                <w:bCs/>
                <w:kern w:val="0"/>
                <w:sz w:val="24"/>
                <w:szCs w:val="24"/>
              </w:rPr>
            </w:pPr>
            <w:r>
              <w:rPr>
                <w:rFonts w:hint="eastAsia" w:ascii="Times New Roman" w:hAnsi="Times New Roman" w:cs="Times New Roman"/>
                <w:b/>
                <w:bCs/>
                <w:kern w:val="0"/>
                <w:sz w:val="24"/>
                <w:szCs w:val="24"/>
              </w:rPr>
              <w:t>（2）与环境管控单元符合性分析</w:t>
            </w:r>
          </w:p>
          <w:p>
            <w:pPr>
              <w:spacing w:line="360" w:lineRule="auto"/>
              <w:ind w:firstLine="480" w:firstLineChars="200"/>
              <w:jc w:val="both"/>
              <w:rPr>
                <w:rFonts w:ascii="Times New Roman" w:hAnsi="Times New Roman" w:eastAsia="宋体" w:cs="Times New Roman"/>
                <w:kern w:val="0"/>
                <w:sz w:val="24"/>
                <w:szCs w:val="24"/>
              </w:rPr>
            </w:pPr>
            <w:r>
              <w:rPr>
                <w:rFonts w:ascii="Times New Roman" w:hAnsi="Times New Roman" w:cs="Times New Roman"/>
                <w:kern w:val="0"/>
                <w:sz w:val="24"/>
                <w:szCs w:val="24"/>
              </w:rPr>
              <w:t>根据《四川省生态环境厅办公室关于印发《产业园区规划环评“三线一单”符合性分析技术要点(试行)》和《项目环评“三线一单”符合性分析技术要点(试行)》的通知”》（川环办函</w:t>
            </w:r>
            <w:r>
              <w:rPr>
                <w:rFonts w:hint="eastAsia" w:ascii="Times New Roman" w:hAnsi="Times New Roman" w:cs="Times New Roman"/>
                <w:kern w:val="0"/>
                <w:sz w:val="24"/>
                <w:szCs w:val="24"/>
                <w:lang w:eastAsia="zh-CN"/>
              </w:rPr>
              <w:t>〔2021〕</w:t>
            </w:r>
            <w:r>
              <w:rPr>
                <w:rFonts w:ascii="Times New Roman" w:hAnsi="Times New Roman" w:cs="Times New Roman"/>
                <w:kern w:val="0"/>
                <w:sz w:val="24"/>
                <w:szCs w:val="24"/>
              </w:rPr>
              <w:t>469号）中相关内容：</w:t>
            </w:r>
            <w:r>
              <w:rPr>
                <w:rFonts w:ascii="Times New Roman" w:hAnsi="Times New Roman" w:cs="Times New Roman"/>
                <w:sz w:val="24"/>
              </w:rPr>
              <w:t>若建设项目位于产业园区外，需进行空间符合性分析以及管控要求符合性分析。</w:t>
            </w:r>
          </w:p>
          <w:p>
            <w:pPr>
              <w:spacing w:line="360" w:lineRule="auto"/>
              <w:ind w:firstLine="480" w:firstLineChars="200"/>
              <w:jc w:val="both"/>
              <w:rPr>
                <w:rFonts w:ascii="Times New Roman" w:hAnsi="Times New Roman" w:cs="Times New Roman"/>
                <w:kern w:val="0"/>
                <w:sz w:val="24"/>
                <w:szCs w:val="24"/>
              </w:rPr>
            </w:pPr>
            <w:r>
              <w:rPr>
                <w:rFonts w:ascii="Times New Roman" w:hAnsi="Times New Roman" w:eastAsia="宋体" w:cs="Times New Roman"/>
                <w:kern w:val="0"/>
                <w:sz w:val="24"/>
                <w:szCs w:val="24"/>
              </w:rPr>
              <w:t>根据四川省政务服务网“三线一单”查询网站</w:t>
            </w:r>
            <w:r>
              <w:fldChar w:fldCharType="begin"/>
            </w:r>
            <w:r>
              <w:instrText xml:space="preserve"> HYPERLINK "https://tftb.sczwfw.gov.cn:8085/hos-server/pub/jmas/jmasbucket/jmopen_files/webapp/html5/sxydctfx/index.html?areaCode=510000000000）查询项目所在地" </w:instrText>
            </w:r>
            <w:r>
              <w:fldChar w:fldCharType="separate"/>
            </w:r>
            <w:r>
              <w:rPr>
                <w:rFonts w:ascii="Times New Roman" w:hAnsi="Times New Roman" w:cs="Times New Roman"/>
                <w:kern w:val="0"/>
                <w:sz w:val="24"/>
                <w:szCs w:val="24"/>
              </w:rPr>
              <w:t>查询项目所在地“三线一单”结果截图</w:t>
            </w:r>
            <w:r>
              <w:rPr>
                <w:rFonts w:hint="eastAsia" w:ascii="Times New Roman" w:hAnsi="Times New Roman" w:cs="Times New Roman"/>
                <w:kern w:val="0"/>
                <w:sz w:val="24"/>
                <w:szCs w:val="24"/>
              </w:rPr>
              <w:t>及生态环境准入清单符合性分析表</w:t>
            </w:r>
            <w:r>
              <w:rPr>
                <w:rFonts w:ascii="Times New Roman" w:hAnsi="Times New Roman" w:cs="Times New Roman"/>
                <w:kern w:val="0"/>
                <w:sz w:val="24"/>
                <w:szCs w:val="24"/>
              </w:rPr>
              <w:t>如下</w:t>
            </w:r>
            <w:r>
              <w:rPr>
                <w:rFonts w:hint="eastAsia" w:ascii="Times New Roman" w:hAnsi="Times New Roman" w:cs="Times New Roman"/>
                <w:kern w:val="0"/>
                <w:sz w:val="24"/>
                <w:szCs w:val="24"/>
              </w:rPr>
              <w:t>：</w:t>
            </w:r>
            <w:r>
              <w:rPr>
                <w:rFonts w:hint="eastAsia" w:ascii="Times New Roman" w:hAnsi="Times New Roman" w:cs="Times New Roman"/>
                <w:kern w:val="0"/>
                <w:sz w:val="24"/>
                <w:szCs w:val="24"/>
              </w:rPr>
              <w:fldChar w:fldCharType="end"/>
            </w:r>
          </w:p>
          <w:p>
            <w:pPr>
              <w:spacing w:line="360" w:lineRule="auto"/>
              <w:ind w:firstLine="480" w:firstLineChars="200"/>
              <w:jc w:val="both"/>
              <w:rPr>
                <w:rFonts w:hint="default" w:ascii="Times New Roman" w:hAnsi="Times New Roman" w:cs="Times New Roman" w:eastAsiaTheme="minorEastAsia"/>
                <w:color w:val="000000" w:themeColor="text1"/>
                <w:kern w:val="0"/>
                <w:sz w:val="24"/>
                <w:szCs w:val="24"/>
                <w:lang w:val="en-US" w:eastAsia="zh-CN"/>
                <w14:textFill>
                  <w14:solidFill>
                    <w14:schemeClr w14:val="tx1"/>
                  </w14:solidFill>
                </w14:textFill>
              </w:rPr>
            </w:pPr>
            <w:r>
              <w:rPr>
                <w:rFonts w:hint="eastAsia" w:ascii="Times New Roman" w:hAnsi="Times New Roman" w:cs="Times New Roman"/>
                <w:color w:val="000000" w:themeColor="text1"/>
                <w:kern w:val="0"/>
                <w:sz w:val="24"/>
                <w:szCs w:val="24"/>
                <w:u w:val="single"/>
                <w:lang w:val="en-US" w:eastAsia="zh-CN"/>
                <w14:textFill>
                  <w14:solidFill>
                    <w14:schemeClr w14:val="tx1"/>
                  </w14:solidFill>
                </w14:textFill>
              </w:rPr>
              <w:t>由于项目分布广泛，本次对14个灌区代表性分布点位进行查询（见图1-2~1-15）</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查询结果如下：</w:t>
            </w:r>
          </w:p>
          <w:p>
            <w:pPr>
              <w:keepNext/>
              <w:keepLines/>
              <w:jc w:val="center"/>
              <w:outlineLvl w:val="2"/>
            </w:pPr>
            <w:r>
              <w:drawing>
                <wp:inline distT="0" distB="0" distL="114300" distR="114300">
                  <wp:extent cx="4378325" cy="2459990"/>
                  <wp:effectExtent l="0" t="0" r="3175" b="1651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7"/>
                          <a:stretch>
                            <a:fillRect/>
                          </a:stretch>
                        </pic:blipFill>
                        <pic:spPr>
                          <a:xfrm>
                            <a:off x="0" y="0"/>
                            <a:ext cx="4378325" cy="2459990"/>
                          </a:xfrm>
                          <a:prstGeom prst="rect">
                            <a:avLst/>
                          </a:prstGeom>
                          <a:noFill/>
                          <a:ln>
                            <a:noFill/>
                          </a:ln>
                        </pic:spPr>
                      </pic:pic>
                    </a:graphicData>
                  </a:graphic>
                </wp:inline>
              </w:drawing>
            </w:r>
          </w:p>
          <w:p>
            <w:pPr>
              <w:pStyle w:val="15"/>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图1-2  秧田湾水库</w:t>
            </w:r>
            <w:r>
              <w:rPr>
                <w:rFonts w:hint="eastAsia" w:ascii="Times New Roman" w:hAnsi="Times New Roman" w:cs="Times New Roman"/>
                <w:b/>
                <w:color w:val="000000" w:themeColor="text1"/>
                <w:szCs w:val="21"/>
                <w:lang w:val="en-US" w:eastAsia="zh-CN"/>
                <w14:textFill>
                  <w14:solidFill>
                    <w14:schemeClr w14:val="tx1"/>
                  </w14:solidFill>
                </w14:textFill>
              </w:rPr>
              <w:t>灌区</w:t>
            </w:r>
            <w:r>
              <w:rPr>
                <w:rFonts w:hint="default" w:ascii="Times New Roman" w:hAnsi="Times New Roman" w:cs="Times New Roman"/>
                <w:lang w:val="en-US" w:eastAsia="zh-CN"/>
              </w:rPr>
              <w:t>三线一单查询结果</w:t>
            </w:r>
          </w:p>
          <w:p>
            <w:pPr>
              <w:jc w:val="center"/>
            </w:pPr>
            <w:r>
              <w:drawing>
                <wp:inline distT="0" distB="0" distL="114300" distR="114300">
                  <wp:extent cx="4250055" cy="2419350"/>
                  <wp:effectExtent l="0" t="0" r="17145" b="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8"/>
                          <a:stretch>
                            <a:fillRect/>
                          </a:stretch>
                        </pic:blipFill>
                        <pic:spPr>
                          <a:xfrm>
                            <a:off x="0" y="0"/>
                            <a:ext cx="4250055" cy="2419350"/>
                          </a:xfrm>
                          <a:prstGeom prst="rect">
                            <a:avLst/>
                          </a:prstGeom>
                          <a:noFill/>
                          <a:ln>
                            <a:noFill/>
                          </a:ln>
                        </pic:spPr>
                      </pic:pic>
                    </a:graphicData>
                  </a:graphic>
                </wp:inline>
              </w:drawing>
            </w:r>
          </w:p>
          <w:p>
            <w:pPr>
              <w:jc w:val="center"/>
              <w:rPr>
                <w:rFonts w:hint="default"/>
                <w:lang w:val="en-US" w:eastAsia="zh-CN"/>
              </w:rPr>
            </w:pPr>
            <w:r>
              <w:rPr>
                <w:rFonts w:hint="default" w:ascii="Times New Roman" w:hAnsi="Times New Roman" w:cs="Times New Roman"/>
                <w:b/>
                <w:bCs/>
                <w:lang w:val="en-US" w:eastAsia="zh-CN"/>
              </w:rPr>
              <w:t>图1-</w:t>
            </w:r>
            <w:r>
              <w:rPr>
                <w:rFonts w:hint="eastAsia" w:ascii="Times New Roman" w:hAnsi="Times New Roman" w:cs="Times New Roman"/>
                <w:b/>
                <w:bCs/>
                <w:lang w:val="en-US" w:eastAsia="zh-CN"/>
              </w:rPr>
              <w:t>3</w:t>
            </w:r>
            <w:r>
              <w:rPr>
                <w:rFonts w:hint="default" w:ascii="Times New Roman" w:hAnsi="Times New Roman" w:cs="Times New Roman"/>
                <w:b/>
                <w:bCs/>
                <w:lang w:val="en-US" w:eastAsia="zh-CN"/>
              </w:rPr>
              <w:t xml:space="preserve">  </w:t>
            </w:r>
            <w:r>
              <w:rPr>
                <w:rFonts w:hint="eastAsia" w:ascii="Times New Roman" w:hAnsi="Times New Roman" w:cs="Times New Roman"/>
                <w:b/>
                <w:bCs/>
                <w:lang w:val="en-US" w:eastAsia="zh-CN"/>
              </w:rPr>
              <w:t>观音岩</w:t>
            </w:r>
            <w:r>
              <w:rPr>
                <w:rFonts w:hint="default" w:ascii="Times New Roman" w:hAnsi="Times New Roman" w:cs="Times New Roman"/>
                <w:b/>
                <w:bCs/>
                <w:lang w:val="en-US" w:eastAsia="zh-CN"/>
              </w:rPr>
              <w:t>水库</w:t>
            </w:r>
            <w:r>
              <w:rPr>
                <w:rFonts w:hint="eastAsia" w:ascii="Times New Roman" w:hAnsi="Times New Roman" w:cs="Times New Roman"/>
                <w:b/>
                <w:color w:val="000000" w:themeColor="text1"/>
                <w:szCs w:val="21"/>
                <w:lang w:val="en-US" w:eastAsia="zh-CN"/>
                <w14:textFill>
                  <w14:solidFill>
                    <w14:schemeClr w14:val="tx1"/>
                  </w14:solidFill>
                </w14:textFill>
              </w:rPr>
              <w:t>灌区</w:t>
            </w:r>
            <w:r>
              <w:rPr>
                <w:rFonts w:hint="default" w:ascii="Times New Roman" w:hAnsi="Times New Roman" w:cs="Times New Roman"/>
                <w:b/>
                <w:bCs/>
                <w:lang w:val="en-US" w:eastAsia="zh-CN"/>
              </w:rPr>
              <w:t>三线一单查询结果</w:t>
            </w:r>
          </w:p>
          <w:p>
            <w:pPr>
              <w:jc w:val="center"/>
            </w:pPr>
            <w:r>
              <w:drawing>
                <wp:inline distT="0" distB="0" distL="114300" distR="114300">
                  <wp:extent cx="4272280" cy="2573020"/>
                  <wp:effectExtent l="0" t="0" r="13970" b="17780"/>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9"/>
                          <a:stretch>
                            <a:fillRect/>
                          </a:stretch>
                        </pic:blipFill>
                        <pic:spPr>
                          <a:xfrm>
                            <a:off x="0" y="0"/>
                            <a:ext cx="4272280" cy="2573020"/>
                          </a:xfrm>
                          <a:prstGeom prst="rect">
                            <a:avLst/>
                          </a:prstGeom>
                          <a:noFill/>
                          <a:ln>
                            <a:noFill/>
                          </a:ln>
                        </pic:spPr>
                      </pic:pic>
                    </a:graphicData>
                  </a:graphic>
                </wp:inline>
              </w:drawing>
            </w:r>
            <w:r>
              <w:rPr>
                <w:rFonts w:hint="default" w:ascii="Helvetica" w:hAnsi="Helvetica" w:eastAsia="Helvetica"/>
                <w:sz w:val="28"/>
                <w:szCs w:val="24"/>
              </w:rPr>
              <w:br w:type="textWrapp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4</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云顶水库灌区</w:t>
            </w:r>
            <w:r>
              <w:rPr>
                <w:rFonts w:hint="eastAsia" w:ascii="Times New Roman" w:hAnsi="Times New Roman" w:cs="Times New Roman"/>
                <w:b/>
                <w:color w:val="000000" w:themeColor="text1"/>
                <w:szCs w:val="21"/>
                <w14:textFill>
                  <w14:solidFill>
                    <w14:schemeClr w14:val="tx1"/>
                  </w14:solidFill>
                </w14:textFill>
              </w:rPr>
              <w:t>三线一单查询结果</w:t>
            </w:r>
            <w:r>
              <w:rPr>
                <w:rFonts w:hint="eastAsia" w:ascii="Times New Roman" w:hAnsi="Times New Roman" w:cs="Times New Roman"/>
                <w:b/>
                <w:color w:val="000000" w:themeColor="text1"/>
                <w:szCs w:val="21"/>
                <w:lang w:eastAsia="zh-CN"/>
                <w14:textFill>
                  <w14:solidFill>
                    <w14:schemeClr w14:val="tx1"/>
                  </w14:solidFill>
                </w14:textFill>
              </w:rPr>
              <w:t>（</w:t>
            </w:r>
            <w:r>
              <w:rPr>
                <w:rFonts w:hint="eastAsia" w:ascii="Times New Roman" w:hAnsi="Times New Roman" w:cs="Times New Roman"/>
                <w:b/>
                <w:color w:val="000000" w:themeColor="text1"/>
                <w:szCs w:val="21"/>
                <w:lang w:val="en-US" w:eastAsia="zh-CN"/>
                <w14:textFill>
                  <w14:solidFill>
                    <w14:schemeClr w14:val="tx1"/>
                  </w14:solidFill>
                </w14:textFill>
              </w:rPr>
              <w:t>涉及优先保护单元-生态公益林等</w:t>
            </w:r>
            <w:r>
              <w:rPr>
                <w:rFonts w:hint="eastAsia" w:ascii="Times New Roman" w:hAnsi="Times New Roman" w:cs="Times New Roman"/>
                <w:b/>
                <w:color w:val="000000" w:themeColor="text1"/>
                <w:szCs w:val="21"/>
                <w:lang w:eastAsia="zh-CN"/>
                <w14:textFill>
                  <w14:solidFill>
                    <w14:schemeClr w14:val="tx1"/>
                  </w14:solidFill>
                </w14:textFill>
              </w:rPr>
              <w:t>）</w:t>
            </w:r>
            <w:r>
              <w:drawing>
                <wp:inline distT="0" distB="0" distL="114300" distR="114300">
                  <wp:extent cx="4288155" cy="2418715"/>
                  <wp:effectExtent l="0" t="0" r="17145" b="63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10"/>
                          <a:stretch>
                            <a:fillRect/>
                          </a:stretch>
                        </pic:blipFill>
                        <pic:spPr>
                          <a:xfrm>
                            <a:off x="0" y="0"/>
                            <a:ext cx="4288155" cy="2418715"/>
                          </a:xfrm>
                          <a:prstGeom prst="rect">
                            <a:avLst/>
                          </a:prstGeom>
                          <a:noFill/>
                          <a:ln>
                            <a:noFill/>
                          </a:ln>
                        </pic:spPr>
                      </pic:pic>
                    </a:graphicData>
                  </a:graphic>
                </wp:inline>
              </w:drawing>
            </w:r>
          </w:p>
          <w:p>
            <w:pPr>
              <w:jc w:val="center"/>
              <w:rPr>
                <w:rFonts w:ascii="Times New Roman" w:hAnsi="Times New Roman" w:cs="Times New Roman"/>
                <w:b/>
                <w:color w:val="FF0000"/>
                <w:szCs w:val="21"/>
              </w:rP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5</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小沟河水库灌区</w:t>
            </w:r>
            <w:r>
              <w:rPr>
                <w:rFonts w:hint="eastAsia" w:ascii="Times New Roman" w:hAnsi="Times New Roman" w:cs="Times New Roman"/>
                <w:b/>
                <w:color w:val="000000" w:themeColor="text1"/>
                <w:szCs w:val="21"/>
                <w14:textFill>
                  <w14:solidFill>
                    <w14:schemeClr w14:val="tx1"/>
                  </w14:solidFill>
                </w14:textFill>
              </w:rPr>
              <w:t>三线一单查询结果</w:t>
            </w:r>
          </w:p>
          <w:p>
            <w:pPr>
              <w:jc w:val="center"/>
              <w:rPr>
                <w:color w:val="FF0000"/>
              </w:rPr>
            </w:pPr>
            <w:r>
              <w:drawing>
                <wp:inline distT="0" distB="0" distL="114300" distR="114300">
                  <wp:extent cx="4411345" cy="2507615"/>
                  <wp:effectExtent l="0" t="0" r="8255" b="6985"/>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11"/>
                          <a:stretch>
                            <a:fillRect/>
                          </a:stretch>
                        </pic:blipFill>
                        <pic:spPr>
                          <a:xfrm>
                            <a:off x="0" y="0"/>
                            <a:ext cx="4411345" cy="2507615"/>
                          </a:xfrm>
                          <a:prstGeom prst="rect">
                            <a:avLst/>
                          </a:prstGeom>
                          <a:noFill/>
                          <a:ln>
                            <a:noFill/>
                          </a:ln>
                        </pic:spPr>
                      </pic:pic>
                    </a:graphicData>
                  </a:graphic>
                </wp:inline>
              </w:drawing>
            </w:r>
          </w:p>
          <w:p>
            <w:pPr>
              <w:jc w:val="center"/>
              <w:rPr>
                <w:rFonts w:ascii="Times New Roman" w:hAnsi="Times New Roman" w:cs="Times New Roman"/>
                <w:b/>
                <w:color w:val="FF0000"/>
                <w:szCs w:val="21"/>
              </w:rP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6</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曹家沟水库灌区</w:t>
            </w:r>
            <w:r>
              <w:rPr>
                <w:rFonts w:hint="eastAsia" w:ascii="Times New Roman" w:hAnsi="Times New Roman" w:cs="Times New Roman"/>
                <w:b/>
                <w:color w:val="000000" w:themeColor="text1"/>
                <w:szCs w:val="21"/>
                <w14:textFill>
                  <w14:solidFill>
                    <w14:schemeClr w14:val="tx1"/>
                  </w14:solidFill>
                </w14:textFill>
              </w:rPr>
              <w:t>三线一单查询结果</w:t>
            </w:r>
            <w:r>
              <w:rPr>
                <w:rFonts w:hint="eastAsia" w:ascii="Times New Roman" w:hAnsi="Times New Roman" w:cs="Times New Roman"/>
                <w:b/>
                <w:color w:val="FF0000"/>
                <w:szCs w:val="21"/>
              </w:rPr>
              <w:br w:type="textWrapping"/>
            </w:r>
            <w:r>
              <w:drawing>
                <wp:inline distT="0" distB="0" distL="114300" distR="114300">
                  <wp:extent cx="4411980" cy="2504440"/>
                  <wp:effectExtent l="0" t="0" r="7620" b="10160"/>
                  <wp:docPr id="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pic:cNvPicPr>
                            <a:picLocks noChangeAspect="1"/>
                          </pic:cNvPicPr>
                        </pic:nvPicPr>
                        <pic:blipFill>
                          <a:blip r:embed="rId12"/>
                          <a:stretch>
                            <a:fillRect/>
                          </a:stretch>
                        </pic:blipFill>
                        <pic:spPr>
                          <a:xfrm>
                            <a:off x="0" y="0"/>
                            <a:ext cx="4411980" cy="2504440"/>
                          </a:xfrm>
                          <a:prstGeom prst="rect">
                            <a:avLst/>
                          </a:prstGeom>
                          <a:noFill/>
                          <a:ln>
                            <a:noFill/>
                          </a:ln>
                        </pic:spPr>
                      </pic:pic>
                    </a:graphicData>
                  </a:graphic>
                </wp:inline>
              </w:drawing>
            </w:r>
          </w:p>
          <w:p>
            <w:pPr>
              <w:spacing w:line="240" w:lineRule="auto"/>
              <w:jc w:val="center"/>
              <w:rPr>
                <w:color w:val="FF0000"/>
              </w:rP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7</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漆树沟水库灌区</w:t>
            </w:r>
            <w:r>
              <w:rPr>
                <w:rFonts w:hint="eastAsia" w:ascii="Times New Roman" w:hAnsi="Times New Roman" w:cs="Times New Roman"/>
                <w:b/>
                <w:color w:val="000000" w:themeColor="text1"/>
                <w:szCs w:val="21"/>
                <w14:textFill>
                  <w14:solidFill>
                    <w14:schemeClr w14:val="tx1"/>
                  </w14:solidFill>
                </w14:textFill>
              </w:rPr>
              <w:t>三线一单查询结果</w:t>
            </w:r>
            <w:r>
              <w:rPr>
                <w:rFonts w:hint="eastAsia" w:ascii="Times New Roman" w:hAnsi="Times New Roman" w:cs="Times New Roman"/>
                <w:b/>
                <w:color w:val="FF0000"/>
                <w:szCs w:val="21"/>
              </w:rPr>
              <w:br w:type="textWrapping"/>
            </w:r>
            <w:r>
              <w:drawing>
                <wp:inline distT="0" distB="0" distL="114300" distR="114300">
                  <wp:extent cx="4411980" cy="2649855"/>
                  <wp:effectExtent l="0" t="0" r="7620" b="17145"/>
                  <wp:docPr id="1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
                          <pic:cNvPicPr>
                            <a:picLocks noChangeAspect="1"/>
                          </pic:cNvPicPr>
                        </pic:nvPicPr>
                        <pic:blipFill>
                          <a:blip r:embed="rId13"/>
                          <a:stretch>
                            <a:fillRect/>
                          </a:stretch>
                        </pic:blipFill>
                        <pic:spPr>
                          <a:xfrm>
                            <a:off x="0" y="0"/>
                            <a:ext cx="4411980" cy="2649855"/>
                          </a:xfrm>
                          <a:prstGeom prst="rect">
                            <a:avLst/>
                          </a:prstGeom>
                          <a:noFill/>
                          <a:ln>
                            <a:noFill/>
                          </a:ln>
                        </pic:spPr>
                      </pic:pic>
                    </a:graphicData>
                  </a:graphic>
                </wp:inline>
              </w:drawing>
            </w:r>
          </w:p>
          <w:p>
            <w:pPr>
              <w:spacing w:line="360" w:lineRule="auto"/>
              <w:jc w:val="center"/>
              <w:rPr>
                <w:rFonts w:hint="eastAsia" w:ascii="Times New Roman" w:hAnsi="Times New Roman" w:cs="Times New Roman"/>
                <w:b/>
                <w:color w:val="000000" w:themeColor="text1"/>
                <w:szCs w:val="21"/>
                <w:lang w:eastAsia="zh-CN"/>
                <w14:textFill>
                  <w14:solidFill>
                    <w14:schemeClr w14:val="tx1"/>
                  </w14:solidFill>
                </w14:textFill>
              </w:rP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8</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刘家坪水库灌区</w:t>
            </w:r>
            <w:r>
              <w:rPr>
                <w:rFonts w:hint="eastAsia" w:ascii="Times New Roman" w:hAnsi="Times New Roman" w:cs="Times New Roman"/>
                <w:b/>
                <w:color w:val="000000" w:themeColor="text1"/>
                <w:szCs w:val="21"/>
                <w14:textFill>
                  <w14:solidFill>
                    <w14:schemeClr w14:val="tx1"/>
                  </w14:solidFill>
                </w14:textFill>
              </w:rPr>
              <w:t>三线一单查询结果</w:t>
            </w:r>
            <w:r>
              <w:rPr>
                <w:rFonts w:hint="eastAsia" w:ascii="Times New Roman" w:hAnsi="Times New Roman" w:cs="Times New Roman"/>
                <w:b/>
                <w:color w:val="000000" w:themeColor="text1"/>
                <w:szCs w:val="21"/>
                <w:lang w:eastAsia="zh-CN"/>
                <w14:textFill>
                  <w14:solidFill>
                    <w14:schemeClr w14:val="tx1"/>
                  </w14:solidFill>
                </w14:textFill>
              </w:rPr>
              <w:t>（</w:t>
            </w:r>
            <w:r>
              <w:rPr>
                <w:rFonts w:hint="eastAsia" w:ascii="Times New Roman" w:hAnsi="Times New Roman" w:cs="Times New Roman"/>
                <w:b/>
                <w:color w:val="000000" w:themeColor="text1"/>
                <w:szCs w:val="21"/>
                <w:lang w:val="en-US" w:eastAsia="zh-CN"/>
                <w14:textFill>
                  <w14:solidFill>
                    <w14:schemeClr w14:val="tx1"/>
                  </w14:solidFill>
                </w14:textFill>
              </w:rPr>
              <w:t>涉及优先保护单元-一般生态空间</w:t>
            </w:r>
            <w:r>
              <w:rPr>
                <w:rFonts w:hint="eastAsia" w:ascii="Times New Roman" w:hAnsi="Times New Roman" w:cs="Times New Roman"/>
                <w:b/>
                <w:color w:val="000000" w:themeColor="text1"/>
                <w:szCs w:val="21"/>
                <w:lang w:eastAsia="zh-CN"/>
                <w14:textFill>
                  <w14:solidFill>
                    <w14:schemeClr w14:val="tx1"/>
                  </w14:solidFill>
                </w14:textFill>
              </w:rPr>
              <w:t>）</w:t>
            </w:r>
            <w:r>
              <w:drawing>
                <wp:inline distT="0" distB="0" distL="114300" distR="114300">
                  <wp:extent cx="4439920" cy="2689225"/>
                  <wp:effectExtent l="0" t="0" r="17780" b="15875"/>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pic:cNvPicPr>
                            <a:picLocks noChangeAspect="1"/>
                          </pic:cNvPicPr>
                        </pic:nvPicPr>
                        <pic:blipFill>
                          <a:blip r:embed="rId14"/>
                          <a:stretch>
                            <a:fillRect/>
                          </a:stretch>
                        </pic:blipFill>
                        <pic:spPr>
                          <a:xfrm>
                            <a:off x="0" y="0"/>
                            <a:ext cx="4439920" cy="2689225"/>
                          </a:xfrm>
                          <a:prstGeom prst="rect">
                            <a:avLst/>
                          </a:prstGeom>
                          <a:noFill/>
                          <a:ln>
                            <a:noFill/>
                          </a:ln>
                        </pic:spPr>
                      </pic:pic>
                    </a:graphicData>
                  </a:graphic>
                </wp:inline>
              </w:drawing>
            </w:r>
            <w:r>
              <w:rPr>
                <w:rFonts w:hint="eastAsia" w:ascii="Times New Roman" w:hAnsi="Times New Roman" w:cs="Times New Roman"/>
                <w:b/>
                <w:color w:val="000000" w:themeColor="text1"/>
                <w:szCs w:val="21"/>
                <w:lang w:eastAsia="zh-CN"/>
                <w14:textFill>
                  <w14:solidFill>
                    <w14:schemeClr w14:val="tx1"/>
                  </w14:solidFill>
                </w14:textFill>
              </w:rPr>
              <w:br w:type="textWrapp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9烂田湾水库灌区</w:t>
            </w:r>
            <w:r>
              <w:rPr>
                <w:rFonts w:hint="eastAsia" w:ascii="Times New Roman" w:hAnsi="Times New Roman" w:cs="Times New Roman"/>
                <w:b/>
                <w:color w:val="000000" w:themeColor="text1"/>
                <w:szCs w:val="21"/>
                <w14:textFill>
                  <w14:solidFill>
                    <w14:schemeClr w14:val="tx1"/>
                  </w14:solidFill>
                </w14:textFill>
              </w:rPr>
              <w:t>三线一单查询结果</w:t>
            </w:r>
            <w:r>
              <w:rPr>
                <w:rFonts w:hint="eastAsia" w:ascii="Times New Roman" w:hAnsi="Times New Roman" w:cs="Times New Roman"/>
                <w:b/>
                <w:color w:val="000000" w:themeColor="text1"/>
                <w:szCs w:val="21"/>
                <w:lang w:eastAsia="zh-CN"/>
                <w14:textFill>
                  <w14:solidFill>
                    <w14:schemeClr w14:val="tx1"/>
                  </w14:solidFill>
                </w14:textFill>
              </w:rPr>
              <w:t>（</w:t>
            </w:r>
            <w:r>
              <w:rPr>
                <w:rFonts w:hint="eastAsia" w:ascii="Times New Roman" w:hAnsi="Times New Roman" w:cs="Times New Roman"/>
                <w:b/>
                <w:color w:val="000000" w:themeColor="text1"/>
                <w:szCs w:val="21"/>
                <w:lang w:val="en-US" w:eastAsia="zh-CN"/>
                <w14:textFill>
                  <w14:solidFill>
                    <w14:schemeClr w14:val="tx1"/>
                  </w14:solidFill>
                </w14:textFill>
              </w:rPr>
              <w:t>涉及优先保护单元-一般生态空间-水土保持重要区</w:t>
            </w:r>
            <w:r>
              <w:rPr>
                <w:rFonts w:hint="eastAsia" w:ascii="Times New Roman" w:hAnsi="Times New Roman" w:cs="Times New Roman"/>
                <w:b/>
                <w:color w:val="000000" w:themeColor="text1"/>
                <w:szCs w:val="21"/>
                <w:lang w:eastAsia="zh-CN"/>
                <w14:textFill>
                  <w14:solidFill>
                    <w14:schemeClr w14:val="tx1"/>
                  </w14:solidFill>
                </w14:textFill>
              </w:rPr>
              <w:t>）</w:t>
            </w:r>
          </w:p>
          <w:p>
            <w:pPr>
              <w:pStyle w:val="15"/>
              <w:ind w:left="0" w:leftChars="0" w:firstLine="0" w:firstLineChars="0"/>
              <w:jc w:val="center"/>
            </w:pPr>
            <w:r>
              <w:drawing>
                <wp:inline distT="0" distB="0" distL="114300" distR="114300">
                  <wp:extent cx="4446905" cy="2572385"/>
                  <wp:effectExtent l="0" t="0" r="10795" b="18415"/>
                  <wp:docPr id="1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
                          <pic:cNvPicPr>
                            <a:picLocks noChangeAspect="1"/>
                          </pic:cNvPicPr>
                        </pic:nvPicPr>
                        <pic:blipFill>
                          <a:blip r:embed="rId15"/>
                          <a:stretch>
                            <a:fillRect/>
                          </a:stretch>
                        </pic:blipFill>
                        <pic:spPr>
                          <a:xfrm>
                            <a:off x="0" y="0"/>
                            <a:ext cx="4446905" cy="2572385"/>
                          </a:xfrm>
                          <a:prstGeom prst="rect">
                            <a:avLst/>
                          </a:prstGeom>
                          <a:noFill/>
                          <a:ln>
                            <a:noFill/>
                          </a:ln>
                        </pic:spPr>
                      </pic:pic>
                    </a:graphicData>
                  </a:graphic>
                </wp:inline>
              </w:drawing>
            </w:r>
          </w:p>
          <w:p>
            <w:pPr>
              <w:jc w:val="cente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10</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后头湾水库灌区</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4452620" cy="2515235"/>
                  <wp:effectExtent l="0" t="0" r="5080" b="1841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16"/>
                          <a:stretch>
                            <a:fillRect/>
                          </a:stretch>
                        </pic:blipFill>
                        <pic:spPr>
                          <a:xfrm>
                            <a:off x="0" y="0"/>
                            <a:ext cx="4452620" cy="2515235"/>
                          </a:xfrm>
                          <a:prstGeom prst="rect">
                            <a:avLst/>
                          </a:prstGeom>
                          <a:noFill/>
                          <a:ln>
                            <a:noFill/>
                          </a:ln>
                        </pic:spPr>
                      </pic:pic>
                    </a:graphicData>
                  </a:graphic>
                </wp:inline>
              </w:drawing>
            </w:r>
          </w:p>
          <w:p>
            <w:pPr>
              <w:jc w:val="cente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11</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长征水库灌区</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4529455" cy="2574290"/>
                  <wp:effectExtent l="0" t="0" r="4445" b="16510"/>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17"/>
                          <a:stretch>
                            <a:fillRect/>
                          </a:stretch>
                        </pic:blipFill>
                        <pic:spPr>
                          <a:xfrm>
                            <a:off x="0" y="0"/>
                            <a:ext cx="4529455" cy="2574290"/>
                          </a:xfrm>
                          <a:prstGeom prst="rect">
                            <a:avLst/>
                          </a:prstGeom>
                          <a:noFill/>
                          <a:ln>
                            <a:noFill/>
                          </a:ln>
                        </pic:spPr>
                      </pic:pic>
                    </a:graphicData>
                  </a:graphic>
                </wp:inline>
              </w:drawing>
            </w:r>
          </w:p>
          <w:p>
            <w:pPr>
              <w:jc w:val="cente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12</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南六水库灌区</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4526280" cy="2569210"/>
                  <wp:effectExtent l="0" t="0" r="7620" b="2540"/>
                  <wp:docPr id="1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
                          <pic:cNvPicPr>
                            <a:picLocks noChangeAspect="1"/>
                          </pic:cNvPicPr>
                        </pic:nvPicPr>
                        <pic:blipFill>
                          <a:blip r:embed="rId18"/>
                          <a:stretch>
                            <a:fillRect/>
                          </a:stretch>
                        </pic:blipFill>
                        <pic:spPr>
                          <a:xfrm>
                            <a:off x="0" y="0"/>
                            <a:ext cx="4526280" cy="2569210"/>
                          </a:xfrm>
                          <a:prstGeom prst="rect">
                            <a:avLst/>
                          </a:prstGeom>
                          <a:noFill/>
                          <a:ln>
                            <a:noFill/>
                          </a:ln>
                        </pic:spPr>
                      </pic:pic>
                    </a:graphicData>
                  </a:graphic>
                </wp:inline>
              </w:drawing>
            </w:r>
          </w:p>
          <w:p>
            <w:pPr>
              <w:jc w:val="cente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13</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九军坪水库灌区</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4544060" cy="2578735"/>
                  <wp:effectExtent l="0" t="0" r="8890" b="12065"/>
                  <wp:docPr id="1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
                          <pic:cNvPicPr>
                            <a:picLocks noChangeAspect="1"/>
                          </pic:cNvPicPr>
                        </pic:nvPicPr>
                        <pic:blipFill>
                          <a:blip r:embed="rId19"/>
                          <a:stretch>
                            <a:fillRect/>
                          </a:stretch>
                        </pic:blipFill>
                        <pic:spPr>
                          <a:xfrm>
                            <a:off x="0" y="0"/>
                            <a:ext cx="4544060" cy="2578735"/>
                          </a:xfrm>
                          <a:prstGeom prst="rect">
                            <a:avLst/>
                          </a:prstGeom>
                          <a:noFill/>
                          <a:ln>
                            <a:noFill/>
                          </a:ln>
                        </pic:spPr>
                      </pic:pic>
                    </a:graphicData>
                  </a:graphic>
                </wp:inline>
              </w:drawing>
            </w:r>
          </w:p>
          <w:p>
            <w:pPr>
              <w:jc w:val="cente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14</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老寨沟水库灌区</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4538980" cy="2549525"/>
                  <wp:effectExtent l="0" t="0" r="13970" b="3175"/>
                  <wp:docPr id="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
                          <pic:cNvPicPr>
                            <a:picLocks noChangeAspect="1"/>
                          </pic:cNvPicPr>
                        </pic:nvPicPr>
                        <pic:blipFill>
                          <a:blip r:embed="rId20"/>
                          <a:stretch>
                            <a:fillRect/>
                          </a:stretch>
                        </pic:blipFill>
                        <pic:spPr>
                          <a:xfrm>
                            <a:off x="0" y="0"/>
                            <a:ext cx="4538980" cy="2549525"/>
                          </a:xfrm>
                          <a:prstGeom prst="rect">
                            <a:avLst/>
                          </a:prstGeom>
                          <a:noFill/>
                          <a:ln>
                            <a:noFill/>
                          </a:ln>
                        </pic:spPr>
                      </pic:pic>
                    </a:graphicData>
                  </a:graphic>
                </wp:inline>
              </w:drawing>
            </w:r>
          </w:p>
          <w:p>
            <w:pPr>
              <w:jc w:val="center"/>
              <w:rPr>
                <w:rFonts w:hint="eastAsia" w:ascii="Times New Roman" w:hAnsi="Times New Roman" w:cs="Times New Roman"/>
                <w:b/>
                <w:color w:val="000000" w:themeColor="text1"/>
                <w:szCs w:val="21"/>
                <w14:textFill>
                  <w14:solidFill>
                    <w14:schemeClr w14:val="tx1"/>
                  </w14:solidFill>
                </w14:textFill>
              </w:rP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15</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阴洞岩水库灌区</w:t>
            </w:r>
            <w:r>
              <w:rPr>
                <w:rFonts w:hint="eastAsia" w:ascii="Times New Roman" w:hAnsi="Times New Roman" w:cs="Times New Roman"/>
                <w:b/>
                <w:color w:val="000000" w:themeColor="text1"/>
                <w:szCs w:val="21"/>
                <w14:textFill>
                  <w14:solidFill>
                    <w14:schemeClr w14:val="tx1"/>
                  </w14:solidFill>
                </w14:textFill>
              </w:rPr>
              <w:t>三线一单查询结果</w:t>
            </w:r>
          </w:p>
          <w:p>
            <w:pPr>
              <w:pStyle w:val="15"/>
              <w:spacing w:line="360" w:lineRule="auto"/>
              <w:rPr>
                <w:rFonts w:hint="eastAsia"/>
                <w:b w:val="0"/>
                <w:bCs w:val="0"/>
                <w:sz w:val="24"/>
                <w:szCs w:val="24"/>
                <w:lang w:val="en-US" w:eastAsia="zh-CN"/>
              </w:rPr>
            </w:pPr>
            <w:r>
              <w:rPr>
                <w:rFonts w:hint="eastAsia"/>
                <w:b w:val="0"/>
                <w:bCs w:val="0"/>
                <w:sz w:val="24"/>
                <w:szCs w:val="24"/>
                <w:lang w:val="en-US" w:eastAsia="zh-CN"/>
              </w:rPr>
              <w:t>通过14个水库灌区工程矢量文件与三线一单查询系统套合，结果见下图：</w:t>
            </w:r>
          </w:p>
          <w:p>
            <w:r>
              <w:drawing>
                <wp:inline distT="0" distB="0" distL="114300" distR="114300">
                  <wp:extent cx="5394325" cy="3410585"/>
                  <wp:effectExtent l="0" t="0" r="15875" b="18415"/>
                  <wp:docPr id="1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
                          <pic:cNvPicPr>
                            <a:picLocks noChangeAspect="1"/>
                          </pic:cNvPicPr>
                        </pic:nvPicPr>
                        <pic:blipFill>
                          <a:blip r:embed="rId21"/>
                          <a:stretch>
                            <a:fillRect/>
                          </a:stretch>
                        </pic:blipFill>
                        <pic:spPr>
                          <a:xfrm>
                            <a:off x="0" y="0"/>
                            <a:ext cx="5394325" cy="3410585"/>
                          </a:xfrm>
                          <a:prstGeom prst="rect">
                            <a:avLst/>
                          </a:prstGeom>
                          <a:noFill/>
                          <a:ln>
                            <a:noFill/>
                          </a:ln>
                        </pic:spPr>
                      </pic:pic>
                    </a:graphicData>
                  </a:graphic>
                </wp:inline>
              </w:drawing>
            </w:r>
          </w:p>
          <w:p>
            <w:pPr>
              <w:pStyle w:val="15"/>
              <w:spacing w:line="240" w:lineRule="auto"/>
              <w:ind w:left="0" w:leftChars="0" w:firstLine="0" w:firstLineChars="0"/>
              <w:jc w:val="cente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16</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秧田湾水库灌区矢量套合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193665" cy="3451225"/>
                  <wp:effectExtent l="0" t="0" r="6985" b="15875"/>
                  <wp:docPr id="1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0"/>
                          <pic:cNvPicPr>
                            <a:picLocks noChangeAspect="1"/>
                          </pic:cNvPicPr>
                        </pic:nvPicPr>
                        <pic:blipFill>
                          <a:blip r:embed="rId22"/>
                          <a:stretch>
                            <a:fillRect/>
                          </a:stretch>
                        </pic:blipFill>
                        <pic:spPr>
                          <a:xfrm>
                            <a:off x="0" y="0"/>
                            <a:ext cx="5193665" cy="3451225"/>
                          </a:xfrm>
                          <a:prstGeom prst="rect">
                            <a:avLst/>
                          </a:prstGeom>
                          <a:noFill/>
                          <a:ln>
                            <a:noFill/>
                          </a:ln>
                        </pic:spPr>
                      </pic:pic>
                    </a:graphicData>
                  </a:graphic>
                </wp:inline>
              </w:drawing>
            </w:r>
          </w:p>
          <w:p>
            <w:pPr>
              <w:pStyle w:val="15"/>
              <w:spacing w:line="240" w:lineRule="auto"/>
              <w:ind w:left="0" w:leftChars="0" w:firstLine="0" w:firstLineChars="0"/>
              <w:jc w:val="center"/>
              <w:rPr>
                <w:rFonts w:hint="eastAsia" w:ascii="Times New Roman" w:hAnsi="Times New Roman" w:cs="Times New Roman"/>
                <w:b/>
                <w:color w:val="000000" w:themeColor="text1"/>
                <w:szCs w:val="21"/>
                <w14:textFill>
                  <w14:solidFill>
                    <w14:schemeClr w14:val="tx1"/>
                  </w14:solidFill>
                </w14:textFill>
              </w:rP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17</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观音岩水库灌区矢量套合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p>
          <w:p>
            <w:pPr>
              <w:jc w:val="center"/>
              <w:rPr>
                <w:rFonts w:hint="eastAsia" w:eastAsiaTheme="minorEastAsia"/>
                <w:lang w:eastAsia="zh-CN"/>
              </w:rPr>
            </w:pPr>
            <w:r>
              <w:rPr>
                <w:rFonts w:hint="eastAsia" w:eastAsiaTheme="minorEastAsia"/>
                <w:lang w:eastAsia="zh-CN"/>
              </w:rPr>
              <w:drawing>
                <wp:inline distT="0" distB="0" distL="114300" distR="114300">
                  <wp:extent cx="5233670" cy="2214245"/>
                  <wp:effectExtent l="0" t="0" r="5080" b="14605"/>
                  <wp:docPr id="148" name="图片 148" descr="c30b9b161e69da2db356f843e64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c30b9b161e69da2db356f843e649245"/>
                          <pic:cNvPicPr>
                            <a:picLocks noChangeAspect="1"/>
                          </pic:cNvPicPr>
                        </pic:nvPicPr>
                        <pic:blipFill>
                          <a:blip r:embed="rId23"/>
                          <a:stretch>
                            <a:fillRect/>
                          </a:stretch>
                        </pic:blipFill>
                        <pic:spPr>
                          <a:xfrm>
                            <a:off x="0" y="0"/>
                            <a:ext cx="5233670" cy="2214245"/>
                          </a:xfrm>
                          <a:prstGeom prst="rect">
                            <a:avLst/>
                          </a:prstGeom>
                        </pic:spPr>
                      </pic:pic>
                    </a:graphicData>
                  </a:graphic>
                </wp:inline>
              </w:drawing>
            </w:r>
          </w:p>
          <w:p>
            <w:pPr>
              <w:pStyle w:val="15"/>
              <w:ind w:left="0" w:leftChars="0" w:firstLine="0" w:firstLineChars="0"/>
              <w:jc w:val="center"/>
              <w:rPr>
                <w:rFonts w:hint="eastAsia" w:ascii="Times New Roman" w:hAnsi="Times New Roman" w:cs="Times New Roman"/>
                <w:b/>
                <w:color w:val="000000" w:themeColor="text1"/>
                <w:szCs w:val="21"/>
                <w14:textFill>
                  <w14:solidFill>
                    <w14:schemeClr w14:val="tx1"/>
                  </w14:solidFill>
                </w14:textFill>
              </w:rPr>
            </w:pPr>
            <w:r>
              <w:rPr>
                <w:rFonts w:hint="eastAsia" w:ascii="Times New Roman" w:hAnsi="Times New Roman" w:cs="Times New Roman"/>
                <w:b/>
                <w:color w:val="000000" w:themeColor="text1"/>
                <w:szCs w:val="21"/>
                <w14:textFill>
                  <w14:solidFill>
                    <w14:schemeClr w14:val="tx1"/>
                  </w14:solidFill>
                </w14:textFill>
              </w:rPr>
              <w:drawing>
                <wp:inline distT="0" distB="0" distL="114300" distR="114300">
                  <wp:extent cx="5246370" cy="2219960"/>
                  <wp:effectExtent l="0" t="0" r="11430" b="8890"/>
                  <wp:docPr id="149" name="图片 149" descr="e27bc5b6419a391bb6f3a731e7af0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e27bc5b6419a391bb6f3a731e7af0f9"/>
                          <pic:cNvPicPr>
                            <a:picLocks noChangeAspect="1"/>
                          </pic:cNvPicPr>
                        </pic:nvPicPr>
                        <pic:blipFill>
                          <a:blip r:embed="rId24"/>
                          <a:stretch>
                            <a:fillRect/>
                          </a:stretch>
                        </pic:blipFill>
                        <pic:spPr>
                          <a:xfrm>
                            <a:off x="0" y="0"/>
                            <a:ext cx="5246370" cy="2219960"/>
                          </a:xfrm>
                          <a:prstGeom prst="rect">
                            <a:avLst/>
                          </a:prstGeom>
                        </pic:spPr>
                      </pic:pic>
                    </a:graphicData>
                  </a:graphic>
                </wp:inline>
              </w:drawing>
            </w:r>
          </w:p>
          <w:p>
            <w:pPr>
              <w:pStyle w:val="15"/>
              <w:ind w:left="0" w:leftChars="0" w:firstLine="0" w:firstLineChars="0"/>
              <w:jc w:val="center"/>
              <w:rPr>
                <w:rFonts w:hint="eastAsia" w:ascii="Times New Roman" w:hAnsi="Times New Roman" w:cs="Times New Roman"/>
                <w:b/>
                <w:color w:val="000000" w:themeColor="text1"/>
                <w:szCs w:val="21"/>
                <w14:textFill>
                  <w14:solidFill>
                    <w14:schemeClr w14:val="tx1"/>
                  </w14:solidFill>
                </w14:textFill>
              </w:rPr>
            </w:pP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18</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云顶水库灌区矢量套合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p>
          <w:p>
            <w:pPr>
              <w:pStyle w:val="15"/>
              <w:ind w:left="0" w:leftChars="0" w:firstLine="0" w:firstLineChars="0"/>
              <w:jc w:val="center"/>
              <w:rPr>
                <w:rFonts w:hint="eastAsia" w:ascii="Times New Roman" w:hAnsi="Times New Roman" w:cs="Times New Roman"/>
                <w:b/>
                <w:color w:val="000000" w:themeColor="text1"/>
                <w:szCs w:val="21"/>
                <w14:textFill>
                  <w14:solidFill>
                    <w14:schemeClr w14:val="tx1"/>
                  </w14:solidFill>
                </w14:textFill>
              </w:rPr>
            </w:pPr>
            <w:r>
              <w:drawing>
                <wp:inline distT="0" distB="0" distL="114300" distR="114300">
                  <wp:extent cx="5394960" cy="3267710"/>
                  <wp:effectExtent l="0" t="0" r="15240" b="8890"/>
                  <wp:docPr id="1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
                          <pic:cNvPicPr>
                            <a:picLocks noChangeAspect="1"/>
                          </pic:cNvPicPr>
                        </pic:nvPicPr>
                        <pic:blipFill>
                          <a:blip r:embed="rId25"/>
                          <a:stretch>
                            <a:fillRect/>
                          </a:stretch>
                        </pic:blipFill>
                        <pic:spPr>
                          <a:xfrm>
                            <a:off x="0" y="0"/>
                            <a:ext cx="5394960" cy="3267710"/>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19</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小沟河水库灌区矢量套合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p>
          <w:p>
            <w:pPr>
              <w:jc w:val="center"/>
              <w:rPr>
                <w:rFonts w:hint="eastAsia" w:ascii="Times New Roman" w:hAnsi="Times New Roman" w:cs="Times New Roman"/>
                <w:b/>
                <w:color w:val="000000" w:themeColor="text1"/>
                <w:szCs w:val="21"/>
                <w14:textFill>
                  <w14:solidFill>
                    <w14:schemeClr w14:val="tx1"/>
                  </w14:solidFill>
                </w14:textFill>
              </w:rPr>
            </w:pPr>
            <w:r>
              <w:rPr>
                <w:rFonts w:hint="eastAsia" w:ascii="Times New Roman" w:hAnsi="Times New Roman" w:cs="Times New Roman"/>
                <w:b/>
                <w:color w:val="000000" w:themeColor="text1"/>
                <w:szCs w:val="21"/>
                <w14:textFill>
                  <w14:solidFill>
                    <w14:schemeClr w14:val="tx1"/>
                  </w14:solidFill>
                </w14:textFill>
              </w:rPr>
              <w:drawing>
                <wp:inline distT="0" distB="0" distL="114300" distR="114300">
                  <wp:extent cx="5400675" cy="2294255"/>
                  <wp:effectExtent l="0" t="0" r="9525" b="10795"/>
                  <wp:docPr id="59" name="图片 59" descr="82a0d86b1bbe8cdf668412397c1b4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82a0d86b1bbe8cdf668412397c1b4e3"/>
                          <pic:cNvPicPr>
                            <a:picLocks noChangeAspect="1"/>
                          </pic:cNvPicPr>
                        </pic:nvPicPr>
                        <pic:blipFill>
                          <a:blip r:embed="rId26"/>
                          <a:stretch>
                            <a:fillRect/>
                          </a:stretch>
                        </pic:blipFill>
                        <pic:spPr>
                          <a:xfrm>
                            <a:off x="0" y="0"/>
                            <a:ext cx="5400675" cy="2294255"/>
                          </a:xfrm>
                          <a:prstGeom prst="rect">
                            <a:avLst/>
                          </a:prstGeom>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20</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曹家沟水库灌区矢量套合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397500" cy="3378835"/>
                  <wp:effectExtent l="0" t="0" r="12700" b="12065"/>
                  <wp:docPr id="1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4"/>
                          <pic:cNvPicPr>
                            <a:picLocks noChangeAspect="1"/>
                          </pic:cNvPicPr>
                        </pic:nvPicPr>
                        <pic:blipFill>
                          <a:blip r:embed="rId27"/>
                          <a:stretch>
                            <a:fillRect/>
                          </a:stretch>
                        </pic:blipFill>
                        <pic:spPr>
                          <a:xfrm>
                            <a:off x="0" y="0"/>
                            <a:ext cx="5397500" cy="3378835"/>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21</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漆树沟水库灌区矢量套合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rPr>
                <w:rFonts w:hint="eastAsia" w:ascii="Times New Roman" w:hAnsi="Times New Roman" w:cs="Times New Roman"/>
                <w:b/>
                <w:color w:val="000000" w:themeColor="text1"/>
                <w:szCs w:val="21"/>
                <w14:textFill>
                  <w14:solidFill>
                    <w14:schemeClr w14:val="tx1"/>
                  </w14:solidFill>
                </w14:textFill>
              </w:rPr>
              <w:drawing>
                <wp:inline distT="0" distB="0" distL="114300" distR="114300">
                  <wp:extent cx="5400675" cy="2294255"/>
                  <wp:effectExtent l="0" t="0" r="9525" b="10795"/>
                  <wp:docPr id="126" name="图片 126" descr="82a0d86b1bbe8cdf668412397c1b4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82a0d86b1bbe8cdf668412397c1b4e3"/>
                          <pic:cNvPicPr>
                            <a:picLocks noChangeAspect="1"/>
                          </pic:cNvPicPr>
                        </pic:nvPicPr>
                        <pic:blipFill>
                          <a:blip r:embed="rId26"/>
                          <a:stretch>
                            <a:fillRect/>
                          </a:stretch>
                        </pic:blipFill>
                        <pic:spPr>
                          <a:xfrm>
                            <a:off x="0" y="0"/>
                            <a:ext cx="5400675" cy="2294255"/>
                          </a:xfrm>
                          <a:prstGeom prst="rect">
                            <a:avLst/>
                          </a:prstGeom>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drawing>
                <wp:inline distT="0" distB="0" distL="114300" distR="114300">
                  <wp:extent cx="5391785" cy="2265045"/>
                  <wp:effectExtent l="0" t="0" r="18415" b="1905"/>
                  <wp:docPr id="131" name="图片 131" descr="d348a7544f8f605ee985b42e822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d348a7544f8f605ee985b42e822ed36"/>
                          <pic:cNvPicPr>
                            <a:picLocks noChangeAspect="1"/>
                          </pic:cNvPicPr>
                        </pic:nvPicPr>
                        <pic:blipFill>
                          <a:blip r:embed="rId28"/>
                          <a:stretch>
                            <a:fillRect/>
                          </a:stretch>
                        </pic:blipFill>
                        <pic:spPr>
                          <a:xfrm>
                            <a:off x="0" y="0"/>
                            <a:ext cx="5391785" cy="2265045"/>
                          </a:xfrm>
                          <a:prstGeom prst="rect">
                            <a:avLst/>
                          </a:prstGeom>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22</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刘家坪水库灌区矢量套合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391150" cy="3251200"/>
                  <wp:effectExtent l="0" t="0" r="0" b="6350"/>
                  <wp:docPr id="1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6"/>
                          <pic:cNvPicPr>
                            <a:picLocks noChangeAspect="1"/>
                          </pic:cNvPicPr>
                        </pic:nvPicPr>
                        <pic:blipFill>
                          <a:blip r:embed="rId29"/>
                          <a:stretch>
                            <a:fillRect/>
                          </a:stretch>
                        </pic:blipFill>
                        <pic:spPr>
                          <a:xfrm>
                            <a:off x="0" y="0"/>
                            <a:ext cx="5391150" cy="3251200"/>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23</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烂田湾水库灌区矢量套合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403215" cy="3368675"/>
                  <wp:effectExtent l="0" t="0" r="6985" b="3175"/>
                  <wp:docPr id="1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7"/>
                          <pic:cNvPicPr>
                            <a:picLocks noChangeAspect="1"/>
                          </pic:cNvPicPr>
                        </pic:nvPicPr>
                        <pic:blipFill>
                          <a:blip r:embed="rId30"/>
                          <a:stretch>
                            <a:fillRect/>
                          </a:stretch>
                        </pic:blipFill>
                        <pic:spPr>
                          <a:xfrm>
                            <a:off x="0" y="0"/>
                            <a:ext cx="5403215" cy="3368675"/>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24</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后头湾水库灌区矢量套合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398770" cy="3204845"/>
                  <wp:effectExtent l="0" t="0" r="11430" b="14605"/>
                  <wp:docPr id="1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8"/>
                          <pic:cNvPicPr>
                            <a:picLocks noChangeAspect="1"/>
                          </pic:cNvPicPr>
                        </pic:nvPicPr>
                        <pic:blipFill>
                          <a:blip r:embed="rId31"/>
                          <a:stretch>
                            <a:fillRect/>
                          </a:stretch>
                        </pic:blipFill>
                        <pic:spPr>
                          <a:xfrm>
                            <a:off x="0" y="0"/>
                            <a:ext cx="5398770" cy="3204845"/>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25</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长征水库灌区矢量套合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400675" cy="3516630"/>
                  <wp:effectExtent l="0" t="0" r="9525" b="7620"/>
                  <wp:docPr id="1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9"/>
                          <pic:cNvPicPr>
                            <a:picLocks noChangeAspect="1"/>
                          </pic:cNvPicPr>
                        </pic:nvPicPr>
                        <pic:blipFill>
                          <a:blip r:embed="rId32"/>
                          <a:stretch>
                            <a:fillRect/>
                          </a:stretch>
                        </pic:blipFill>
                        <pic:spPr>
                          <a:xfrm>
                            <a:off x="0" y="0"/>
                            <a:ext cx="5400675" cy="3516630"/>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26</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南六水库灌区矢量套合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393055" cy="3385185"/>
                  <wp:effectExtent l="0" t="0" r="17145" b="5715"/>
                  <wp:docPr id="1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0"/>
                          <pic:cNvPicPr>
                            <a:picLocks noChangeAspect="1"/>
                          </pic:cNvPicPr>
                        </pic:nvPicPr>
                        <pic:blipFill>
                          <a:blip r:embed="rId33"/>
                          <a:stretch>
                            <a:fillRect/>
                          </a:stretch>
                        </pic:blipFill>
                        <pic:spPr>
                          <a:xfrm>
                            <a:off x="0" y="0"/>
                            <a:ext cx="5393055" cy="3385185"/>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27</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九军坪水库灌区矢量套合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402580" cy="3317240"/>
                  <wp:effectExtent l="0" t="0" r="7620" b="16510"/>
                  <wp:docPr id="1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1"/>
                          <pic:cNvPicPr>
                            <a:picLocks noChangeAspect="1"/>
                          </pic:cNvPicPr>
                        </pic:nvPicPr>
                        <pic:blipFill>
                          <a:blip r:embed="rId34"/>
                          <a:stretch>
                            <a:fillRect/>
                          </a:stretch>
                        </pic:blipFill>
                        <pic:spPr>
                          <a:xfrm>
                            <a:off x="0" y="0"/>
                            <a:ext cx="5402580" cy="3317240"/>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28</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老寨沟水库灌区矢量套合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r>
              <w:drawing>
                <wp:inline distT="0" distB="0" distL="114300" distR="114300">
                  <wp:extent cx="5400040" cy="3267075"/>
                  <wp:effectExtent l="0" t="0" r="10160" b="9525"/>
                  <wp:docPr id="1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2"/>
                          <pic:cNvPicPr>
                            <a:picLocks noChangeAspect="1"/>
                          </pic:cNvPicPr>
                        </pic:nvPicPr>
                        <pic:blipFill>
                          <a:blip r:embed="rId35"/>
                          <a:stretch>
                            <a:fillRect/>
                          </a:stretch>
                        </pic:blipFill>
                        <pic:spPr>
                          <a:xfrm>
                            <a:off x="0" y="0"/>
                            <a:ext cx="5400040" cy="3267075"/>
                          </a:xfrm>
                          <a:prstGeom prst="rect">
                            <a:avLst/>
                          </a:prstGeom>
                          <a:noFill/>
                          <a:ln>
                            <a:noFill/>
                          </a:ln>
                        </pic:spPr>
                      </pic:pic>
                    </a:graphicData>
                  </a:graphic>
                </wp:inline>
              </w:drawing>
            </w:r>
            <w:r>
              <w:rPr>
                <w:rFonts w:hint="eastAsia" w:ascii="Times New Roman" w:hAnsi="Times New Roman" w:cs="Times New Roman"/>
                <w:b/>
                <w:color w:val="000000" w:themeColor="text1"/>
                <w:szCs w:val="21"/>
                <w14:textFill>
                  <w14:solidFill>
                    <w14:schemeClr w14:val="tx1"/>
                  </w14:solidFill>
                </w14:textFill>
              </w:rPr>
              <w:t>图1-</w:t>
            </w:r>
            <w:r>
              <w:rPr>
                <w:rFonts w:hint="eastAsia" w:ascii="Times New Roman" w:hAnsi="Times New Roman" w:cs="Times New Roman"/>
                <w:b/>
                <w:color w:val="000000" w:themeColor="text1"/>
                <w:szCs w:val="21"/>
                <w:lang w:val="en-US" w:eastAsia="zh-CN"/>
                <w14:textFill>
                  <w14:solidFill>
                    <w14:schemeClr w14:val="tx1"/>
                  </w14:solidFill>
                </w14:textFill>
              </w:rPr>
              <w:t>29</w:t>
            </w:r>
            <w:r>
              <w:rPr>
                <w:rFonts w:hint="eastAsia" w:ascii="Times New Roman" w:hAnsi="Times New Roman" w:cs="Times New Roman"/>
                <w:b/>
                <w:color w:val="000000" w:themeColor="text1"/>
                <w:szCs w:val="21"/>
                <w14:textFill>
                  <w14:solidFill>
                    <w14:schemeClr w14:val="tx1"/>
                  </w14:solidFill>
                </w14:textFill>
              </w:rPr>
              <w:t xml:space="preserve">  </w:t>
            </w:r>
            <w:r>
              <w:rPr>
                <w:rFonts w:hint="eastAsia" w:ascii="Times New Roman" w:hAnsi="Times New Roman" w:cs="Times New Roman"/>
                <w:b/>
                <w:color w:val="000000" w:themeColor="text1"/>
                <w:szCs w:val="21"/>
                <w:lang w:val="en-US" w:eastAsia="zh-CN"/>
                <w14:textFill>
                  <w14:solidFill>
                    <w14:schemeClr w14:val="tx1"/>
                  </w14:solidFill>
                </w14:textFill>
              </w:rPr>
              <w:t>阴洞岩水库灌区矢量套合</w:t>
            </w:r>
            <w:r>
              <w:rPr>
                <w:rFonts w:hint="eastAsia" w:ascii="Times New Roman" w:hAnsi="Times New Roman" w:cs="Times New Roman"/>
                <w:b/>
                <w:color w:val="000000" w:themeColor="text1"/>
                <w:szCs w:val="21"/>
                <w14:textFill>
                  <w14:solidFill>
                    <w14:schemeClr w14:val="tx1"/>
                  </w14:solidFill>
                </w14:textFill>
              </w:rPr>
              <w:t>三线一单查询结果</w:t>
            </w:r>
          </w:p>
          <w:p>
            <w:pPr>
              <w:pStyle w:val="15"/>
              <w:spacing w:line="360" w:lineRule="auto"/>
              <w:rPr>
                <w:rFonts w:hint="default" w:eastAsia="仿宋体"/>
                <w:lang w:val="en-US" w:eastAsia="zh-CN"/>
              </w:rPr>
            </w:pP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本次评价选取代表性涉生态公益林点位进行表格分析：</w:t>
            </w:r>
          </w:p>
        </w:tc>
      </w:tr>
    </w:tbl>
    <w:p>
      <w:pPr>
        <w:autoSpaceDE w:val="0"/>
        <w:autoSpaceDN w:val="0"/>
        <w:adjustRightInd w:val="0"/>
        <w:snapToGrid w:val="0"/>
        <w:spacing w:line="360" w:lineRule="auto"/>
        <w:jc w:val="center"/>
        <w:rPr>
          <w:rFonts w:ascii="Times New Roman" w:hAnsi="Times New Roman" w:cs="Times New Roman"/>
          <w:kern w:val="0"/>
          <w:sz w:val="24"/>
          <w:szCs w:val="24"/>
        </w:rPr>
        <w:sectPr>
          <w:pgSz w:w="11906" w:h="16838"/>
          <w:pgMar w:top="1440" w:right="1080" w:bottom="1440" w:left="1080" w:header="851" w:footer="992" w:gutter="0"/>
          <w:cols w:space="425" w:num="1"/>
          <w:docGrid w:type="lines" w:linePitch="312" w:charSpace="0"/>
        </w:sectPr>
      </w:pPr>
    </w:p>
    <w:bookmarkEnd w:id="0"/>
    <w:p>
      <w:pPr>
        <w:adjustRightInd w:val="0"/>
        <w:snapToGrid w:val="0"/>
        <w:spacing w:line="240" w:lineRule="auto"/>
        <w:jc w:val="center"/>
        <w:rPr>
          <w:rFonts w:hint="default" w:eastAsiaTheme="minorEastAsia"/>
          <w:b/>
          <w:bCs/>
          <w:lang w:val="en-US" w:eastAsia="zh-CN"/>
        </w:rPr>
      </w:pPr>
      <w:r>
        <w:rPr>
          <w:rFonts w:hint="eastAsia"/>
          <w:b/>
          <w:bCs/>
          <w:lang w:val="en-US" w:eastAsia="zh-CN"/>
        </w:rPr>
        <w:t>表1-1 查询点1三线一单符合性分析表</w:t>
      </w:r>
    </w:p>
    <w:tbl>
      <w:tblPr>
        <w:tblStyle w:val="83"/>
        <w:tblW w:w="13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1490"/>
        <w:gridCol w:w="4270"/>
        <w:gridCol w:w="1488"/>
        <w:gridCol w:w="3566"/>
        <w:gridCol w:w="1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noWrap w:val="0"/>
            <w:vAlign w:val="center"/>
          </w:tcPr>
          <w:p>
            <w:pPr>
              <w:pStyle w:val="84"/>
              <w:widowControl/>
              <w:spacing w:line="240" w:lineRule="auto"/>
              <w:ind w:firstLine="0" w:firstLineChars="0"/>
              <w:jc w:val="center"/>
              <w:rPr>
                <w:rStyle w:val="28"/>
                <w:rFonts w:ascii="宋体" w:hAnsi="宋体" w:eastAsia="宋体" w:cs="Times New Roman"/>
                <w:kern w:val="2"/>
                <w:sz w:val="21"/>
                <w:szCs w:val="21"/>
                <w:lang w:val="en-US" w:eastAsia="zh-CN" w:bidi="ar-SA"/>
              </w:rPr>
            </w:pPr>
            <w:r>
              <w:rPr>
                <w:rFonts w:hint="eastAsia" w:ascii="宋体" w:hAnsi="宋体" w:eastAsia="宋体" w:cs="宋体"/>
                <w:b/>
                <w:bCs/>
                <w:color w:val="000000"/>
                <w:kern w:val="0"/>
                <w:sz w:val="21"/>
                <w:szCs w:val="21"/>
                <w:lang w:val="en-US" w:eastAsia="zh-CN" w:bidi="ar-SA"/>
              </w:rPr>
              <w:t>环境管控单元编码</w:t>
            </w:r>
          </w:p>
        </w:tc>
        <w:tc>
          <w:tcPr>
            <w:tcW w:w="1490" w:type="dxa"/>
            <w:noWrap w:val="0"/>
            <w:vAlign w:val="center"/>
          </w:tcPr>
          <w:p>
            <w:pPr>
              <w:pStyle w:val="84"/>
              <w:widowControl/>
              <w:spacing w:line="240" w:lineRule="auto"/>
              <w:ind w:firstLine="0" w:firstLineChars="0"/>
              <w:jc w:val="center"/>
              <w:rPr>
                <w:rStyle w:val="28"/>
                <w:rFonts w:ascii="宋体" w:hAnsi="宋体" w:eastAsia="宋体" w:cs="Times New Roman"/>
                <w:kern w:val="2"/>
                <w:sz w:val="21"/>
                <w:szCs w:val="21"/>
                <w:lang w:val="en-US" w:eastAsia="zh-CN" w:bidi="ar-SA"/>
              </w:rPr>
            </w:pPr>
            <w:r>
              <w:rPr>
                <w:rFonts w:hint="eastAsia" w:ascii="宋体" w:hAnsi="宋体" w:eastAsia="宋体" w:cs="宋体"/>
                <w:b/>
                <w:bCs/>
                <w:color w:val="000000"/>
                <w:kern w:val="0"/>
                <w:sz w:val="21"/>
                <w:szCs w:val="21"/>
                <w:lang w:val="en-US" w:eastAsia="zh-CN" w:bidi="ar-SA"/>
              </w:rPr>
              <w:t>环境管控单元名称</w:t>
            </w:r>
          </w:p>
        </w:tc>
        <w:tc>
          <w:tcPr>
            <w:tcW w:w="4270" w:type="dxa"/>
            <w:noWrap w:val="0"/>
            <w:vAlign w:val="center"/>
          </w:tcPr>
          <w:p>
            <w:pPr>
              <w:pStyle w:val="84"/>
              <w:widowControl w:val="0"/>
              <w:spacing w:line="240" w:lineRule="auto"/>
              <w:ind w:firstLine="0" w:firstLineChars="0"/>
              <w:jc w:val="center"/>
              <w:rPr>
                <w:rStyle w:val="28"/>
                <w:rFonts w:hint="eastAsia" w:ascii="宋体" w:hAnsi="宋体" w:eastAsia="宋体" w:cs="宋体"/>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达州市普适性清单</w:t>
            </w:r>
          </w:p>
        </w:tc>
        <w:tc>
          <w:tcPr>
            <w:tcW w:w="1488" w:type="dxa"/>
            <w:noWrap w:val="0"/>
            <w:vAlign w:val="center"/>
          </w:tcPr>
          <w:p>
            <w:pPr>
              <w:pStyle w:val="84"/>
              <w:widowControl/>
              <w:spacing w:line="240" w:lineRule="auto"/>
              <w:ind w:firstLine="0" w:firstLineChars="0"/>
              <w:jc w:val="center"/>
              <w:rPr>
                <w:rStyle w:val="28"/>
                <w:rFonts w:ascii="宋体" w:hAnsi="宋体" w:eastAsia="宋体" w:cs="Times New Roman"/>
                <w:kern w:val="2"/>
                <w:sz w:val="21"/>
                <w:szCs w:val="21"/>
                <w:lang w:val="en-US" w:eastAsia="zh-CN" w:bidi="ar-SA"/>
              </w:rPr>
            </w:pPr>
            <w:r>
              <w:rPr>
                <w:rFonts w:hint="eastAsia" w:ascii="宋体" w:hAnsi="宋体" w:eastAsia="宋体" w:cs="宋体"/>
                <w:b/>
                <w:bCs/>
                <w:color w:val="000000"/>
                <w:kern w:val="0"/>
                <w:sz w:val="21"/>
                <w:szCs w:val="21"/>
                <w:lang w:val="en-US" w:eastAsia="zh-CN" w:bidi="ar-SA"/>
              </w:rPr>
              <w:t>管控类别</w:t>
            </w:r>
          </w:p>
        </w:tc>
        <w:tc>
          <w:tcPr>
            <w:tcW w:w="3566" w:type="dxa"/>
            <w:noWrap w:val="0"/>
            <w:vAlign w:val="center"/>
          </w:tcPr>
          <w:p>
            <w:pPr>
              <w:pStyle w:val="84"/>
              <w:widowControl/>
              <w:shd w:val="clear" w:color="auto" w:fill="FFFFFF"/>
              <w:spacing w:line="240" w:lineRule="auto"/>
              <w:ind w:firstLine="0" w:firstLineChars="0"/>
              <w:jc w:val="center"/>
              <w:rPr>
                <w:rStyle w:val="28"/>
                <w:rFonts w:hint="eastAsia" w:ascii="宋体" w:hAnsi="宋体" w:eastAsia="宋体" w:cs="Times New Roman"/>
                <w:kern w:val="2"/>
                <w:sz w:val="21"/>
                <w:szCs w:val="21"/>
                <w:lang w:val="en-US" w:eastAsia="zh-CN" w:bidi="ar-SA"/>
              </w:rPr>
            </w:pPr>
            <w:r>
              <w:rPr>
                <w:rFonts w:hint="eastAsia" w:ascii="宋体" w:hAnsi="宋体" w:eastAsia="宋体" w:cs="宋体"/>
                <w:b/>
                <w:bCs/>
                <w:color w:val="000000"/>
                <w:kern w:val="0"/>
                <w:sz w:val="21"/>
                <w:szCs w:val="21"/>
                <w:lang w:val="en-US" w:eastAsia="zh-CN" w:bidi="ar-SA"/>
              </w:rPr>
              <w:t>单元特性管控要求</w:t>
            </w:r>
          </w:p>
        </w:tc>
        <w:tc>
          <w:tcPr>
            <w:tcW w:w="1450" w:type="dxa"/>
            <w:noWrap w:val="0"/>
            <w:vAlign w:val="center"/>
          </w:tcPr>
          <w:p>
            <w:pPr>
              <w:pStyle w:val="84"/>
              <w:widowControl/>
              <w:shd w:val="clear" w:color="auto" w:fill="FFFFFF"/>
              <w:spacing w:line="240" w:lineRule="auto"/>
              <w:ind w:firstLine="0" w:firstLineChars="0"/>
              <w:jc w:val="center"/>
              <w:rPr>
                <w:rFonts w:hint="default" w:ascii="宋体" w:hAnsi="宋体" w:eastAsia="宋体" w:cs="宋体"/>
                <w:b/>
                <w:bCs/>
                <w:color w:val="000000"/>
                <w:kern w:val="0"/>
                <w:sz w:val="21"/>
                <w:szCs w:val="21"/>
                <w:lang w:val="en-US" w:eastAsia="zh-CN" w:bidi="ar-SA"/>
              </w:rPr>
            </w:pPr>
            <w:r>
              <w:rPr>
                <w:rFonts w:hint="eastAsia" w:ascii="宋体" w:hAnsi="宋体" w:eastAsia="宋体" w:cs="宋体"/>
                <w:b/>
                <w:bCs/>
                <w:color w:val="000000"/>
                <w:kern w:val="0"/>
                <w:sz w:val="21"/>
                <w:szCs w:val="21"/>
                <w:lang w:val="en-US" w:eastAsia="zh-CN" w:bidi="ar-SA"/>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1" w:hRule="atLeast"/>
          <w:jc w:val="center"/>
        </w:trPr>
        <w:tc>
          <w:tcPr>
            <w:tcW w:w="973" w:type="dxa"/>
            <w:vMerge w:val="restart"/>
            <w:noWrap w:val="0"/>
            <w:vAlign w:val="center"/>
          </w:tcPr>
          <w:p>
            <w:pPr>
              <w:pStyle w:val="84"/>
              <w:widowControl/>
              <w:spacing w:line="240" w:lineRule="auto"/>
              <w:ind w:firstLine="0" w:firstLineChars="0"/>
              <w:jc w:val="left"/>
              <w:rPr>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YS5117221130014</w:t>
            </w:r>
          </w:p>
        </w:tc>
        <w:tc>
          <w:tcPr>
            <w:tcW w:w="1490" w:type="dxa"/>
            <w:vMerge w:val="restart"/>
            <w:noWrap w:val="0"/>
            <w:vAlign w:val="center"/>
          </w:tcPr>
          <w:p>
            <w:pPr>
              <w:pStyle w:val="84"/>
              <w:widowControl/>
              <w:spacing w:line="240" w:lineRule="auto"/>
              <w:ind w:firstLine="0" w:firstLineChars="0"/>
              <w:jc w:val="left"/>
              <w:rPr>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生态优先保护区（一般生态空间）14</w:t>
            </w:r>
          </w:p>
        </w:tc>
        <w:tc>
          <w:tcPr>
            <w:tcW w:w="4270" w:type="dxa"/>
            <w:vMerge w:val="restart"/>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空间布局约束</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禁止开发建设活动的要求；</w:t>
            </w:r>
          </w:p>
          <w:p>
            <w:pPr>
              <w:pStyle w:val="84"/>
              <w:widowControl/>
              <w:shd w:val="clear" w:color="auto" w:fill="FFFFFF"/>
              <w:spacing w:line="240" w:lineRule="auto"/>
              <w:ind w:firstLine="0" w:firstLineChars="0"/>
              <w:jc w:val="both"/>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生态公益林参照现行法律法规执行；水源涵养重要区、生物多样性维护重要区、水土保持功能重要区参照《全国生态功能区划》执行；</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限制开发建设活动的要求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生态公益林参照现行法律法规执行；水源涵养重要区、生物多样性维护重要区、水土保持功能重要区参照《全国生态功能区划》执行；</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允许开发建设活动的要求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生态公益林参照现行法律法规执行；水源涵养重要区、生物多样性维护重要区、水土保持功能重要区参照《全国生态功能区划》执行；</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不符合空间布局要求活动的退出要求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生态公益林参照现行法律法规执行；水源涵养重要区、生物多样性维护重要区、水土保持功能重要区参照《全国生态功能区划》执行；</w:t>
            </w:r>
          </w:p>
          <w:p>
            <w:pPr>
              <w:pStyle w:val="84"/>
              <w:widowControl/>
              <w:shd w:val="clear" w:color="auto" w:fill="FFFFFF"/>
              <w:spacing w:line="240" w:lineRule="auto"/>
              <w:ind w:firstLine="0" w:firstLineChars="0"/>
              <w:jc w:val="left"/>
              <w:rPr>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其他空间布局约束要求</w:t>
            </w:r>
          </w:p>
        </w:tc>
        <w:tc>
          <w:tcPr>
            <w:tcW w:w="1450" w:type="dxa"/>
            <w:noWrap w:val="0"/>
            <w:vAlign w:val="center"/>
          </w:tcPr>
          <w:p>
            <w:pPr>
              <w:pStyle w:val="84"/>
              <w:widowControl/>
              <w:shd w:val="clear" w:color="auto" w:fill="FFFFFF"/>
              <w:spacing w:line="240" w:lineRule="auto"/>
              <w:ind w:firstLine="0" w:firstLineChars="0"/>
              <w:jc w:val="both"/>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本项目为小型水库配套的灌区提升改造工程，以线性渠道、管道工程新建、修复为主，</w:t>
            </w:r>
            <w:r>
              <w:rPr>
                <w:rStyle w:val="28"/>
                <w:rFonts w:hint="eastAsia" w:ascii="宋体" w:hAnsi="宋体" w:eastAsia="宋体" w:cs="Times New Roman"/>
                <w:b/>
                <w:bCs/>
                <w:kern w:val="2"/>
                <w:sz w:val="21"/>
                <w:szCs w:val="21"/>
                <w:lang w:val="en-US" w:eastAsia="zh-CN" w:bidi="ar-SA"/>
              </w:rPr>
              <w:t>现有渠道穿越生态公益林，仅在现有渠道内铺设管道，不涉及破坏林木，无新增占地</w:t>
            </w:r>
            <w:r>
              <w:rPr>
                <w:rStyle w:val="28"/>
                <w:rFonts w:hint="eastAsia" w:ascii="宋体" w:hAnsi="宋体" w:eastAsia="宋体" w:cs="Times New Roman"/>
                <w:kern w:val="2"/>
                <w:sz w:val="21"/>
                <w:szCs w:val="21"/>
                <w:lang w:val="en-US" w:eastAsia="zh-CN" w:bidi="ar-SA"/>
              </w:rPr>
              <w:t>；施工期间本项目严格落实相关水土保持措施；本项目的实施对区域水源涵养、生物多样性维护具有一定生态效益。</w:t>
            </w:r>
            <w:r>
              <w:rPr>
                <w:rStyle w:val="28"/>
                <w:rFonts w:hint="eastAsia" w:ascii="宋体" w:hAnsi="宋体" w:eastAsia="宋体" w:cs="Times New Roman"/>
                <w:b/>
                <w:bCs/>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YS5117221130014</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生态优先保护区（一般生态空间）14</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污染物排放管控</w:t>
            </w:r>
          </w:p>
        </w:tc>
        <w:tc>
          <w:tcPr>
            <w:tcW w:w="3566" w:type="dxa"/>
            <w:vMerge w:val="restart"/>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YS5117221130014</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生态优先保护区（一般生态空间）14</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环境风险防控</w:t>
            </w:r>
          </w:p>
        </w:tc>
        <w:tc>
          <w:tcPr>
            <w:tcW w:w="3566" w:type="dxa"/>
            <w:vMerge w:val="continue"/>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YS5117221130014</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生态优先保护区（一般生态空间）14</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资源开发效率要求</w:t>
            </w:r>
          </w:p>
        </w:tc>
        <w:tc>
          <w:tcPr>
            <w:tcW w:w="3566" w:type="dxa"/>
            <w:vMerge w:val="continue"/>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1" w:hRule="atLeast"/>
          <w:jc w:val="center"/>
        </w:trPr>
        <w:tc>
          <w:tcPr>
            <w:tcW w:w="973" w:type="dxa"/>
            <w:vMerge w:val="restart"/>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YS5117222330001</w:t>
            </w:r>
          </w:p>
        </w:tc>
        <w:tc>
          <w:tcPr>
            <w:tcW w:w="1490" w:type="dxa"/>
            <w:vMerge w:val="restart"/>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宣汉县大气环境弱扩散重点管控区</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空间布局约束</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禁止开发建设活动的要求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限制开发建设活动的要求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允许开发建设活动的要求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不符合空间布局要求活动的退出要求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其他空间布局约束要求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支持现有钢铁、水泥、焦化等废气排放量大的产业向有刚性需求、具有资源优势、环境容量允许的地区转移布局</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本项目为小型水库配套的灌区工程提升改造，不涉及能耗、环保、安全、技术达不到标准的公益，为非生产型水利基础设施项目，不涉及表中列出的行业。</w:t>
            </w:r>
            <w:r>
              <w:rPr>
                <w:rStyle w:val="28"/>
                <w:rFonts w:hint="eastAsia" w:ascii="宋体" w:hAnsi="宋体" w:eastAsia="宋体" w:cs="Times New Roman"/>
                <w:b/>
                <w:bCs/>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3"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YS5117222330001</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宣汉县大气环境弱扩散重点管控区</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污染物排放管控</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大气环境质量执行标准</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《环境空气质量标准》（GB3095-2012）：二级</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区域大气污染物削减/替代要求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燃煤和其他能源大气污染控制要求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工业废气污染控制要求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机动车船大气污染控制要求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扬尘污染控制要求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农业生产经营活动大气污染控制要求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重点行业企业专项治理要求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其他大气污染物排放管控要求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YS5117222330001</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宣汉县大气环境弱扩散重点管控区</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环境风险防控</w:t>
            </w:r>
          </w:p>
        </w:tc>
        <w:tc>
          <w:tcPr>
            <w:tcW w:w="3566" w:type="dxa"/>
            <w:vMerge w:val="restart"/>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YS5117222330001</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宣汉县大气环境弱扩散重点管控区</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资源开发效率要求</w:t>
            </w:r>
          </w:p>
        </w:tc>
        <w:tc>
          <w:tcPr>
            <w:tcW w:w="3566" w:type="dxa"/>
            <w:vMerge w:val="continue"/>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vMerge w:val="restart"/>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YS5117223210002</w:t>
            </w:r>
          </w:p>
        </w:tc>
        <w:tc>
          <w:tcPr>
            <w:tcW w:w="1490" w:type="dxa"/>
            <w:vMerge w:val="restart"/>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州河-宣汉县-张鼓坪-控制单元</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空间布局约束</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禁止开发建设活动的要求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不再新建、改扩建开采规模在50万吨/年以下的磷矿，不再新建露天磷矿</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限制开发建设活动的要求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允许开发建设活动的要求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不符合空间布局要求活动的退出要求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其他空间布局约束要求</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本项目不属于磷矿行业。</w:t>
            </w:r>
            <w:r>
              <w:rPr>
                <w:rStyle w:val="28"/>
                <w:rFonts w:hint="eastAsia" w:ascii="宋体" w:hAnsi="宋体" w:eastAsia="宋体" w:cs="Times New Roman"/>
                <w:b/>
                <w:bCs/>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YS5117223210002</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州河-宣汉县-张鼓坪-控制单元</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污染物排放管控</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城镇污水污染控制措施要求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1、持续推进环保基础设施补短板，完善污水收集处理系统。2、保障乡镇污水收集处理设施顺畅运行。3、推进污水直排口排查与整治，落实“一口一策”整改措施。</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工业废水污染控制措施要求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1、落实主要污染物排放总量指标控制要求，加强入河排污口登记、审批和监督管理。2、强化流域内工业点源、规模化畜禽养殖场运行监管，避免偷排、漏排。</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农业面源水污染控制措施要求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1、推进农村污染治理，稳步农村污水处理设施建设，适当预留发展空间，宜集中则集中，宜分散则分散。大力推进农村生活垃圾就地分类减量 和资源化利用，因地制宜选择农村生活垃圾治理模式。严格做好“农家乐”、种植采摘园等范围内的生活及农产品产生污水及垃圾治理。2、以环境承载能力为约束，合理规划水产养殖空间及规模；推进水产生态健康养殖，加强渔业生产过程中抗菌药物使用管控。推进水产养殖治理，水产养殖废水应处理达到《四川省水产养殖业水污染物排放标准》后排放；实施池塘标准化改造，完善循环水和进排水处理设施；推进养殖尾水节水减排。3、以环境承载能力为约束，合理规划畜禽养殖空间及规模；推进畜禽粪污分类处置，根据排放去向或利用方式的不同执行相应的标准规范。不断提高畜禽养殖粪污资源化利用率及利用水平；设有污水排放口的规模化畜禽养殖场应当依法申领排污许可证。4、推进化肥、农药使用量“零增长”，逐步推进农田径流拦截及治理。</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船舶港口水污染控制措施要求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饮用水水源和其它特殊水体保护要求</w:t>
            </w:r>
          </w:p>
        </w:tc>
        <w:tc>
          <w:tcPr>
            <w:tcW w:w="1450" w:type="dxa"/>
            <w:noWrap w:val="0"/>
            <w:vAlign w:val="center"/>
          </w:tcPr>
          <w:p>
            <w:pPr>
              <w:pStyle w:val="84"/>
              <w:widowControl/>
              <w:shd w:val="clear" w:color="auto" w:fill="FFFFFF"/>
              <w:spacing w:line="240" w:lineRule="auto"/>
              <w:ind w:firstLine="0" w:firstLineChars="0"/>
              <w:jc w:val="both"/>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本项目为小型水库配套的灌区工程提升改造，不涉及水产养殖、畜禽养殖、生活垃圾处理及污水排放等；本项目的实施对推进农田径流拦截及治理具有一定作用。</w:t>
            </w:r>
            <w:r>
              <w:rPr>
                <w:rStyle w:val="28"/>
                <w:rFonts w:hint="eastAsia" w:ascii="宋体" w:hAnsi="宋体" w:eastAsia="宋体" w:cs="Times New Roman"/>
                <w:b/>
                <w:bCs/>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YS5117223210002</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州河-宣汉县-张鼓坪-控制单元</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环境风险防控</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进一步完善工业企业和矿山环境风险防范和管理体系建设，开展企业风险隐患排查与风险评估，增强企业的环境风险意识，守住环境安全底线。落实“一河一策一图”风险管理和应急响应方案，提升风险应急管理水平。</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本项目不涉及工况企业和矿山。</w:t>
            </w:r>
            <w:r>
              <w:rPr>
                <w:rStyle w:val="28"/>
                <w:rFonts w:hint="eastAsia" w:ascii="宋体" w:hAnsi="宋体" w:eastAsia="宋体" w:cs="Times New Roman"/>
                <w:b/>
                <w:bCs/>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YS5117223210002</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州河-宣汉县-张鼓坪-控制单元</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暂无</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资源开发效率要求</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强化种植业节水；推进农村污水分质资源化利用。</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本项目为灌区工程，不涉及污水利用；但本项目输水系统可以作为农村资源化利用污水的传输载体。</w:t>
            </w:r>
            <w:r>
              <w:rPr>
                <w:rStyle w:val="28"/>
                <w:rFonts w:hint="eastAsia" w:ascii="宋体" w:hAnsi="宋体" w:eastAsia="宋体" w:cs="Times New Roman"/>
                <w:b/>
                <w:bCs/>
                <w:kern w:val="2"/>
                <w:sz w:val="21"/>
                <w:szCs w:val="21"/>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1" w:hRule="atLeast"/>
          <w:jc w:val="center"/>
        </w:trPr>
        <w:tc>
          <w:tcPr>
            <w:tcW w:w="973" w:type="dxa"/>
            <w:vMerge w:val="restart"/>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ZH51172210003</w:t>
            </w:r>
          </w:p>
        </w:tc>
        <w:tc>
          <w:tcPr>
            <w:tcW w:w="1490" w:type="dxa"/>
            <w:vMerge w:val="restart"/>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生态公益林、水源涵养重要区、水土保持功能重要区、生物多样性维护重要区</w:t>
            </w:r>
          </w:p>
        </w:tc>
        <w:tc>
          <w:tcPr>
            <w:tcW w:w="4270" w:type="dxa"/>
            <w:vMerge w:val="restart"/>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态保护红线：生态保护红线内自然保护地核心保护区外，禁止开发性、生产性建设活动，在符合法律法规的前提下，仅允许《关于加强生态保护红线管理的通知（试行）》（自然资发〔2022〕142号）中规定的十类对生态功能不造成破坏的有限人为活动。生态保护红线内自然保护区、风景名胜区、饮用水水源保护区等区域，依照法律法规执行。</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禁止任何人进入自然保护区的核心区。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自然保护区核心区内原有居民确有必要迁出的，由自然保护区所在地的县级以上地方人民政府制定方案，予以妥善安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自然保护区的缓冲区开展旅游和生产经营活动。因教学科学研的目的，需要进入自然保护区的缓冲区从事非破坏性的科学研究、教学实习和标本采集活动的，应当事先向自然保护区管理机构提交申请和活动计划，经自然保护区管理机构批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在自然保护区的实验区内开展参观、旅游活动的，由自然保护区管理机构编制方案，方案应当符合自然保护区管理目标。严禁开设与自然保护区保护方向不一致的参观、旅游项目。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自然保护区内进行砍伐、放牧、狩猎、捕捞、采药、开垦、烧荒、开矿、采石、挖沙等活动（法律、行政法规另有规定除外）。在自然保护区的核心区和缓冲区内，禁止建设任何生产设施。在自然保护区的实验区内，不得建设污染环境、破坏资源或者景观的生产设施；建设其他项目，其污染物排放不得超过国家和地方规定的污染物排放标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自然保护区的内部未分区的，依照本条例有关核心区和缓冲区的规定管理。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风景名胜区：禁止开山、采石、开矿、开荒、修坟立碑等破坏景观、植被和地形地貌的活动；禁止违反风景名胜区规划，在风景名胜区内设立各类开发区和在核心景区内建设宾馆、招待所、培训中心、疗养院以及与风景名胜资源保护无关的其他建筑物；已经建设的，应当按照风景名胜区规划，逐步迁出；禁止风景名胜区内修建储存或者输送爆炸性、易燃性、放射性、毒害性、腐蚀性物品等危险品的设施，或者其他破坏景观、污染环境、妨碍游览和危害风景名胜区生态、公共安全的建筑物和构筑物。在风景名胜区及其外围保护地带内，不得设立开发区、度假区，不得建设破坏景观、污染环境的工矿企业和其他项目、设施。在游人集中的游览区和自然环境保留地内，不得建设旅馆、招待所、休疗养机构、生活区以及其他影响观瞻或污染环境的工程设施。在重要景点上，除必需的保护设施外，不得兴建其他工程设施。禁止超过风景名胜区总体规划确定的容量接待游客。世界自然遗产地：禁止在世界遗产保护范围内实施以下行为：建设污染环境、破坏生态和造成水土流失的设施；在世界遗产核心保护区、保护区范围内进行开山、采石、垦荒、开矿、取土等破坏地表、地貌的活动；在世界遗产核心保护区、保护区范围内修建储存爆炸性、易燃性、放射性、毒害性、腐蚀性等物品设施；在世界遗产核心保护区、保护区设立各类开发区、度假区；在世界遗产核心保护区建设宾馆、招待所、疗养院及各类培训中心等建筑物、构筑物和其他设施；在世界遗产保护区、缓冲区未经省人民政府世界遗产行政主管部门审核进行建设；其他损害或者破坏世界遗产真实性和完整性的行为。饮用水水源保护区：禁止在饮用水水源保护区内，禁止设置排污口。</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禁止在饮用水水源一级保护区内新建、改建、扩建与供水设施和保护水源无关的建设项目；已建成的与供水设施和保护水源无关的建设项目，由县级以上人民政府责令拆除或者关闭。</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禁止在饮用水水源一级保护区内从事网箱养殖、旅游、游泳、垂钓或者其他可能污染饮用水水体的活动。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二级保护区内新建、改建、扩建排放污染物的建设项目；已建成的排放污染物的建设项目，由县级以上人民政府责令拆除或者关闭。禁止在饮用水水源准保护区内新建、扩建对水体污染严重的建设项目；改建建设项目，不得增加排污量。</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表水饮用水水源一级保护区内禁止新建、改建、扩建与供水设施和保护水源无关的建设项目；已建成的与供水设施和保护水源无关的建设项目，由县级以上地方人民政府责令拆除或者关闭；二级保护区内，禁止新建、改建、扩建排放污染物的建设项目；已建成的排放污染物的建设项目，由县级以上地方人民政府责令拆除或者关闭；准保护区内，禁止新建、扩建对水体污染严重的建设项目；改建建设项目，不得增加排污量。</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森林公园：（1）禁止擅自在国家级森林自然公园内从事采矿、房地产、开发区、高尔夫球场、风力光伏电场等不符合管控要求的开发活动。（2）禁止违规侵占国家级森林自然公园，排放不符合水污染物排放标准的工业废水、生活污水及其他的废水、污水，倾倒、堆放、丢弃、遗撒固体废物等污染生态环境的行为。（3）国家级森林自然公园按照一般控制区管理。（4）国家级森林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质公园：禁止在保护区内及可能对地质遗迹造成影响的一定范围内进行采石、取土、开矿、放牧、砍伐以及其它对保护对象有损害的活动。未经管理机构批准，禁止在保护区范围内采集标本和化石。禁止在保护区内修建与地质遗迹保护无关的厂房或其他建筑设施。基本农田：-永久基本农田，实行严格保护，除法律规定的重点建设项目选址确实无法避让外，其他任何建设不得占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-在永久基本农田集中区域，不得新建可能造成土壤污染的建设项目；已经建成的，应当限期关闭拆除。</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基本农田保护区经依法划定后，任何单位和个人不得改变或者占用。禁止任何单位和个人在基本农田保护区内建窑、建房、建坟、挖砂、采石、采矿、取土、堆放固体废弃物或者进行其他破坏基本农田的活动。禁止占用基本农田发展林果业和挖塘养鱼。</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产种质资源保护区：禁止在水产种质资源保护区内从事围河（湖）造田、造地工程。禁止在水产种质资源保护区内新建排污口。在水产种质资源保护区附近新建、改建、扩建排污口，应当保证保护区水体不受污染。四川省境内水产种质资源保护区实行全年禁渔。禁止在水产种质资源保护区内从事捕捞、垂钓、挖砂采石以及其他可能对保护区内生物资源和生态环境造成损害的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生物多样性维护-生态功能区：严格执行《全国主体功能区规划》《全国生态功能区划（修编）》《关于贯彻实施国家主体功能区环境政策的若干意见》等中相关要求，主要要求如下：</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 xml:space="preserve"> -禁止对野生动植物进行滥捕滥采，保持并恢复野生动植物物种和种群的平衡，实现野生动植物资源的良性循环和永续利用。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-禁止对野生动植物进行滥捕、乱采、乱猎；</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-保护自然生态系统与重要物种栖息地，限制或禁止各种损害栖息地的经济社会活动和生产方式，如无序采矿、毁林开荒、湿地和草地开垦、道路建设等，防止生态建设导致栖息环境的改变；</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-加强对外来物种入侵的控制，禁止在生物多样性维护功能区引进外来物种禁止毁林开荒、烧山开荒和陡坡地开垦，合理开发自然资源，保护和恢复自然生态系统，增强区域水土保持能力 禁止生物多样性维护生态功能区的大规模水电开发和林纸一体化产业发展。水源涵养-生态功能区：严格保护具有水源涵养功能的自然植被，禁止过度放牧、无序采矿、毁林开荒、开垦草原等行为。</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-严格保护具有重要水源涵养功能的自然植被，限制或禁止各种损害生态系统水源涵养功能的经济社会活动和生产方式，如无序采矿、毁林开荒、湿地和草地开垦、过度放牧、道路建设等；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控制水污染，减轻水污染负荷，禁止导致水体污染的产业发展，开展生态清洁小流域的建设。禁止高水资源消耗产业布局。水土保持-生态功能区：严禁陡坡垦殖和过度放牧。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-禁止毁林开荒、烧山开荒和陡坡地开垦。</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-禁止在二十五度以上陡坡地开垦种植农作物。</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崩塌、滑坡危险区和泥石流易发区从事取土、挖砂、采石等可能造成水土流失的活动。禁止毁林、毁草开垦和采集发菜。禁止在水土流失重点预防区和重点治理区铲草皮、挖树兜或者滥挖虫草、甘草、麻黄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禁止在生态保护红线区域、永久基本农田集中区域和其他需要特别保护的区域内选址建设尾矿库、冶炼渣库磷石膏库。</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自然保护区：严格限制在长江流域自然保护地水域实施航道整治工程；确需整治的，应当经科学论证，并依法办理相关手续。</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在自然保护区的实验区内开展参观、旅游活动的，由自然保护区管理机构编制方案，方案应当符合自然保护区管理目标。严禁开设与自然保护区保护方向不一致的参观、旅游项目。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湿地公园：（1）在湿地范围内从事旅游、种植、畜牧、水产养殖、航运等利用活动，应当避免改变湿地的自然状况，并采取措施减轻对湿地生态功能的不利影响。（2）地方各级人民政府应当严格控制河流源头和蓄滞洪区、水土流失严重区等区域的湿地开发利用活动，减轻对湿地及其生物多样性的不利影响。（3）地方各级人民政府对省级重要湿地和一般湿地利用活动进行分类指导，鼓励单位和个人开展符合湿地保护要求的生态旅游、生态农业、生态教育、自然体验等活动，适度控制种植养殖等湿地利用规模。（4）国家级湿地自然公园按照一般控制区管理。（5）国家级湿地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饮用水水源保护区：禁止在饮用水水源准保护区内新建、扩建对水体污染严重的建设项目；改建建设项目，不得增加排污量。基本农田：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产种质资源保护区：严格限制在长江流域生态保护红线、自然保护地、水生生物重要栖息地水域实施航道整治工程；确需整治的，应当经科学论证，并依法办理相关手续。生物多样性维护-生态功能区：减少林木采伐，恢复山地植被，保护野生物种。</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源涵养-生态功能区：严格限制在水源涵养区大规模人工造林。严格控制载畜量，实行以草定畜，在农牧交错区提倡农牧结合，发展生态产业，培育替代产业，减轻区内畜牧-提高水源涵养能力。在水源涵养生态功能保护区内，结合已有的生态保护和建设重大工程，加强森林、草地和湿地的管护和恢复，严格监管矿产、水资源开发，严肃查处毁林、毁草、破坏湿地等行为，合理开发水电，提高区域水源涵养生态功能。业对水源和生态系统的压力。</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土保持-生态功能区：限制陡坡垦殖和超载过牧；加强小流域综合治理，实行封山禁牧，恢复退化植被。加强对能源和矿产资源开发及建设项目的监管，加大矿山环境整治修复力度，最大限度地减少人为因素造成新的水土流失。拓宽农民增收渠道，解决农民长远生计，巩固水土流失治理、退耕还林、退牧还草成果。</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-调整产业结构，加速城镇化和新农村建设的进程，加快农业人口的转移，降低人口对生态系统的压力。</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-严格资源开发和建设项目的生态监管，控制新的人为水土流失。</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-水土流失严重、生态脆弱的地区，应当限制或者禁止可能造成水土流失的生产建设活动，严格保护植物、沙壳、结皮、地衣等。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-生产建设项目选址、选线应当避让水土流失重点预防区和重点治理区；无法避让的，应当提高防治标准，优化施工工艺，减少地表扰动和植被损坏范围，有效控制可能造成的水土流失。</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已有矿业权与生态保护红线、自然保护地等禁止或限制开发区域重叠的，要按相关要求主动退出或避让。</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对不符合相关保护区法律法规和规划的项目，应限期整改或关闭。对已造成的污染或损害，应限期治理。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开发建设活动要求：水产种质资源保护区：①在水产种质资源保护区内从事修建水利工程、疏浚航道、建闸筑坝、勘探和开采矿产资源、港口建设等工程建设的，或者在水产种质资源保护区内从事可能损害保护区功能的工程建设活动的，应当按照国家有关规定编制建设项目对水产种质资源保护区的影响专题论证报告，并将其纳入环境影响评价报告书。②开展珍稀特有鱼类人工繁育研究及增殖放流，分别在达州境内的土溪口水库、固军水库、鲜家湾水库建设鱼类增殖放流站一座，并依托已建的四川诺水河珍稀水生动物国家级自然保护区救护中心开展增殖放流。</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以省市下发指标为准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空间布局约束</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禁止开发建设活动的要求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同优先保护单元普适性管控要求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限制开发建设活动的要求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同优先保护单元普适性管控要求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允许开发建设活动的要求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同优先保护单元普适性管控要求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不符合空间布局要求活动的退出要求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同优先保护单元普适性管控要求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其他空间布局约束要求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1"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ZH51172210003</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生态公益林、水源涵养重要区、水土保持功能重要区、生物多样性维护重要区</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态保护红线：生态保护红线内自然保护地核心保护区外，禁止开发性、生产性建设活动，在符合法律法规的前提下，仅允许《关于加强生态保护红线管理的通知（试行）》（自然资发〔2022〕142号）中规定的十类对生态功能不造成破坏的有限人为活动。生态保护红线内自然保护区、风景名胜区、饮用水水源保护区等区域，依照法律法规执行。</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禁止任何人进入自然保护区的核心区。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自然保护区核心区内原有居民确有必要迁出的，由自然保护区所在地的县级以上地方人民政府制定方案，予以妥善安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自然保护区的缓冲区开展旅游和生产经营活动。因教学科学研的目的，需要进入自然保护区的缓冲区从事非破坏性的科学研究、教学实习和标本采集活动的，应当事先向自然保护区管理机构提交申请和活动计划，经自然保护区管理机构批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在自然保护区的实验区内开展参观、旅游活动的，由自然保护区管理机构编制方案，方案应当符合自然保护区管理目标。严禁开设与自然保护区保护方向不一致的参观、旅游项目。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自然保护区内进行砍伐、放牧、狩猎、捕捞、采药、开垦、烧荒、开矿、采石、挖沙等活动（法律、行政法规另有规定除外）。在自然保护区的核心区和缓冲区内，禁止建设任何生产设施。在自然保护区的实验区内，不得建设污染环境、破坏资源或者景观的生产设施；建设其他项目，其污染物排放不得超过国家和地方规定的污染物排放标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自然保护区的内部未分区的，依照本条例有关核心区和缓冲区的规定管理。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风景名胜区：禁止开山、采石、开矿、开荒、修坟立碑等破坏景观、植被和地形地貌的活动；禁止违反风景名胜区规划，在风景名胜区内设立各类开发区和在核心景区内建设宾馆、招待所、培训中心、疗养院以及与风景名胜资源保护无关的其他建筑物；已经建设的，应当按照风景名胜区规划，逐步迁出；禁止风景名胜区内修建储存或者输送爆炸性、易燃性、放射性、毒害性、腐蚀性物品等危险品的设施，或者其他破坏景观、污染环境、妨碍游览和危害风景名胜区生态、公共安全的建筑物和构筑物。在风景名胜区及其外围保护地带内，不得设立开发区、度假区，不得建设破坏景观、污染环境的工矿企业和其他项目、设施。在游人集中的游览区和自然环境保留地内，不得建设旅馆、招待所、休疗养机构、生活区以及其他影响观瞻或污染环境的工程设施。在重要景点上，除必需的保护设施外，不得兴建其他工程设施。禁止超过风景名胜区总体规划确定的容量接待游客。世界自然遗产地：禁止在世界遗产保护范围内实施以下行为：建设污染环境、破坏生态和造成水土流失的设施；在世界遗产核心保护区、保护区范围内进行开山、采石、垦荒、开矿、取土等破坏地表、地貌的活动；在世界遗产核心保护区、保护区范围内修建储存爆炸性、易燃性、放射性、毒害性、腐蚀性等物品设施；在世界遗产核心保护区、保护区设立各类开发区、度假区；在世界遗产核心保护区建设宾馆、招待所、疗养院及各类培训中心等建筑物、构筑物和其他设施；在世界遗产保护区、缓冲区未经省人民政府世界遗产行政主管部门审核进行建设；其他损害或者破坏世界遗产真实性和完整性的行为。饮用水水源保护区：禁止在饮用水水源保护区内，禁止设置排污口。</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禁止在饮用水水源一级保护区内新建、改建、扩建与供水设施和保护水源无关的建设项目；已建成的与供水设施和保护水源无关的建设项目，由县级以上人民政府责令拆除或者关闭。</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禁止在饮用水水源一级保护区内从事网箱养殖、旅游、游泳、垂钓或者其他可能污染饮用水水体的活动。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二级保护区内新建、改建、扩建排放污染物的建设项目；已建成的排放污染物的建设项目，由县级以上人民政府责令拆除或者关闭。禁止在饮用水水源准保护区内新建、扩建对水体污染严重的建设项目；改建建设项目，不得增加排污量。</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表水饮用水水源一级保护区内禁止新建、改建、扩建与供水设施和保护水源无关的建设项目；已建成的与供水设施和保护水源无关的建设项目，由县级以上地方人民政府责令拆除或者关闭；二级保护区内，禁止新建、改建、扩建排放污染物的建设项目；已建成的排放污染物的建设项目，由县级以上地方人民政府责令拆除或者关闭；准保护区内，禁止新建、扩建对水体污染严重的建设项目；改建建设项目，不得增加排污量。</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森林公园：（1）禁止擅自在国家级森林自然公园内从事采矿、房地产、开发区、高尔夫球场、风力光伏电场等不符合管控要求的开发活动。（2）禁止违规侵占国家级森林自然公园，排放不符合水污染物排放标准的工业废水、生活污水及其他的废水、污水，倾倒、堆放、丢弃、遗撒固体废物等污染生态环境的行为。（3）国家级森林自然公园按照一般控制区管理。（4）国家级森林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质公园：禁止在保护区内及可能对地质遗迹造成影响的一定范围内进行采石、取土、开矿、放牧、砍伐以及其它对保护对象有损害的活动。未经管理机构批准，禁止在保护区范围内采集标本和化石。禁止在保护区内修建与地质遗迹保护无关的厂房或其他建筑设施。基本农田：-永久基本农田，实行严格保护，除法律规定的重点建设项目选址确实无法避让外，其他任何建设不得占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-在永久基本农田集中区域，不得新建可能造成土壤污染的建设项目；已经建成的，应当限期关闭拆除。</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基本农田保护区经依法划定后，任何单位和个人不得改变或者占用。禁止任何单位和个人在基本农田保护区内建窑、建房、建坟、挖砂、采石、采矿、取土、堆放固体废弃物或者进行其他破坏基本农田的活动。禁止占用基本农田发展林果业和挖塘养鱼。</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产种质资源保护区：禁止在水产种质资源保护区内从事围河（湖）造田、造地工程。禁止在水产种质资源保护区内新建排污口。在水产种质资源保护区附近新建、改建、扩建排污口，应当保证保护区水体不受污染。四川省境内水产种质资源保护区实行全年禁渔。禁止在水产种质资源保护区内从事捕捞、垂钓、挖砂采石以及其他可能对保护区内生物资源和生态环境造成损害的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生物多样性维护-生态功能区：严格执行《全国主体功能区规划》《全国生态功能区划（修编）》《关于贯彻实施国家主体功能区环境政策的若干意见》等中相关要求，主要要求如下：</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 xml:space="preserve"> -禁止对野生动植物进行滥捕滥采，保持并恢复野生动植物物种和种群的平衡，实现野生动植物资源的良性循环和永续利用。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-禁止对野生动植物进行滥捕、乱采、乱猎；</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-保护自然生态系统与重要物种栖息地，限制或禁止各种损害栖息地的经济社会活动和生产方式，如无序采矿、毁林开荒、湿地和草地开垦、道路建设等，防止生态建设导致栖息环境的改变；</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-加强对外来物种入侵的控制，禁止在生物多样性维护功能区引进外来物种禁止毁林开荒、烧山开荒和陡坡地开垦，合理开发自然资源，保护和恢复自然生态系统，增强区域水土保持能力 禁止生物多样性维护生态功能区的大规模水电开发和林纸一体化产业发展。水源涵养-生态功能区：严格保护具有水源涵养功能的自然植被，禁止过度放牧、无序采矿、毁林开荒、开垦草原等行为。</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-严格保护具有重要水源涵养功能的自然植被，限制或禁止各种损害生态系统水源涵养功能的经济社会活动和生产方式，如无序采矿、毁林开荒、湿地和草地开垦、过度放牧、道路建设等；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控制水污染，减轻水污染负荷，禁止导致水体污染的产业发展，开展生态清洁小流域的建设。禁止高水资源消耗产业布局。水土保持-生态功能区：严禁陡坡垦殖和过度放牧。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-禁止毁林开荒、烧山开荒和陡坡地开垦。</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-禁止在二十五度以上陡坡地开垦种植农作物。</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崩塌、滑坡危险区和泥石流易发区从事取土、挖砂、采石等可能造成水土流失的活动。禁止毁林、毁草开垦和采集发菜。禁止在水土流失重点预防区和重点治理区铲草皮、挖树兜或者滥挖虫草、甘草、麻黄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禁止在生态保护红线区域、永久基本农田集中区域和其他需要特别保护的区域内选址建设尾矿库、冶炼渣库磷石膏库。</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自然保护区：严格限制在长江流域自然保护地水域实施航道整治工程；确需整治的，应当经科学论证，并依法办理相关手续。</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在自然保护区的实验区内开展参观、旅游活动的，由自然保护区管理机构编制方案，方案应当符合自然保护区管理目标。严禁开设与自然保护区保护方向不一致的参观、旅游项目。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湿地公园：（1）在湿地范围内从事旅游、种植、畜牧、水产养殖、航运等利用活动，应当避免改变湿地的自然状况，并采取措施减轻对湿地生态功能的不利影响。（2）地方各级人民政府应当严格控制河流源头和蓄滞洪区、水土流失严重区等区域的湿地开发利用活动，减轻对湿地及其生物多样性的不利影响。（3）地方各级人民政府对省级重要湿地和一般湿地利用活动进行分类指导，鼓励单位和个人开展符合湿地保护要求的生态旅游、生态农业、生态教育、自然体验等活动，适度控制种植养殖等湿地利用规模。（4）国家级湿地自然公园按照一般控制区管理。（5）国家级湿地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饮用水水源保护区：禁止在饮用水水源准保护区内新建、扩建对水体污染严重的建设项目；改建建设项目，不得增加排污量。基本农田：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产种质资源保护区：严格限制在长江流域生态保护红线、自然保护地、水生生物重要栖息地水域实施航道整治工程；确需整治的，应当经科学论证，并依法办理相关手续。生物多样性维护-生态功能区：减少林木采伐，恢复山地植被，保护野生物种。</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源涵养-生态功能区：严格限制在水源涵养区大规模人工造林。严格控制载畜量，实行以草定畜，在农牧交错区提倡农牧结合，发展生态产业，培育替代产业，减轻区内畜牧-提高水源涵养能力。在水源涵养生态功能保护区内，结合已有的生态保护和建设重大工程，加强森林、草地和湿地的管护和恢复，严格监管矿产、水资源开发，严肃查处毁林、毁草、破坏湿地等行为，合理开发水电，提高区域水源涵养生态功能。业对水源和生态系统的压力。</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土保持-生态功能区：限制陡坡垦殖和超载过牧；加强小流域综合治理，实行封山禁牧，恢复退化植被。加强对能源和矿产资源开发及建设项目的监管，加大矿山环境整治修复力度，最大限度地减少人为因素造成新的水土流失。拓宽农民增收渠道，解决农民长远生计，巩固水土流失治理、退耕还林、退牧还草成果。</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-调整产业结构，加速城镇化和新农村建设的进程，加快农业人口的转移，降低人口对生态系统的压力。</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-严格资源开发和建设项目的生态监管，控制新的人为水土流失。</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-水土流失严重、生态脆弱的地区，应当限制或者禁止可能造成水土流失的生产建设活动，严格保护植物、沙壳、结皮、地衣等。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-生产建设项目选址、选线应当避让水土流失重点预防区和重点治理区；无法避让的，应当提高防治标准，优化施工工艺，减少地表扰动和植被损坏范围，有效控制可能造成的水土流失。</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已有矿业权与生态保护红线、自然保护地等禁止或限制开发区域重叠的，要按相关要求主动退出或避让。</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对不符合相关保护区法律法规和规划的项目，应限期整改或关闭。对已造成的污染或损害，应限期治理。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开发建设活动要求：水产种质资源保护区：①在水产种质资源保护区内从事修建水利工程、疏浚航道、建闸筑坝、勘探和开采矿产资源、港口建设等工程建设的，或者在水产种质资源保护区内从事可能损害保护区功能的工程建设活动的，应当按照国家有关规定编制建设项目对水产种质资源保护区的影响专题论证报告，并将其纳入环境影响评价报告书。②开展珍稀特有鱼类人工繁育研究及增殖放流，分别在达州境内的土溪口水库、固军水库、鲜家湾水库建设鱼类增殖放流站一座，并依托已建的四川诺水河珍稀水生动物国家级自然保护区救护中心开展增殖放流。</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以省市下发指标为准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污染物排放管控</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现有源提标升级改造</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新增源等量或倍量替代</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新增源排放标准限值</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污染物排放绩效水平准入要求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其他污染物排放管控要求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9"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ZH51172210003</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生态公益林、水源涵养重要区、水土保持功能重要区、生物多样性维护重要区</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态保护红线：生态保护红线内自然保护地核心保护区外，禁止开发性、生产性建设活动，在符合法律法规的前提下，仅允许《关于加强生态保护红线管理的通知（试行）》（自然资发〔2022〕142号）中规定的十类对生态功能不造成破坏的有限人为活动。生态保护红线内自然保护区、风景名胜区、饮用水水源保护区等区域，依照法律法规执行。</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禁止任何人进入自然保护区的核心区。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自然保护区核心区内原有居民确有必要迁出的，由自然保护区所在地的县级以上地方人民政府制定方案，予以妥善安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自然保护区的缓冲区开展旅游和生产经营活动。因教学科学研的目的，需要进入自然保护区的缓冲区从事非破坏性的科学研究、教学实习和标本采集活动的，应当事先向自然保护区管理机构提交申请和活动计划，经自然保护区管理机构批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在自然保护区的实验区内开展参观、旅游活动的，由自然保护区管理机构编制方案，方案应当符合自然保护区管理目标。严禁开设与自然保护区保护方向不一致的参观、旅游项目。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自然保护区内进行砍伐、放牧、狩猎、捕捞、采药、开垦、烧荒、开矿、采石、挖沙等活动（法律、行政法规另有规定除外）。在自然保护区的核心区和缓冲区内，禁止建设任何生产设施。在自然保护区的实验区内，不得建设污染环境、破坏资源或者景观的生产设施；建设其他项目，其污染物排放不得超过国家和地方规定的污染物排放标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自然保护区的内部未分区的，依照本条例有关核心区和缓冲区的规定管理。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风景名胜区：禁止开山、采石、开矿、开荒、修坟立碑等破坏景观、植被和地形地貌的活动；禁止违反风景名胜区规划，在风景名胜区内设立各类开发区和在核心景区内建设宾馆、招待所、培训中心、疗养院以及与风景名胜资源保护无关的其他建筑物；已经建设的，应当按照风景名胜区规划，逐步迁出；禁止风景名胜区内修建储存或者输送爆炸性、易燃性、放射性、毒害性、腐蚀性物品等危险品的设施，或者其他破坏景观、污染环境、妨碍游览和危害风景名胜区生态、公共安全的建筑物和构筑物。在风景名胜区及其外围保护地带内，不得设立开发区、度假区，不得建设破坏景观、污染环境的工矿企业和其他项目、设施。在游人集中的游览区和自然环境保留地内，不得建设旅馆、招待所、休疗养机构、生活区以及其他影响观瞻或污染环境的工程设施。在重要景点上，除必需的保护设施外，不得兴建其他工程设施。禁止超过风景名胜区总体规划确定的容量接待游客。世界自然遗产地：禁止在世界遗产保护范围内实施以下行为：建设污染环境、破坏生态和造成水土流失的设施；在世界遗产核心保护区、保护区范围内进行开山、采石、垦荒、开矿、取土等破坏地表、地貌的活动；在世界遗产核心保护区、保护区范围内修建储存爆炸性、易燃性、放射性、毒害性、腐蚀性等物品设施；在世界遗产核心保护区、保护区设立各类开发区、度假区；在世界遗产核心保护区建设宾馆、招待所、疗养院及各类培训中心等建筑物、构筑物和其他设施；在世界遗产保护区、缓冲区未经省人民政府世界遗产行政主管部门审核进行建设；其他损害或者破坏世界遗产真实性和完整性的行为。饮用水水源保护区：禁止在饮用水水源保护区内，禁止设置排污口。</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禁止在饮用水水源一级保护区内新建、改建、扩建与供水设施和保护水源无关的建设项目；已建成的与供水设施和保护水源无关的建设项目，由县级以上人民政府责令拆除或者关闭。</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禁止在饮用水水源一级保护区内从事网箱养殖、旅游、游泳、垂钓或者其他可能污染饮用水水体的活动。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二级保护区内新建、改建、扩建排放污染物的建设项目；已建成的排放污染物的建设项目，由县级以上人民政府责令拆除或者关闭。禁止在饮用水水源准保护区内新建、扩建对水体污染严重的建设项目；改建建设项目，不得增加排污量。</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表水饮用水水源一级保护区内禁止新建、改建、扩建与供水设施和保护水源无关的建设项目；已建成的与供水设施和保护水源无关的建设项目，由县级以上地方人民政府责令拆除或者关闭；二级保护区内，禁止新建、改建、扩建排放污染物的建设项目；已建成的排放污染物的建设项目，由县级以上地方人民政府责令拆除或者关闭；准保护区内，禁止新建、扩建对水体污染严重的建设项目；改建建设项目，不得增加排污量。</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森林公园：（1）禁止擅自在国家级森林自然公园内从事采矿、房地产、开发区、高尔夫球场、风力光伏电场等不符合管控要求的开发活动。（2）禁止违规侵占国家级森林自然公园，排放不符合水污染物排放标准的工业废水、生活污水及其他的废水、污水，倾倒、堆放、丢弃、遗撒固体废物等污染生态环境的行为。（3）国家级森林自然公园按照一般控制区管理。（4）国家级森林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质公园：禁止在保护区内及可能对地质遗迹造成影响的一定范围内进行采石、取土、开矿、放牧、砍伐以及其它对保护对象有损害的活动。未经管理机构批准，禁止在保护区范围内采集标本和化石。禁止在保护区内修建与地质遗迹保护无关的厂房或其他建筑设施。基本农田：-永久基本农田，实行严格保护，除法律规定的重点建设项目选址确实无法避让外，其他任何建设不得占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-在永久基本农田集中区域，不得新建可能造成土壤污染的建设项目；已经建成的，应当限期关闭拆除。</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基本农田保护区经依法划定后，任何单位和个人不得改变或者占用。禁止任何单位和个人在基本农田保护区内建窑、建房、建坟、挖砂、采石、采矿、取土、堆放固体废弃物或者进行其他破坏基本农田的活动。禁止占用基本农田发展林果业和挖塘养鱼。</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产种质资源保护区：禁止在水产种质资源保护区内从事围河（湖）造田、造地工程。禁止在水产种质资源保护区内新建排污口。在水产种质资源保护区附近新建、改建、扩建排污口，应当保证保护区水体不受污染。四川省境内水产种质资源保护区实行全年禁渔。禁止在水产种质资源保护区内从事捕捞、垂钓、挖砂采石以及其他可能对保护区内生物资源和生态环境造成损害的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生物多样性维护-生态功能区：严格执行《全国主体功能区规划》《全国生态功能区划（修编）》《关于贯彻实施国家主体功能区环境政策的若干意见》等中相关要求，主要要求如下：</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 xml:space="preserve"> -禁止对野生动植物进行滥捕滥采，保持并恢复野生动植物物种和种群的平衡，实现野生动植物资源的良性循环和永续利用。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-禁止对野生动植物进行滥捕、乱采、乱猎；</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-保护自然生态系统与重要物种栖息地，限制或禁止各种损害栖息地的经济社会活动和生产方式，如无序采矿、毁林开荒、湿地和草地开垦、道路建设等，防止生态建设导致栖息环境的改变；</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-加强对外来物种入侵的控制，禁止在生物多样性维护功能区引进外来物种禁止毁林开荒、烧山开荒和陡坡地开垦，合理开发自然资源，保护和恢复自然生态系统，增强区域水土保持能力 禁止生物多样性维护生态功能区的大规模水电开发和林纸一体化产业发展。水源涵养-生态功能区：严格保护具有水源涵养功能的自然植被，禁止过度放牧、无序采矿、毁林开荒、开垦草原等行为。</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-严格保护具有重要水源涵养功能的自然植被，限制或禁止各种损害生态系统水源涵养功能的经济社会活动和生产方式，如无序采矿、毁林开荒、湿地和草地开垦、过度放牧、道路建设等；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控制水污染，减轻水污染负荷，禁止导致水体污染的产业发展，开展生态清洁小流域的建设。禁止高水资源消耗产业布局。水土保持-生态功能区：严禁陡坡垦殖和过度放牧。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-禁止毁林开荒、烧山开荒和陡坡地开垦。</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-禁止在二十五度以上陡坡地开垦种植农作物。</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崩塌、滑坡危险区和泥石流易发区从事取土、挖砂、采石等可能造成水土流失的活动。禁止毁林、毁草开垦和采集发菜。禁止在水土流失重点预防区和重点治理区铲草皮、挖树兜或者滥挖虫草、甘草、麻黄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禁止在生态保护红线区域、永久基本农田集中区域和其他需要特别保护的区域内选址建设尾矿库、冶炼渣库磷石膏库。</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自然保护区：严格限制在长江流域自然保护地水域实施航道整治工程；确需整治的，应当经科学论证，并依法办理相关手续。</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在自然保护区的实验区内开展参观、旅游活动的，由自然保护区管理机构编制方案，方案应当符合自然保护区管理目标。严禁开设与自然保护区保护方向不一致的参观、旅游项目。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湿地公园：（1）在湿地范围内从事旅游、种植、畜牧、水产养殖、航运等利用活动，应当避免改变湿地的自然状况，并采取措施减轻对湿地生态功能的不利影响。（2）地方各级人民政府应当严格控制河流源头和蓄滞洪区、水土流失严重区等区域的湿地开发利用活动，减轻对湿地及其生物多样性的不利影响。（3）地方各级人民政府对省级重要湿地和一般湿地利用活动进行分类指导，鼓励单位和个人开展符合湿地保护要求的生态旅游、生态农业、生态教育、自然体验等活动，适度控制种植养殖等湿地利用规模。（4）国家级湿地自然公园按照一般控制区管理。（5）国家级湿地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饮用水水源保护区：禁止在饮用水水源准保护区内新建、扩建对水体污染严重的建设项目；改建建设项目，不得增加排污量。基本农田：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产种质资源保护区：严格限制在长江流域生态保护红线、自然保护地、水生生物重要栖息地水域实施航道整治工程；确需整治的，应当经科学论证，并依法办理相关手续。生物多样性维护-生态功能区：减少林木采伐，恢复山地植被，保护野生物种。</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源涵养-生态功能区：严格限制在水源涵养区大规模人工造林。严格控制载畜量，实行以草定畜，在农牧交错区提倡农牧结合，发展生态产业，培育替代产业，减轻区内畜牧-提高水源涵养能力。在水源涵养生态功能保护区内，结合已有的生态保护和建设重大工程，加强森林、草地和湿地的管护和恢复，严格监管矿产、水资源开发，严肃查处毁林、毁草、破坏湿地等行为，合理开发水电，提高区域水源涵养生态功能。业对水源和生态系统的压力。</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土保持-生态功能区：限制陡坡垦殖和超载过牧；加强小流域综合治理，实行封山禁牧，恢复退化植被。加强对能源和矿产资源开发及建设项目的监管，加大矿山环境整治修复力度，最大限度地减少人为因素造成新的水土流失。拓宽农民增收渠道，解决农民长远生计，巩固水土流失治理、退耕还林、退牧还草成果。</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-调整产业结构，加速城镇化和新农村建设的进程，加快农业人口的转移，降低人口对生态系统的压力。</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-严格资源开发和建设项目的生态监管，控制新的人为水土流失。</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-水土流失严重、生态脆弱的地区，应当限制或者禁止可能造成水土流失的生产建设活动，严格保护植物、沙壳、结皮、地衣等。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-生产建设项目选址、选线应当避让水土流失重点预防区和重点治理区；无法避让的，应当提高防治标准，优化施工工艺，减少地表扰动和植被损坏范围，有效控制可能造成的水土流失。</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已有矿业权与生态保护红线、自然保护地等禁止或限制开发区域重叠的，要按相关要求主动退出或避让。</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对不符合相关保护区法律法规和规划的项目，应限期整改或关闭。对已造成的污染或损害，应限期治理。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开发建设活动要求：水产种质资源保护区：①在水产种质资源保护区内从事修建水利工程、疏浚航道、建闸筑坝、勘探和开采矿产资源、港口建设等工程建设的，或者在水产种质资源保护区内从事可能损害保护区功能的工程建设活动的，应当按照国家有关规定编制建设项目对水产种质资源保护区的影响专题论证报告，并将其纳入环境影响评价报告书。②开展珍稀特有鱼类人工繁育研究及增殖放流，分别在达州境内的土溪口水库、固军水库、鲜家湾水库建设鱼类增殖放流站一座，并依托已建的四川诺水河珍稀水生动物国家级自然保护区救护中心开展增殖放流。</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以省市下发指标为准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环境风险防控</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严格管控类农用地管控要求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安全利用类农用地管控要求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污染地块管控要求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园区环境风险防控要求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企业环境风险防控要求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其他环境风险防控要求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1" w:hRule="atLeast"/>
          <w:jc w:val="center"/>
        </w:trPr>
        <w:tc>
          <w:tcPr>
            <w:tcW w:w="973"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ZH51172210003</w:t>
            </w:r>
          </w:p>
        </w:tc>
        <w:tc>
          <w:tcPr>
            <w:tcW w:w="1490" w:type="dxa"/>
            <w:vMerge w:val="continue"/>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生态公益林、水源涵养重要区、水土保持功能重要区、生物多样性维护重要区</w:t>
            </w:r>
          </w:p>
        </w:tc>
        <w:tc>
          <w:tcPr>
            <w:tcW w:w="4270" w:type="dxa"/>
            <w:vMerge w:val="continue"/>
            <w:noWrap w:val="0"/>
            <w:vAlign w:val="top"/>
          </w:tcPr>
          <w:p>
            <w:pPr>
              <w:pStyle w:val="84"/>
              <w:widowControl w:val="0"/>
              <w:spacing w:line="240" w:lineRule="auto"/>
              <w:ind w:firstLine="0" w:firstLineChars="0"/>
              <w:jc w:val="both"/>
              <w:rPr>
                <w:rStyle w:val="28"/>
                <w:rFonts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空间布局约束：</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态保护红线：生态保护红线内自然保护地核心保护区外，禁止开发性、生产性建设活动，在符合法律法规的前提下，仅允许《关于加强生态保护红线管理的通知（试行）》（自然资发〔2022〕142号）中规定的十类对生态功能不造成破坏的有限人为活动。生态保护红线内自然保护区、风景名胜区、饮用水水源保护区等区域，依照法律法规执行。</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禁止任何人进入自然保护区的核心区。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自然保护区核心区内原有居民确有必要迁出的，由自然保护区所在地的县级以上地方人民政府制定方案，予以妥善安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自然保护区的缓冲区开展旅游和生产经营活动。因教学科学研的目的，需要进入自然保护区的缓冲区从事非破坏性的科学研究、教学实习和标本采集活动的，应当事先向自然保护区管理机构提交申请和活动计划，经自然保护区管理机构批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在自然保护区的实验区内开展参观、旅游活动的，由自然保护区管理机构编制方案，方案应当符合自然保护区管理目标。严禁开设与自然保护区保护方向不一致的参观、旅游项目。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自然保护区内进行砍伐、放牧、狩猎、捕捞、采药、开垦、烧荒、开矿、采石、挖沙等活动（法律、行政法规另有规定除外）。在自然保护区的核心区和缓冲区内，禁止建设任何生产设施。在自然保护区的实验区内，不得建设污染环境、破坏资源或者景观的生产设施；建设其他项目，其污染物排放不得超过国家和地方规定的污染物排放标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自然保护区的内部未分区的，依照本条例有关核心区和缓冲区的规定管理。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风景名胜区：禁止开山、采石、开矿、开荒、修坟立碑等破坏景观、植被和地形地貌的活动；禁止违反风景名胜区规划，在风景名胜区内设立各类开发区和在核心景区内建设宾馆、招待所、培训中心、疗养院以及与风景名胜资源保护无关的其他建筑物；已经建设的，应当按照风景名胜区规划，逐步迁出；禁止风景名胜区内修建储存或者输送爆炸性、易燃性、放射性、毒害性、腐蚀性物品等危险品的设施，或者其他破坏景观、污染环境、妨碍游览和危害风景名胜区生态、公共安全的建筑物和构筑物。在风景名胜区及其外围保护地带内，不得设立开发区、度假区，不得建设破坏景观、污染环境的工矿企业和其他项目、设施。在游人集中的游览区和自然环境保留地内，不得建设旅馆、招待所、休疗养机构、生活区以及其他影响观瞻或污染环境的工程设施。在重要景点上，除必需的保护设施外，不得兴建其他工程设施。禁止超过风景名胜区总体规划确定的容量接待游客。世界自然遗产地：禁止在世界遗产保护范围内实施以下行为：建设污染环境、破坏生态和造成水土流失的设施；在世界遗产核心保护区、保护区范围内进行开山、采石、垦荒、开矿、取土等破坏地表、地貌的活动；在世界遗产核心保护区、保护区范围内修建储存爆炸性、易燃性、放射性、毒害性、腐蚀性等物品设施；在世界遗产核心保护区、保护区设立各类开发区、度假区；在世界遗产核心保护区建设宾馆、招待所、疗养院及各类培训中心等建筑物、构筑物和其他设施；在世界遗产保护区、缓冲区未经省人民政府世界遗产行政主管部门审核进行建设；其他损害或者破坏世界遗产真实性和完整性的行为。饮用水水源保护区：禁止在饮用水水源保护区内，禁止设置排污口。</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禁止在饮用水水源一级保护区内新建、改建、扩建与供水设施和保护水源无关的建设项目；已建成的与供水设施和保护水源无关的建设项目，由县级以上人民政府责令拆除或者关闭。</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禁止在饮用水水源一级保护区内从事网箱养殖、旅游、游泳、垂钓或者其他可能污染饮用水水体的活动。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饮用水水源二级保护区内新建、改建、扩建排放污染物的建设项目；已建成的排放污染物的建设项目，由县级以上人民政府责令拆除或者关闭。禁止在饮用水水源准保护区内新建、扩建对水体污染严重的建设项目；改建建设项目，不得增加排污量。</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表水饮用水水源一级保护区内禁止新建、改建、扩建与供水设施和保护水源无关的建设项目；已建成的与供水设施和保护水源无关的建设项目，由县级以上地方人民政府责令拆除或者关闭；二级保护区内，禁止新建、改建、扩建排放污染物的建设项目；已建成的排放污染物的建设项目，由县级以上地方人民政府责令拆除或者关闭；准保护区内，禁止新建、扩建对水体污染严重的建设项目；改建建设项目，不得增加排污量。</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森林公园：（1）禁止擅自在国家级森林自然公园内从事采矿、房地产、开发区、高尔夫球场、风力光伏电场等不符合管控要求的开发活动。（2）禁止违规侵占国家级森林自然公园，排放不符合水污染物排放标准的工业废水、生活污水及其他的废水、污水，倾倒、堆放、丢弃、遗撒固体废物等污染生态环境的行为。（3）国家级森林自然公园按照一般控制区管理。（4）国家级森林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质公园：禁止在保护区内及可能对地质遗迹造成影响的一定范围内进行采石、取土、开矿、放牧、砍伐以及其它对保护对象有损害的活动。未经管理机构批准，禁止在保护区范围内采集标本和化石。禁止在保护区内修建与地质遗迹保护无关的厂房或其他建筑设施。基本农田：-永久基本农田，实行严格保护，除法律规定的重点建设项目选址确实无法避让外，其他任何建设不得占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-在永久基本农田集中区域，不得新建可能造成土壤污染的建设项目；已经建成的，应当限期关闭拆除。</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基本农田保护区经依法划定后，任何单位和个人不得改变或者占用。禁止任何单位和个人在基本农田保护区内建窑、建房、建坟、挖砂、采石、采矿、取土、堆放固体废弃物或者进行其他破坏基本农田的活动。禁止占用基本农田发展林果业和挖塘养鱼。</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产种质资源保护区：禁止在水产种质资源保护区内从事围河（湖）造田、造地工程。禁止在水产种质资源保护区内新建排污口。在水产种质资源保护区附近新建、改建、扩建排污口，应当保证保护区水体不受污染。四川省境内水产种质资源保护区实行全年禁渔。禁止在水产种质资源保护区内从事捕捞、垂钓、挖砂采石以及其他可能对保护区内生物资源和生态环境造成损害的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生物多样性维护-生态功能区：严格执行《全国主体功能区规划》《全国生态功能区划（修编）》《关于贯彻实施国家主体功能区环境政策的若干意见》等中相关要求，主要要求如下：</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 xml:space="preserve"> -禁止对野生动植物进行滥捕滥采，保持并恢复野生动植物物种和种群的平衡，实现野生动植物资源的良性循环和永续利用。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-禁止对野生动植物进行滥捕、乱采、乱猎；</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-保护自然生态系统与重要物种栖息地，限制或禁止各种损害栖息地的经济社会活动和生产方式，如无序采矿、毁林开荒、湿地和草地开垦、道路建设等，防止生态建设导致栖息环境的改变；</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-加强对外来物种入侵的控制，禁止在生物多样性维护功能区引进外来物种禁止毁林开荒、烧山开荒和陡坡地开垦，合理开发自然资源，保护和恢复自然生态系统，增强区域水土保持能力 禁止生物多样性维护生态功能区的大规模水电开发和林纸一体化产业发展。水源涵养-生态功能区：严格保护具有水源涵养功能的自然植被，禁止过度放牧、无序采矿、毁林开荒、开垦草原等行为。</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-严格保护具有重要水源涵养功能的自然植被，限制或禁止各种损害生态系统水源涵养功能的经济社会活动和生产方式，如无序采矿、毁林开荒、湿地和草地开垦、过度放牧、道路建设等；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控制水污染，减轻水污染负荷，禁止导致水体污染的产业发展，开展生态清洁小流域的建设。禁止高水资源消耗产业布局。水土保持-生态功能区：严禁陡坡垦殖和过度放牧。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-禁止毁林开荒、烧山开荒和陡坡地开垦。</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-禁止在二十五度以上陡坡地开垦种植农作物。</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崩塌、滑坡危险区和泥石流易发区从事取土、挖砂、采石等可能造成水土流失的活动。禁止毁林、毁草开垦和采集发菜。禁止在水土流失重点预防区和重点治理区铲草皮、挖树兜或者滥挖虫草、甘草、麻黄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禁止在生态保护红线区域、永久基本农田集中区域和其他需要特别保护的区域内选址建设尾矿库、冶炼渣库磷石膏库。</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限制开发建设活动的要求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自然保护区：严格限制在长江流域自然保护地水域实施航道整治工程；确需整治的，应当经科学论证，并依法办理相关手续。</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在自然保护区的实验区内开展参观、旅游活动的，由自然保护区管理机构编制方案，方案应当符合自然保护区管理目标。严禁开设与自然保护区保护方向不一致的参观、旅游项目。</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湿地公园：（1）在湿地范围内从事旅游、种植、畜牧、水产养殖、航运等利用活动，应当避免改变湿地的自然状况，并采取措施减轻对湿地生态功能的不利影响。（2）地方各级人民政府应当严格控制河流源头和蓄滞洪区、水土流失严重区等区域的湿地开发利用活动，减轻对湿地及其生物多样性的不利影响。（3）地方各级人民政府对省级重要湿地和一般湿地利用活动进行分类指导，鼓励单位和个人开展符合湿地保护要求的生态旅游、生态农业、生态教育、自然体验等活动，适度控制种植养殖等湿地利用规模。（4）国家级湿地自然公园按照一般控制区管理。（5）国家级湿地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饮用水水源保护区：禁止在饮用水水源准保护区内新建、扩建对水体污染严重的建设项目；改建建设项目，不得增加排污量。基本农田：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产种质资源保护区：严格限制在长江流域生态保护红线、自然保护地、水生生物重要栖息地水域实施航道整治工程；确需整治的，应当经科学论证，并依法办理相关手续。生物多样性维护-生态功能区：减少林木采伐，恢复山地植被，保护野生物种。</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源涵养-生态功能区：严格限制在水源涵养区大规模人工造林。严格控制载畜量，实行以草定畜，在农牧交错区提倡农牧结合，发展生态产业，培育替代产业，减轻区内畜牧-提高水源涵养能力。在水源涵养生态功能保护区内，结合已有的生态保护和建设重大工程，加强森林、草地和湿地的管护和恢复，严格监管矿产、水资源开发，严肃查处毁林、毁草、破坏湿地等行为，合理开发水电，提高区域水源涵养生态功能。业对水源和生态系统的压力。</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土保持-生态功能区：限制陡坡垦殖和超载过牧；加强小流域综合治理，实行封山禁牧，恢复退化植被。加强对能源和矿产资源开发及建设项目的监管，加大矿山环境整治修复力度，最大限度地减少人为因素造成新的水土流失。拓宽农民增收渠道，解决农民长远生计，巩固水土流失治理、退耕还林、退牧还草成果。</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-调整产业结构，加速城镇化和新农村建设的进程，加快农业人口的转移，降低人口对生态系统的压力。</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-严格资源开发和建设项目的生态监管，控制新的人为水土流失。</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-水土流失严重、生态脆弱的地区，应当限制或者禁止可能造成水土流失的生产建设活动，严格保护植物、沙壳、结皮、地衣等。</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-生产建设项目选址、选线应当避让水土流失重点预防区和重点治理区；无法避让的，应当提高防治标准，优化施工工艺，减少地表扰动和植被损坏范围，有效控制可能造成的水土流失。</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不符合空间布局要求活动的退出要求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已有矿业权与生态保护红线、自然保护地等禁止或限制开发区域重叠的，要按相关要求主动退出或避让。</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对不符合相关保护区法律法规和规划的项目，应限期整改或关闭。对已造成的污染或损害，应限期治理。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其他空间布局约束要求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开发建设活动要求：水产种质资源保护区：①在水产种质资源保护区内从事修建水利工程、疏浚航道、建闸筑坝、勘探和开采矿产资源、港口建设等工程建设的，或者在水产种质资源保护区内从事可能损害保护区功能的工程建设活动的，应当按照国家有关规定编制建设项目对水产种质资源保护区的影响专题论证报告，并将其纳入环境影响评价报告书。②开展珍稀特有鱼类人工繁育研究及增殖放流，分别在达州境内的土溪口水库、固军水库、鲜家湾水库建设鱼类增殖放流站一座，并依托已建的四川诺水河珍稀水生动物国家级自然保护区救护中心开展增殖放流。</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污染物排放管控：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允许排放量要求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现有源提标升级改造</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其他污染物排放管控要求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环境风险防控：</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联防联控要求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其他环境风险防控要求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资源开发利用效率要求：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水资源利用总量要求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地下水开采要求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以省市下发指标为准</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能源利用总量及效率要求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禁燃区要求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其他资源利用效率要求</w:t>
            </w:r>
          </w:p>
          <w:p>
            <w:pPr>
              <w:pStyle w:val="84"/>
              <w:widowControl w:val="0"/>
              <w:spacing w:line="240" w:lineRule="auto"/>
              <w:ind w:firstLine="0" w:firstLineChars="0"/>
              <w:jc w:val="both"/>
              <w:rPr>
                <w:rStyle w:val="28"/>
                <w:rFonts w:hint="eastAsia" w:ascii="宋体" w:hAnsi="宋体" w:eastAsia="宋体" w:cs="宋体"/>
                <w:color w:val="000000"/>
                <w:kern w:val="0"/>
                <w:sz w:val="21"/>
                <w:szCs w:val="21"/>
                <w:lang w:val="en-US" w:eastAsia="zh-CN" w:bidi="ar-SA"/>
              </w:rPr>
            </w:pPr>
            <w:r>
              <w:rPr>
                <w:rStyle w:val="28"/>
                <w:rFonts w:hint="eastAsia" w:ascii="宋体" w:hAnsi="宋体" w:eastAsia="宋体" w:cs="宋体"/>
                <w:color w:val="000000"/>
                <w:kern w:val="0"/>
                <w:sz w:val="21"/>
                <w:szCs w:val="21"/>
                <w:lang w:val="en-US" w:eastAsia="zh-CN" w:bidi="ar-SA"/>
              </w:rPr>
              <w:t>△</w:t>
            </w:r>
          </w:p>
        </w:tc>
        <w:tc>
          <w:tcPr>
            <w:tcW w:w="1488" w:type="dxa"/>
            <w:noWrap w:val="0"/>
            <w:vAlign w:val="center"/>
          </w:tcPr>
          <w:p>
            <w:pPr>
              <w:pStyle w:val="84"/>
              <w:widowControl/>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资源开发效率要求</w:t>
            </w:r>
          </w:p>
        </w:tc>
        <w:tc>
          <w:tcPr>
            <w:tcW w:w="3566" w:type="dxa"/>
            <w:noWrap w:val="0"/>
            <w:vAlign w:val="center"/>
          </w:tcPr>
          <w:p>
            <w:pPr>
              <w:pStyle w:val="84"/>
              <w:widowControl/>
              <w:shd w:val="clear" w:color="auto" w:fill="FFFFFF"/>
              <w:spacing w:line="240" w:lineRule="auto"/>
              <w:ind w:firstLine="0" w:firstLineChars="0"/>
              <w:jc w:val="left"/>
              <w:rPr>
                <w:rStyle w:val="28"/>
                <w:rFonts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水资源利用效率要求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地下水开采要求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能源利用效率要求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其他资源利用效率要求</w:t>
            </w:r>
          </w:p>
          <w:p>
            <w:pPr>
              <w:pStyle w:val="84"/>
              <w:widowControl/>
              <w:shd w:val="clear" w:color="auto" w:fill="FFFFFF"/>
              <w:spacing w:line="240" w:lineRule="auto"/>
              <w:ind w:firstLine="0" w:firstLineChars="0"/>
              <w:jc w:val="left"/>
              <w:rPr>
                <w:rStyle w:val="28"/>
                <w:rFonts w:hint="eastAsia"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c>
          <w:tcPr>
            <w:tcW w:w="1450" w:type="dxa"/>
            <w:noWrap w:val="0"/>
            <w:vAlign w:val="center"/>
          </w:tcPr>
          <w:p>
            <w:pPr>
              <w:pStyle w:val="84"/>
              <w:widowControl/>
              <w:shd w:val="clear" w:color="auto" w:fill="FFFFFF"/>
              <w:spacing w:line="240" w:lineRule="auto"/>
              <w:ind w:firstLine="0" w:firstLineChars="0"/>
              <w:jc w:val="left"/>
              <w:rPr>
                <w:rStyle w:val="28"/>
                <w:rFonts w:hint="default" w:ascii="宋体" w:hAnsi="宋体" w:eastAsia="宋体" w:cs="Times New Roman"/>
                <w:kern w:val="2"/>
                <w:sz w:val="21"/>
                <w:szCs w:val="21"/>
                <w:lang w:val="en-US" w:eastAsia="zh-CN" w:bidi="ar-SA"/>
              </w:rPr>
            </w:pPr>
            <w:r>
              <w:rPr>
                <w:rStyle w:val="28"/>
                <w:rFonts w:hint="eastAsia" w:ascii="宋体" w:hAnsi="宋体" w:eastAsia="宋体" w:cs="Times New Roman"/>
                <w:kern w:val="2"/>
                <w:sz w:val="21"/>
                <w:szCs w:val="21"/>
                <w:lang w:val="en-US" w:eastAsia="zh-CN" w:bidi="ar-SA"/>
              </w:rPr>
              <w:t>/</w:t>
            </w:r>
          </w:p>
        </w:tc>
      </w:tr>
    </w:tbl>
    <w:p>
      <w:pPr>
        <w:adjustRightInd w:val="0"/>
        <w:snapToGrid w:val="0"/>
        <w:spacing w:line="288" w:lineRule="auto"/>
        <w:jc w:val="both"/>
        <w:rPr>
          <w:rFonts w:hint="eastAsia"/>
          <w:b/>
          <w:bCs/>
          <w:lang w:val="en-US" w:eastAsia="zh-CN"/>
        </w:rPr>
        <w:sectPr>
          <w:pgSz w:w="16838" w:h="11906" w:orient="landscape"/>
          <w:pgMar w:top="1080" w:right="1440" w:bottom="1080" w:left="1440" w:header="851" w:footer="992" w:gutter="0"/>
          <w:cols w:space="425" w:num="1"/>
          <w:docGrid w:type="lines" w:linePitch="312" w:charSpace="0"/>
        </w:sectPr>
      </w:pPr>
    </w:p>
    <w:tbl>
      <w:tblPr>
        <w:tblStyle w:val="27"/>
        <w:tblW w:w="9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4"/>
        <w:gridCol w:w="8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834" w:type="dxa"/>
          </w:tcPr>
          <w:p>
            <w:pPr>
              <w:pStyle w:val="15"/>
              <w:ind w:firstLine="0"/>
              <w:rPr>
                <w:rFonts w:ascii="Times New Roman" w:hAnsi="Times New Roman" w:cs="Times New Roman"/>
              </w:rPr>
            </w:pPr>
            <w:r>
              <w:rPr>
                <w:sz w:val="24"/>
              </w:rPr>
              <mc:AlternateContent>
                <mc:Choice Requires="wps">
                  <w:drawing>
                    <wp:anchor distT="0" distB="0" distL="114300" distR="114300" simplePos="0" relativeHeight="251748352" behindDoc="0" locked="0" layoutInCell="1" allowOverlap="1">
                      <wp:simplePos x="0" y="0"/>
                      <wp:positionH relativeFrom="column">
                        <wp:posOffset>337185</wp:posOffset>
                      </wp:positionH>
                      <wp:positionV relativeFrom="paragraph">
                        <wp:posOffset>1481455</wp:posOffset>
                      </wp:positionV>
                      <wp:extent cx="1704340" cy="637540"/>
                      <wp:effectExtent l="6350" t="6350" r="518160" b="80010"/>
                      <wp:wrapNone/>
                      <wp:docPr id="144" name="矩形标注 144"/>
                      <wp:cNvGraphicFramePr/>
                      <a:graphic xmlns:a="http://schemas.openxmlformats.org/drawingml/2006/main">
                        <a:graphicData uri="http://schemas.microsoft.com/office/word/2010/wordprocessingShape">
                          <wps:wsp>
                            <wps:cNvSpPr/>
                            <wps:spPr>
                              <a:xfrm>
                                <a:off x="0" y="0"/>
                                <a:ext cx="1704340" cy="637540"/>
                              </a:xfrm>
                              <a:prstGeom prst="wedgeRectCallout">
                                <a:avLst>
                                  <a:gd name="adj1" fmla="val 77533"/>
                                  <a:gd name="adj2" fmla="val 58067"/>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lang w:val="en-US" w:eastAsia="zh-CN"/>
                                    </w:rPr>
                                  </w:pPr>
                                  <w:r>
                                    <w:rPr>
                                      <w:rFonts w:hint="eastAsia"/>
                                      <w:lang w:val="en-US" w:eastAsia="zh-CN"/>
                                    </w:rPr>
                                    <w:t>九军坪新建管道距离二级饮用水源保护区最近点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55pt;margin-top:116.65pt;height:50.2pt;width:134.2pt;z-index:251748352;v-text-anchor:middle;mso-width-relative:page;mso-height-relative:page;" fillcolor="#5B9BD5 [3204]" filled="t" stroked="t" coordsize="21600,21600" o:gfxdata="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sHX4QdgAAAAKAQAA&#10;DwAAAAAAAAABACAAAAAiAAAAZHJzL2Rvd25yZXYueG1sUEsBAhQAFAAAAAgAh07iQDnaN67EAgAA&#10;iAUAAA4AAAAAAAAAAQAgAAAAJwEAAGRycy9lMm9Eb2MueG1sUEsFBgAAAAAGAAYAWQEAAF0GAAAA&#10;AA==&#10;" adj="27547,23342">
                      <v:fill on="t" focussize="0,0"/>
                      <v:stroke weight="1pt" color="#2E75B6 [2404]" miterlimit="8" joinstyle="miter"/>
                      <v:imagedata o:title=""/>
                      <o:lock v:ext="edit" aspectratio="f"/>
                      <v:textbox>
                        <w:txbxContent>
                          <w:p>
                            <w:pPr>
                              <w:jc w:val="center"/>
                              <w:rPr>
                                <w:rFonts w:hint="default" w:eastAsiaTheme="minorEastAsia"/>
                                <w:lang w:val="en-US" w:eastAsia="zh-CN"/>
                              </w:rPr>
                            </w:pPr>
                            <w:r>
                              <w:rPr>
                                <w:rFonts w:hint="eastAsia"/>
                                <w:lang w:val="en-US" w:eastAsia="zh-CN"/>
                              </w:rPr>
                              <w:t>九军坪新建管道距离二级饮用水源保护区最近点</w:t>
                            </w:r>
                          </w:p>
                        </w:txbxContent>
                      </v:textbox>
                    </v:shape>
                  </w:pict>
                </mc:Fallback>
              </mc:AlternateContent>
            </w:r>
            <w:r>
              <w:rPr>
                <w:rFonts w:ascii="Times New Roman" w:hAnsi="Times New Roman" w:cs="Times New Roman"/>
                <w:b w:val="0"/>
                <w:bCs w:val="0"/>
                <w:sz w:val="24"/>
              </w:rPr>
              <w:t>其他符合性分析</w:t>
            </w:r>
          </w:p>
        </w:tc>
        <w:tc>
          <w:tcPr>
            <w:tcW w:w="8128" w:type="dxa"/>
          </w:tcPr>
          <w:p>
            <w:pPr>
              <w:adjustRightInd w:val="0"/>
              <w:snapToGrid w:val="0"/>
              <w:spacing w:line="360" w:lineRule="auto"/>
              <w:rPr>
                <w:rFonts w:hint="default" w:ascii="Times New Roman" w:hAnsi="Times New Roman" w:cs="Times New Roman"/>
                <w:b/>
                <w:color w:val="000000" w:themeColor="text1"/>
                <w:kern w:val="0"/>
                <w:sz w:val="24"/>
                <w:szCs w:val="24"/>
                <w:lang w:val="en-US"/>
                <w14:textFill>
                  <w14:solidFill>
                    <w14:schemeClr w14:val="tx1"/>
                  </w14:solidFill>
                </w14:textFill>
              </w:rPr>
            </w:pPr>
            <w:r>
              <w:rPr>
                <w:rFonts w:hint="eastAsia" w:ascii="Times New Roman" w:hAnsi="Times New Roman" w:cs="Times New Roman"/>
                <w:b/>
                <w:color w:val="000000" w:themeColor="text1"/>
                <w:kern w:val="0"/>
                <w:sz w:val="24"/>
                <w:szCs w:val="24"/>
                <w:lang w:val="en-US" w:eastAsia="zh-CN"/>
                <w14:textFill>
                  <w14:solidFill>
                    <w14:schemeClr w14:val="tx1"/>
                  </w14:solidFill>
                </w14:textFill>
              </w:rPr>
              <w:t>5、与宣汉县集中式饮用水源关系</w:t>
            </w:r>
          </w:p>
          <w:p>
            <w:pPr>
              <w:adjustRightInd w:val="0"/>
              <w:snapToGrid w:val="0"/>
              <w:spacing w:line="360" w:lineRule="auto"/>
              <w:ind w:firstLine="480" w:firstLineChars="200"/>
              <w:rPr>
                <w:rFonts w:hint="default" w:ascii="Times New Roman" w:hAnsi="Times New Roman" w:cs="Times New Roman" w:eastAsiaTheme="minorEastAsia"/>
                <w:kern w:val="0"/>
                <w:sz w:val="24"/>
                <w:szCs w:val="24"/>
                <w:lang w:val="en-US" w:eastAsia="zh-CN"/>
              </w:rPr>
            </w:pPr>
            <w:r>
              <w:rPr>
                <w:rFonts w:hint="eastAsia" w:ascii="Times New Roman" w:hAnsi="Times New Roman" w:cs="Times New Roman"/>
                <w:color w:val="000000" w:themeColor="text1"/>
                <w:kern w:val="0"/>
                <w:sz w:val="24"/>
                <w:szCs w:val="24"/>
                <w:lang w:val="en-US" w:eastAsia="zh-CN"/>
                <w14:textFill>
                  <w14:solidFill>
                    <w14:schemeClr w14:val="tx1"/>
                  </w14:solidFill>
                </w14:textFill>
              </w:rPr>
              <w:t>根据《关于划定万源市、宣汉县和大竹县乡镇及</w:t>
            </w:r>
            <w:r>
              <w:rPr>
                <w:rFonts w:hint="eastAsia" w:ascii="Times New Roman" w:hAnsi="Times New Roman" w:cs="Times New Roman"/>
                <w:kern w:val="0"/>
                <w:sz w:val="24"/>
                <w:szCs w:val="24"/>
                <w:lang w:val="en-US" w:eastAsia="zh-CN"/>
              </w:rPr>
              <w:t>以下集中式饮用水水源地保护区的批复（宣汉县）》（达市府函〔2020〕124号）文件，本项目14个灌区中6个灌区与周边集中式饮用水源保护区临近，区位关系如下图：</w:t>
            </w:r>
          </w:p>
          <w:p>
            <w:pPr>
              <w:pStyle w:val="36"/>
              <w:ind w:left="0" w:leftChars="0" w:firstLine="0" w:firstLineChars="0"/>
              <w:jc w:val="center"/>
              <w:rPr>
                <w:sz w:val="24"/>
              </w:rPr>
            </w:pPr>
            <w:r>
              <w:rPr>
                <w:sz w:val="24"/>
              </w:rPr>
              <mc:AlternateContent>
                <mc:Choice Requires="wps">
                  <w:drawing>
                    <wp:anchor distT="0" distB="0" distL="114300" distR="114300" simplePos="0" relativeHeight="251750400" behindDoc="0" locked="0" layoutInCell="1" allowOverlap="1">
                      <wp:simplePos x="0" y="0"/>
                      <wp:positionH relativeFrom="column">
                        <wp:posOffset>3477895</wp:posOffset>
                      </wp:positionH>
                      <wp:positionV relativeFrom="paragraph">
                        <wp:posOffset>863600</wp:posOffset>
                      </wp:positionV>
                      <wp:extent cx="514350" cy="266065"/>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51435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148m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85pt;margin-top:68pt;height:20.95pt;width:40.5pt;z-index:251750400;mso-width-relative:page;mso-height-relative:page;" filled="f" stroked="f" coordsize="21600,21600" o:gfxdata="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Xm6s9sAAAALAQAADwAAAAAAAAABACAAAAAiAAAAZHJz&#10;L2Rvd25yZXYueG1sUEsBAhQAFAAAAAgAh07iQHiBu386AgAAaQQAAA4AAAAAAAAAAQAgAAAAKgEA&#10;AGRycy9lMm9Eb2MueG1sUEsFBgAAAAAGAAYAWQEAANY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148m</w:t>
                            </w:r>
                          </w:p>
                        </w:txbxContent>
                      </v:textbox>
                    </v:shape>
                  </w:pict>
                </mc:Fallback>
              </mc:AlternateContent>
            </w:r>
            <w:r>
              <w:rPr>
                <w:sz w:val="24"/>
              </w:rPr>
              <mc:AlternateContent>
                <mc:Choice Requires="wps">
                  <w:drawing>
                    <wp:anchor distT="0" distB="0" distL="114300" distR="114300" simplePos="0" relativeHeight="251749376" behindDoc="0" locked="0" layoutInCell="1" allowOverlap="1">
                      <wp:simplePos x="0" y="0"/>
                      <wp:positionH relativeFrom="column">
                        <wp:posOffset>1372870</wp:posOffset>
                      </wp:positionH>
                      <wp:positionV relativeFrom="paragraph">
                        <wp:posOffset>958850</wp:posOffset>
                      </wp:positionV>
                      <wp:extent cx="457200" cy="266065"/>
                      <wp:effectExtent l="0" t="0" r="0" b="635"/>
                      <wp:wrapNone/>
                      <wp:docPr id="145" name="文本框 145"/>
                      <wp:cNvGraphicFramePr/>
                      <a:graphic xmlns:a="http://schemas.openxmlformats.org/drawingml/2006/main">
                        <a:graphicData uri="http://schemas.microsoft.com/office/word/2010/wordprocessingShape">
                          <wps:wsp>
                            <wps:cNvSpPr txBox="1"/>
                            <wps:spPr>
                              <a:xfrm>
                                <a:off x="3356610" y="6518910"/>
                                <a:ext cx="45720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90m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1pt;margin-top:75.5pt;height:20.95pt;width:36pt;z-index:251749376;mso-width-relative:page;mso-height-relative:page;" filled="f" stroked="f" coordsize="21600,21600" o:gfxdata="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vXNRvtoAAAALAQAADwAAAAAAAAAB&#10;ACAAAAAiAAAAZHJzL2Rvd25yZXYueG1sUEsBAhQAFAAAAAgAh07iQFkOGCtHAgAAdQQAAA4AAAAA&#10;AAAAAQAgAAAAKQEAAGRycy9lMm9Eb2MueG1sUEsFBgAAAAAGAAYAWQEAAOI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90m</w:t>
                            </w:r>
                          </w:p>
                        </w:txbxContent>
                      </v:textbox>
                    </v:shape>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2982595</wp:posOffset>
                      </wp:positionH>
                      <wp:positionV relativeFrom="paragraph">
                        <wp:posOffset>1461770</wp:posOffset>
                      </wp:positionV>
                      <wp:extent cx="1704340" cy="637540"/>
                      <wp:effectExtent l="6350" t="274320" r="22860" b="21590"/>
                      <wp:wrapNone/>
                      <wp:docPr id="124" name="矩形标注 124"/>
                      <wp:cNvGraphicFramePr/>
                      <a:graphic xmlns:a="http://schemas.openxmlformats.org/drawingml/2006/main">
                        <a:graphicData uri="http://schemas.microsoft.com/office/word/2010/wordprocessingShape">
                          <wps:wsp>
                            <wps:cNvSpPr/>
                            <wps:spPr>
                              <a:xfrm>
                                <a:off x="0" y="0"/>
                                <a:ext cx="1704340" cy="637540"/>
                              </a:xfrm>
                              <a:prstGeom prst="wedgeRectCallout">
                                <a:avLst>
                                  <a:gd name="adj1" fmla="val -13561"/>
                                  <a:gd name="adj2" fmla="val -91334"/>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lang w:val="en-US" w:eastAsia="zh-CN"/>
                                    </w:rPr>
                                  </w:pPr>
                                  <w:r>
                                    <w:rPr>
                                      <w:rFonts w:hint="eastAsia"/>
                                      <w:lang w:val="en-US" w:eastAsia="zh-CN"/>
                                    </w:rPr>
                                    <w:t>槽家沟现有渠道距离二级饮用水源保护区最近点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4.85pt;margin-top:115.1pt;height:50.2pt;width:134.2pt;z-index:251747328;v-text-anchor:middle;mso-width-relative:page;mso-height-relative:page;" fillcolor="#5B9BD5 [3204]" filled="t" stroked="t" coordsize="21600,21600" o:gfxdata="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G3y+ONwA&#10;AAALAQAADwAAAAAAAAABACAAAAAiAAAAZHJzL2Rvd25yZXYueG1sUEsBAhQAFAAAAAgAh07iQJvu&#10;iS7GAgAAigUAAA4AAAAAAAAAAQAgAAAAKwEAAGRycy9lMm9Eb2MueG1sUEsFBgAAAAAGAAYAWQEA&#10;AGMGAAAAAA==&#10;" adj="7871,-8928">
                      <v:fill on="t" focussize="0,0"/>
                      <v:stroke weight="1pt" color="#2E75B6 [2404]" miterlimit="8" joinstyle="miter"/>
                      <v:imagedata o:title=""/>
                      <o:lock v:ext="edit" aspectratio="f"/>
                      <v:textbox>
                        <w:txbxContent>
                          <w:p>
                            <w:pPr>
                              <w:jc w:val="center"/>
                              <w:rPr>
                                <w:rFonts w:hint="default" w:eastAsiaTheme="minorEastAsia"/>
                                <w:lang w:val="en-US" w:eastAsia="zh-CN"/>
                              </w:rPr>
                            </w:pPr>
                            <w:r>
                              <w:rPr>
                                <w:rFonts w:hint="eastAsia"/>
                                <w:lang w:val="en-US" w:eastAsia="zh-CN"/>
                              </w:rPr>
                              <w:t>槽家沟现有渠道距离二级饮用水源保护区最近点</w:t>
                            </w:r>
                          </w:p>
                        </w:txbxContent>
                      </v:textbox>
                    </v:shape>
                  </w:pict>
                </mc:Fallback>
              </mc:AlternateContent>
            </w:r>
            <w:r>
              <w:drawing>
                <wp:inline distT="0" distB="0" distL="114300" distR="114300">
                  <wp:extent cx="2290445" cy="2004695"/>
                  <wp:effectExtent l="0" t="0" r="14605" b="14605"/>
                  <wp:docPr id="1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
                          <pic:cNvPicPr>
                            <a:picLocks noChangeAspect="1"/>
                          </pic:cNvPicPr>
                        </pic:nvPicPr>
                        <pic:blipFill>
                          <a:blip r:embed="rId36"/>
                          <a:stretch>
                            <a:fillRect/>
                          </a:stretch>
                        </pic:blipFill>
                        <pic:spPr>
                          <a:xfrm>
                            <a:off x="0" y="0"/>
                            <a:ext cx="2290445" cy="200469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386965" cy="2019935"/>
                  <wp:effectExtent l="0" t="0" r="13335" b="18415"/>
                  <wp:docPr id="1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8"/>
                          <pic:cNvPicPr>
                            <a:picLocks noChangeAspect="1"/>
                          </pic:cNvPicPr>
                        </pic:nvPicPr>
                        <pic:blipFill>
                          <a:blip r:embed="rId37"/>
                          <a:stretch>
                            <a:fillRect/>
                          </a:stretch>
                        </pic:blipFill>
                        <pic:spPr>
                          <a:xfrm>
                            <a:off x="0" y="0"/>
                            <a:ext cx="2386965" cy="2019935"/>
                          </a:xfrm>
                          <a:prstGeom prst="rect">
                            <a:avLst/>
                          </a:prstGeom>
                          <a:noFill/>
                          <a:ln>
                            <a:noFill/>
                          </a:ln>
                        </pic:spPr>
                      </pic:pic>
                    </a:graphicData>
                  </a:graphic>
                </wp:inline>
              </w:drawing>
            </w:r>
          </w:p>
          <w:p>
            <w:pPr>
              <w:pStyle w:val="36"/>
              <w:ind w:left="0" w:leftChars="0" w:firstLine="0" w:firstLineChars="0"/>
              <w:jc w:val="center"/>
            </w:pPr>
            <w:r>
              <w:rPr>
                <w:sz w:val="24"/>
              </w:rPr>
              <mc:AlternateContent>
                <mc:Choice Requires="wps">
                  <w:drawing>
                    <wp:anchor distT="0" distB="0" distL="114300" distR="114300" simplePos="0" relativeHeight="251756544" behindDoc="0" locked="0" layoutInCell="1" allowOverlap="1">
                      <wp:simplePos x="0" y="0"/>
                      <wp:positionH relativeFrom="column">
                        <wp:posOffset>3620770</wp:posOffset>
                      </wp:positionH>
                      <wp:positionV relativeFrom="paragraph">
                        <wp:posOffset>3422650</wp:posOffset>
                      </wp:positionV>
                      <wp:extent cx="514350" cy="266065"/>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51435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6m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1pt;margin-top:269.5pt;height:20.95pt;width:40.5pt;z-index:251756544;mso-width-relative:page;mso-height-relative:page;" filled="f" stroked="f" coordsize="21600,21600" o:gfxdata="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ss7lNsAAAALAQAADwAAAAAAAAABACAAAAAiAAAAZHJz&#10;L2Rvd25yZXYueG1sUEsBAhQAFAAAAAgAh07iQIj0a846AgAAaQQAAA4AAAAAAAAAAQAgAAAAKgEA&#10;AGRycy9lMm9Eb2MueG1sUEsFBgAAAAAGAAYAWQEAANY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6m</w:t>
                            </w:r>
                          </w:p>
                        </w:txbxContent>
                      </v:textbox>
                    </v:shape>
                  </w:pict>
                </mc:Fallback>
              </mc:AlternateContent>
            </w:r>
            <w:r>
              <w:rPr>
                <w:sz w:val="24"/>
              </w:rPr>
              <mc:AlternateContent>
                <mc:Choice Requires="wps">
                  <w:drawing>
                    <wp:anchor distT="0" distB="0" distL="114300" distR="114300" simplePos="0" relativeHeight="251755520" behindDoc="0" locked="0" layoutInCell="1" allowOverlap="1">
                      <wp:simplePos x="0" y="0"/>
                      <wp:positionH relativeFrom="column">
                        <wp:posOffset>3277870</wp:posOffset>
                      </wp:positionH>
                      <wp:positionV relativeFrom="paragraph">
                        <wp:posOffset>3677920</wp:posOffset>
                      </wp:positionV>
                      <wp:extent cx="1704340" cy="637540"/>
                      <wp:effectExtent l="6350" t="71120" r="22860" b="15240"/>
                      <wp:wrapNone/>
                      <wp:docPr id="166" name="矩形标注 166"/>
                      <wp:cNvGraphicFramePr/>
                      <a:graphic xmlns:a="http://schemas.openxmlformats.org/drawingml/2006/main">
                        <a:graphicData uri="http://schemas.microsoft.com/office/word/2010/wordprocessingShape">
                          <wps:wsp>
                            <wps:cNvSpPr/>
                            <wps:spPr>
                              <a:xfrm>
                                <a:off x="0" y="0"/>
                                <a:ext cx="1704340" cy="637540"/>
                              </a:xfrm>
                              <a:prstGeom prst="wedgeRectCallout">
                                <a:avLst>
                                  <a:gd name="adj1" fmla="val -34798"/>
                                  <a:gd name="adj2" fmla="val -59960"/>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lang w:val="en-US" w:eastAsia="zh-CN"/>
                                    </w:rPr>
                                  </w:pPr>
                                  <w:r>
                                    <w:rPr>
                                      <w:rFonts w:hint="eastAsia"/>
                                      <w:lang w:val="en-US" w:eastAsia="zh-CN"/>
                                    </w:rPr>
                                    <w:t>老寨沟新建管道距离二级饮用水源保护区最近点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8.1pt;margin-top:289.6pt;height:50.2pt;width:134.2pt;z-index:251755520;v-text-anchor:middle;mso-width-relative:page;mso-height-relative:page;" fillcolor="#5B9BD5 [3204]" filled="t" stroked="t" coordsize="21600,21600" o:gfxdata="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iPrFXNgAAAAL&#10;AQAADwAAAAAAAAABACAAAAAiAAAAZHJzL2Rvd25yZXYueG1sUEsBAhQAFAAAAAgAh07iQNhvNozH&#10;AgAAigUAAA4AAAAAAAAAAQAgAAAAJwEAAGRycy9lMm9Eb2MueG1sUEsFBgAAAAAGAAYAWQEAAGAG&#10;AAAAAA==&#10;" adj="3284,-2151">
                      <v:fill on="t" focussize="0,0"/>
                      <v:stroke weight="1pt" color="#2E75B6 [2404]" miterlimit="8" joinstyle="miter"/>
                      <v:imagedata o:title=""/>
                      <o:lock v:ext="edit" aspectratio="f"/>
                      <v:textbox>
                        <w:txbxContent>
                          <w:p>
                            <w:pPr>
                              <w:jc w:val="center"/>
                              <w:rPr>
                                <w:rFonts w:hint="default" w:eastAsiaTheme="minorEastAsia"/>
                                <w:lang w:val="en-US" w:eastAsia="zh-CN"/>
                              </w:rPr>
                            </w:pPr>
                            <w:r>
                              <w:rPr>
                                <w:rFonts w:hint="eastAsia"/>
                                <w:lang w:val="en-US" w:eastAsia="zh-CN"/>
                              </w:rPr>
                              <w:t>老寨沟新建管道距离二级饮用水源保护区最近点</w:t>
                            </w:r>
                          </w:p>
                        </w:txbxContent>
                      </v:textbox>
                    </v:shape>
                  </w:pict>
                </mc:Fallback>
              </mc:AlternateContent>
            </w:r>
            <w:r>
              <w:rPr>
                <w:sz w:val="24"/>
              </w:rPr>
              <mc:AlternateContent>
                <mc:Choice Requires="wps">
                  <w:drawing>
                    <wp:anchor distT="0" distB="0" distL="114300" distR="114300" simplePos="0" relativeHeight="251753472" behindDoc="0" locked="0" layoutInCell="1" allowOverlap="1">
                      <wp:simplePos x="0" y="0"/>
                      <wp:positionH relativeFrom="column">
                        <wp:posOffset>1077595</wp:posOffset>
                      </wp:positionH>
                      <wp:positionV relativeFrom="paragraph">
                        <wp:posOffset>3013075</wp:posOffset>
                      </wp:positionV>
                      <wp:extent cx="514350" cy="266065"/>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51435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123m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85pt;margin-top:237.25pt;height:20.95pt;width:40.5pt;z-index:251753472;mso-width-relative:page;mso-height-relative:page;" filled="f" stroked="f" coordsize="21600,21600" o:gfxdata="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suFodsAAAALAQAADwAAAAAAAAABACAAAAAiAAAAZHJz&#10;L2Rvd25yZXYueG1sUEsBAhQAFAAAAAgAh07iQLzKCxY6AgAAaQQAAA4AAAAAAAAAAQAgAAAAKgEA&#10;AGRycy9lMm9Eb2MueG1sUEsFBgAAAAAGAAYAWQEAANY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123m</w:t>
                            </w:r>
                          </w:p>
                        </w:txbxContent>
                      </v:textbox>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10795</wp:posOffset>
                      </wp:positionH>
                      <wp:positionV relativeFrom="paragraph">
                        <wp:posOffset>3687445</wp:posOffset>
                      </wp:positionV>
                      <wp:extent cx="1704340" cy="637540"/>
                      <wp:effectExtent l="6350" t="429895" r="22860" b="18415"/>
                      <wp:wrapNone/>
                      <wp:docPr id="97" name="矩形标注 97"/>
                      <wp:cNvGraphicFramePr/>
                      <a:graphic xmlns:a="http://schemas.openxmlformats.org/drawingml/2006/main">
                        <a:graphicData uri="http://schemas.microsoft.com/office/word/2010/wordprocessingShape">
                          <wps:wsp>
                            <wps:cNvSpPr/>
                            <wps:spPr>
                              <a:xfrm>
                                <a:off x="0" y="0"/>
                                <a:ext cx="1704340" cy="637540"/>
                              </a:xfrm>
                              <a:prstGeom prst="wedgeRectCallout">
                                <a:avLst>
                                  <a:gd name="adj1" fmla="val 18852"/>
                                  <a:gd name="adj2" fmla="val -115239"/>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lang w:val="en-US" w:eastAsia="zh-CN"/>
                                    </w:rPr>
                                  </w:pPr>
                                  <w:r>
                                    <w:rPr>
                                      <w:rFonts w:hint="eastAsia"/>
                                      <w:lang w:val="en-US" w:eastAsia="zh-CN"/>
                                    </w:rPr>
                                    <w:t>云顶水库新建管道距离二级饮用水源保护区最近点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0.85pt;margin-top:290.35pt;height:50.2pt;width:134.2pt;z-index:251746304;v-text-anchor:middle;mso-width-relative:page;mso-height-relative:page;" fillcolor="#5B9BD5 [3204]" filled="t" stroked="t" coordsize="21600,21600" o:gfxdata="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HkN2nbZAAAA&#10;CQEAAA8AAAAAAAAAAQAgAAAAIgAAAGRycy9kb3ducmV2LnhtbFBLAQIUABQAAAAIAIdO4kB97Fap&#10;xwIAAIgFAAAOAAAAAAAAAAEAIAAAACgBAABkcnMvZTJvRG9jLnhtbFBLBQYAAAAABgAGAFkBAABh&#10;BgAAAAA=&#10;" adj="14872,-14092">
                      <v:fill on="t" focussize="0,0"/>
                      <v:stroke weight="1pt" color="#2E75B6 [2404]" miterlimit="8" joinstyle="miter"/>
                      <v:imagedata o:title=""/>
                      <o:lock v:ext="edit" aspectratio="f"/>
                      <v:textbox>
                        <w:txbxContent>
                          <w:p>
                            <w:pPr>
                              <w:jc w:val="center"/>
                              <w:rPr>
                                <w:rFonts w:hint="default" w:eastAsiaTheme="minorEastAsia"/>
                                <w:lang w:val="en-US" w:eastAsia="zh-CN"/>
                              </w:rPr>
                            </w:pPr>
                            <w:r>
                              <w:rPr>
                                <w:rFonts w:hint="eastAsia"/>
                                <w:lang w:val="en-US" w:eastAsia="zh-CN"/>
                              </w:rPr>
                              <w:t>云顶水库新建管道距离二级饮用水源保护区最近点</w:t>
                            </w:r>
                          </w:p>
                        </w:txbxContent>
                      </v:textbox>
                    </v:shape>
                  </w:pict>
                </mc:Fallback>
              </mc:AlternateContent>
            </w:r>
            <w:r>
              <w:rPr>
                <w:sz w:val="24"/>
              </w:rPr>
              <mc:AlternateContent>
                <mc:Choice Requires="wps">
                  <w:drawing>
                    <wp:anchor distT="0" distB="0" distL="114300" distR="114300" simplePos="0" relativeHeight="251751424" behindDoc="0" locked="0" layoutInCell="1" allowOverlap="1">
                      <wp:simplePos x="0" y="0"/>
                      <wp:positionH relativeFrom="column">
                        <wp:posOffset>1734820</wp:posOffset>
                      </wp:positionH>
                      <wp:positionV relativeFrom="paragraph">
                        <wp:posOffset>1355725</wp:posOffset>
                      </wp:positionV>
                      <wp:extent cx="457200" cy="266065"/>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45720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6pt;margin-top:106.75pt;height:20.95pt;width:36pt;z-index:251751424;mso-width-relative:page;mso-height-relative:page;" filled="f" stroked="f" coordsize="21600,21600" o:gfxdata="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C4+IRNsAAAALAQAADwAAAAAAAAABACAAAAAiAAAAZHJz&#10;L2Rvd25yZXYueG1sUEsBAhQAFAAAAAgAh07iQOMC9WA6AgAAaQQAAA4AAAAAAAAAAQAgAAAAKgEA&#10;AGRycy9lMm9Eb2MueG1sUEsFBgAAAAAGAAYAWQEAANY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7m</w:t>
                            </w:r>
                          </w:p>
                        </w:txbxContent>
                      </v:textbox>
                    </v:shape>
                  </w:pict>
                </mc:Fallback>
              </mc:AlternateContent>
            </w:r>
            <w:r>
              <w:rPr>
                <w:sz w:val="24"/>
              </w:rPr>
              <mc:AlternateContent>
                <mc:Choice Requires="wps">
                  <w:drawing>
                    <wp:anchor distT="0" distB="0" distL="114300" distR="114300" simplePos="0" relativeHeight="251744256" behindDoc="0" locked="0" layoutInCell="1" allowOverlap="1">
                      <wp:simplePos x="0" y="0"/>
                      <wp:positionH relativeFrom="column">
                        <wp:posOffset>-579755</wp:posOffset>
                      </wp:positionH>
                      <wp:positionV relativeFrom="paragraph">
                        <wp:posOffset>172720</wp:posOffset>
                      </wp:positionV>
                      <wp:extent cx="1704340" cy="637540"/>
                      <wp:effectExtent l="6350" t="6350" r="670560" b="689610"/>
                      <wp:wrapNone/>
                      <wp:docPr id="63" name="矩形标注 63"/>
                      <wp:cNvGraphicFramePr/>
                      <a:graphic xmlns:a="http://schemas.openxmlformats.org/drawingml/2006/main">
                        <a:graphicData uri="http://schemas.microsoft.com/office/word/2010/wordprocessingShape">
                          <wps:wsp>
                            <wps:cNvSpPr/>
                            <wps:spPr>
                              <a:xfrm>
                                <a:off x="2470785" y="8041005"/>
                                <a:ext cx="1704340" cy="637540"/>
                              </a:xfrm>
                              <a:prstGeom prst="wedgeRectCallout">
                                <a:avLst>
                                  <a:gd name="adj1" fmla="val 86475"/>
                                  <a:gd name="adj2" fmla="val 153685"/>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lang w:val="en-US" w:eastAsia="zh-CN"/>
                                    </w:rPr>
                                  </w:pPr>
                                  <w:r>
                                    <w:rPr>
                                      <w:rFonts w:hint="eastAsia"/>
                                      <w:lang w:val="en-US" w:eastAsia="zh-CN"/>
                                    </w:rPr>
                                    <w:t>秧田湾新建管道距离二级饮用水源保护区最近点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65pt;margin-top:13.6pt;height:50.2pt;width:134.2pt;z-index:251744256;v-text-anchor:middle;mso-width-relative:page;mso-height-relative:page;" fillcolor="#5B9BD5 [3204]" filled="t" stroked="t" coordsize="21600,21600" o:gfxdata="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ALUtMK2AAAAAoBAAAPAAAAAAAAAAEAIAAAACIAAABkcnMvZG93bnJldi54bWxQSwECFAAUAAAA&#10;CACHTuJAhW52K9ICAACTBQAADgAAAAAAAAABACAAAAAnAQAAZHJzL2Uyb0RvYy54bWxQSwUGAAAA&#10;AAYABgBZAQAAawYAAAAA&#10;" adj="29479,43996">
                      <v:fill on="t" focussize="0,0"/>
                      <v:stroke weight="1pt" color="#2E75B6 [2404]" miterlimit="8" joinstyle="miter"/>
                      <v:imagedata o:title=""/>
                      <o:lock v:ext="edit" aspectratio="f"/>
                      <v:textbox>
                        <w:txbxContent>
                          <w:p>
                            <w:pPr>
                              <w:jc w:val="center"/>
                              <w:rPr>
                                <w:rFonts w:hint="default" w:eastAsiaTheme="minorEastAsia"/>
                                <w:lang w:val="en-US" w:eastAsia="zh-CN"/>
                              </w:rPr>
                            </w:pPr>
                            <w:r>
                              <w:rPr>
                                <w:rFonts w:hint="eastAsia"/>
                                <w:lang w:val="en-US" w:eastAsia="zh-CN"/>
                              </w:rPr>
                              <w:t>秧田湾新建管道距离二级饮用水源保护区最近点</w:t>
                            </w:r>
                          </w:p>
                        </w:txbxContent>
                      </v:textbox>
                    </v:shape>
                  </w:pict>
                </mc:Fallback>
              </mc:AlternateContent>
            </w:r>
            <w:r>
              <w:rPr>
                <w:sz w:val="24"/>
              </w:rPr>
              <mc:AlternateContent>
                <mc:Choice Requires="wps">
                  <w:drawing>
                    <wp:anchor distT="0" distB="0" distL="114300" distR="114300" simplePos="0" relativeHeight="251752448" behindDoc="0" locked="0" layoutInCell="1" allowOverlap="1">
                      <wp:simplePos x="0" y="0"/>
                      <wp:positionH relativeFrom="column">
                        <wp:posOffset>3134995</wp:posOffset>
                      </wp:positionH>
                      <wp:positionV relativeFrom="paragraph">
                        <wp:posOffset>1069975</wp:posOffset>
                      </wp:positionV>
                      <wp:extent cx="457200" cy="266065"/>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45720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51m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85pt;margin-top:84.25pt;height:20.95pt;width:36pt;z-index:251752448;mso-width-relative:page;mso-height-relative:page;" filled="f" stroked="f" coordsize="21600,21600" o:gfxdata="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I8Fs9sAAAALAQAADwAAAAAAAAABACAAAAAiAAAAZHJz&#10;L2Rvd25yZXYueG1sUEsBAhQAFAAAAAgAh07iQG4N7VY6AgAAaQQAAA4AAAAAAAAAAQAgAAAAKgEA&#10;AGRycy9lMm9Eb2MueG1sUEsFBgAAAAAGAAYAWQEAANY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51m</w:t>
                            </w:r>
                          </w:p>
                        </w:txbxContent>
                      </v:textbox>
                    </v:shape>
                  </w:pict>
                </mc:Fallback>
              </mc:AlternateContent>
            </w:r>
            <w:r>
              <w:rPr>
                <w:sz w:val="24"/>
              </w:rPr>
              <mc:AlternateContent>
                <mc:Choice Requires="wps">
                  <w:drawing>
                    <wp:anchor distT="0" distB="0" distL="114300" distR="114300" simplePos="0" relativeHeight="251745280" behindDoc="0" locked="0" layoutInCell="1" allowOverlap="1">
                      <wp:simplePos x="0" y="0"/>
                      <wp:positionH relativeFrom="column">
                        <wp:posOffset>3649345</wp:posOffset>
                      </wp:positionH>
                      <wp:positionV relativeFrom="paragraph">
                        <wp:posOffset>1458595</wp:posOffset>
                      </wp:positionV>
                      <wp:extent cx="1704340" cy="637540"/>
                      <wp:effectExtent l="333375" t="242570" r="19685" b="15240"/>
                      <wp:wrapNone/>
                      <wp:docPr id="81" name="矩形标注 81"/>
                      <wp:cNvGraphicFramePr/>
                      <a:graphic xmlns:a="http://schemas.openxmlformats.org/drawingml/2006/main">
                        <a:graphicData uri="http://schemas.microsoft.com/office/word/2010/wordprocessingShape">
                          <wps:wsp>
                            <wps:cNvSpPr/>
                            <wps:spPr>
                              <a:xfrm>
                                <a:off x="0" y="0"/>
                                <a:ext cx="1704340" cy="637540"/>
                              </a:xfrm>
                              <a:prstGeom prst="wedgeRectCallout">
                                <a:avLst>
                                  <a:gd name="adj1" fmla="val -66654"/>
                                  <a:gd name="adj2" fmla="val -85358"/>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lang w:val="en-US" w:eastAsia="zh-CN"/>
                                    </w:rPr>
                                  </w:pPr>
                                  <w:r>
                                    <w:rPr>
                                      <w:rFonts w:hint="eastAsia"/>
                                      <w:lang w:val="en-US" w:eastAsia="zh-CN"/>
                                    </w:rPr>
                                    <w:t>观音岩新建管道距离二级饮用水源保护区最近点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7.35pt;margin-top:114.85pt;height:50.2pt;width:134.2pt;z-index:251745280;v-text-anchor:middle;mso-width-relative:page;mso-height-relative:page;" fillcolor="#5B9BD5 [3204]" filled="t" stroked="t" coordsize="21600,21600" o:gfxdata="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Dc0auzYAAAACwEA&#10;AA8AAAAAAAAAAQAgAAAAIgAAAGRycy9kb3ducmV2LnhtbFBLAQIUABQAAAAIAIdO4kCGSKeZxQIA&#10;AIgFAAAOAAAAAAAAAAEAIAAAACcBAABkcnMvZTJvRG9jLnhtbFBLBQYAAAAABgAGAFkBAABeBgAA&#10;AAA=&#10;" adj="-3597,-7637">
                      <v:fill on="t" focussize="0,0"/>
                      <v:stroke weight="1pt" color="#2E75B6 [2404]" miterlimit="8" joinstyle="miter"/>
                      <v:imagedata o:title=""/>
                      <o:lock v:ext="edit" aspectratio="f"/>
                      <v:textbox>
                        <w:txbxContent>
                          <w:p>
                            <w:pPr>
                              <w:jc w:val="center"/>
                              <w:rPr>
                                <w:rFonts w:hint="default" w:eastAsiaTheme="minorEastAsia"/>
                                <w:lang w:val="en-US" w:eastAsia="zh-CN"/>
                              </w:rPr>
                            </w:pPr>
                            <w:r>
                              <w:rPr>
                                <w:rFonts w:hint="eastAsia"/>
                                <w:lang w:val="en-US" w:eastAsia="zh-CN"/>
                              </w:rPr>
                              <w:t>观音岩新建管道距离二级饮用水源保护区最近点</w:t>
                            </w:r>
                          </w:p>
                        </w:txbxContent>
                      </v:textbox>
                    </v:shape>
                  </w:pict>
                </mc:Fallback>
              </mc:AlternateContent>
            </w:r>
            <w:r>
              <w:drawing>
                <wp:inline distT="0" distB="0" distL="114300" distR="114300">
                  <wp:extent cx="2487295" cy="2134870"/>
                  <wp:effectExtent l="0" t="0" r="8255" b="17780"/>
                  <wp:docPr id="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
                          <pic:cNvPicPr>
                            <a:picLocks noChangeAspect="1"/>
                          </pic:cNvPicPr>
                        </pic:nvPicPr>
                        <pic:blipFill>
                          <a:blip r:embed="rId38"/>
                          <a:stretch>
                            <a:fillRect/>
                          </a:stretch>
                        </pic:blipFill>
                        <pic:spPr>
                          <a:xfrm>
                            <a:off x="0" y="0"/>
                            <a:ext cx="2487295" cy="2134870"/>
                          </a:xfrm>
                          <a:prstGeom prst="rect">
                            <a:avLst/>
                          </a:prstGeom>
                          <a:noFill/>
                          <a:ln>
                            <a:noFill/>
                          </a:ln>
                        </pic:spPr>
                      </pic:pic>
                    </a:graphicData>
                  </a:graphic>
                </wp:inline>
              </w:drawing>
            </w:r>
            <w:r>
              <w:rPr>
                <w:rFonts w:hint="eastAsia"/>
                <w:sz w:val="24"/>
                <w:lang w:val="en-US" w:eastAsia="zh-CN"/>
              </w:rPr>
              <w:t xml:space="preserve"> </w:t>
            </w:r>
            <w:r>
              <w:drawing>
                <wp:inline distT="0" distB="0" distL="114300" distR="114300">
                  <wp:extent cx="2244725" cy="2138045"/>
                  <wp:effectExtent l="0" t="0" r="3175" b="14605"/>
                  <wp:docPr id="1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
                          <pic:cNvPicPr>
                            <a:picLocks noChangeAspect="1"/>
                          </pic:cNvPicPr>
                        </pic:nvPicPr>
                        <pic:blipFill>
                          <a:blip r:embed="rId39"/>
                          <a:stretch>
                            <a:fillRect/>
                          </a:stretch>
                        </pic:blipFill>
                        <pic:spPr>
                          <a:xfrm>
                            <a:off x="0" y="0"/>
                            <a:ext cx="2244725" cy="21380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24760" cy="2127885"/>
                  <wp:effectExtent l="0" t="0" r="8890" b="5715"/>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40"/>
                          <a:stretch>
                            <a:fillRect/>
                          </a:stretch>
                        </pic:blipFill>
                        <pic:spPr>
                          <a:xfrm>
                            <a:off x="0" y="0"/>
                            <a:ext cx="2524760" cy="212788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75205" cy="2124075"/>
                  <wp:effectExtent l="0" t="0" r="10795" b="9525"/>
                  <wp:docPr id="1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9"/>
                          <pic:cNvPicPr>
                            <a:picLocks noChangeAspect="1"/>
                          </pic:cNvPicPr>
                        </pic:nvPicPr>
                        <pic:blipFill>
                          <a:blip r:embed="rId41"/>
                          <a:stretch>
                            <a:fillRect/>
                          </a:stretch>
                        </pic:blipFill>
                        <pic:spPr>
                          <a:xfrm>
                            <a:off x="0" y="0"/>
                            <a:ext cx="2275205" cy="2124075"/>
                          </a:xfrm>
                          <a:prstGeom prst="rect">
                            <a:avLst/>
                          </a:prstGeom>
                          <a:noFill/>
                          <a:ln>
                            <a:noFill/>
                          </a:ln>
                        </pic:spPr>
                      </pic:pic>
                    </a:graphicData>
                  </a:graphic>
                </wp:inline>
              </w:drawing>
            </w:r>
          </w:p>
          <w:p>
            <w:pPr>
              <w:pStyle w:val="36"/>
              <w:ind w:left="0" w:leftChars="0" w:firstLine="0" w:firstLineChars="0"/>
              <w:jc w:val="center"/>
              <w:rPr>
                <w:rFonts w:hint="default" w:ascii="Times New Roman" w:hAnsi="Times New Roman"/>
                <w:b/>
                <w:bCs/>
                <w:color w:val="000000" w:themeColor="text1"/>
                <w:sz w:val="21"/>
                <w:szCs w:val="21"/>
                <w:lang w:val="en-US" w:eastAsia="zh-CN"/>
                <w14:textFill>
                  <w14:solidFill>
                    <w14:schemeClr w14:val="tx1"/>
                  </w14:solidFill>
                </w14:textFill>
              </w:rPr>
            </w:pPr>
            <w:r>
              <w:rPr>
                <w:rFonts w:hint="eastAsia" w:ascii="Times New Roman" w:hAnsi="Times New Roman"/>
                <w:b/>
                <w:bCs/>
                <w:color w:val="000000" w:themeColor="text1"/>
                <w:sz w:val="21"/>
                <w:szCs w:val="21"/>
                <w:lang w:val="en-US" w:eastAsia="zh-CN"/>
                <w14:textFill>
                  <w14:solidFill>
                    <w14:schemeClr w14:val="tx1"/>
                  </w14:solidFill>
                </w14:textFill>
              </w:rPr>
              <w:t>图1-11  本项目临近当地饮用水源布置情况</w:t>
            </w:r>
          </w:p>
          <w:p>
            <w:pPr>
              <w:pStyle w:val="36"/>
              <w:ind w:left="0" w:leftChars="0" w:firstLine="480" w:firstLineChars="200"/>
              <w:rPr>
                <w:rFonts w:ascii="Times New Roman" w:hAnsi="Times New Roman" w:cs="Times New Roman"/>
              </w:rPr>
            </w:pPr>
            <w:r>
              <w:rPr>
                <w:rFonts w:hint="eastAsia" w:ascii="Times New Roman" w:hAnsi="Times New Roman"/>
                <w:color w:val="000000" w:themeColor="text1"/>
                <w:szCs w:val="24"/>
                <w:lang w:val="en-US" w:eastAsia="zh-CN"/>
                <w14:textFill>
                  <w14:solidFill>
                    <w14:schemeClr w14:val="tx1"/>
                  </w14:solidFill>
                </w14:textFill>
              </w:rPr>
              <w:t>从上图可知，本次渠道均位于当地饮用水源保护区之外，项目取得了达州市宣汉生态环境局出具的《关于核查宣汉县小型灌区新建项目是否涉及集中式饮用水源保护区的复函》（宣环函〔2024〕16号）（见附件），明确项目不涉及饮用水源保护区，靠近饮用水源保护区的水源保护措施见后文。</w:t>
            </w:r>
          </w:p>
        </w:tc>
      </w:tr>
    </w:tbl>
    <w:p>
      <w:pPr>
        <w:pStyle w:val="15"/>
        <w:rPr>
          <w:rFonts w:ascii="Times New Roman" w:hAnsi="Times New Roman" w:cs="Times New Roman"/>
        </w:rPr>
        <w:sectPr>
          <w:pgSz w:w="11906" w:h="16838"/>
          <w:pgMar w:top="1440" w:right="1080" w:bottom="1440" w:left="1080" w:header="851" w:footer="992" w:gutter="0"/>
          <w:cols w:space="0" w:num="1"/>
          <w:rtlGutter w:val="0"/>
          <w:docGrid w:type="lines" w:linePitch="312" w:charSpace="0"/>
        </w:sectPr>
      </w:pPr>
    </w:p>
    <w:p>
      <w:pPr>
        <w:pStyle w:val="22"/>
        <w:rPr>
          <w:rFonts w:ascii="Times New Roman" w:hAnsi="Times New Roman" w:cs="Times New Roman"/>
        </w:rPr>
      </w:pPr>
      <w:r>
        <w:rPr>
          <w:rFonts w:ascii="Times New Roman" w:hAnsi="Times New Roman" w:cs="Times New Roman"/>
        </w:rPr>
        <w:t>二、建设内容</w:t>
      </w:r>
    </w:p>
    <w:tbl>
      <w:tblPr>
        <w:tblStyle w:val="27"/>
        <w:tblW w:w="9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9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地理位置</w:t>
            </w:r>
          </w:p>
        </w:tc>
        <w:tc>
          <w:tcPr>
            <w:tcW w:w="9508" w:type="dxa"/>
          </w:tcPr>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kern w:val="0"/>
                <w:sz w:val="24"/>
                <w:szCs w:val="24"/>
              </w:rPr>
              <w:t>本项目位于</w:t>
            </w:r>
            <w:r>
              <w:rPr>
                <w:rFonts w:hint="eastAsia" w:ascii="Times New Roman" w:hAnsi="Times New Roman" w:cs="Times New Roman"/>
                <w:sz w:val="24"/>
                <w:szCs w:val="24"/>
                <w:lang w:eastAsia="zh-CN"/>
              </w:rPr>
              <w:t>达州市宣汉县</w:t>
            </w:r>
            <w:r>
              <w:rPr>
                <w:rFonts w:ascii="Times New Roman" w:hAnsi="Times New Roman" w:cs="Times New Roman"/>
                <w:kern w:val="0"/>
                <w:sz w:val="24"/>
                <w:szCs w:val="24"/>
              </w:rPr>
              <w:t>，对</w:t>
            </w:r>
            <w:r>
              <w:rPr>
                <w:rFonts w:hint="eastAsia" w:ascii="Times New Roman" w:hAnsi="Times New Roman" w:cs="Times New Roman"/>
                <w:kern w:val="0"/>
                <w:sz w:val="24"/>
                <w:szCs w:val="24"/>
                <w:lang w:val="en-US" w:eastAsia="zh-CN"/>
              </w:rPr>
              <w:t>宣汉县境内农村小型水库配套的灌区设施进行整治，同时新建部分渠道、管道等，新增灌面的同时改善现有灌面</w:t>
            </w:r>
            <w:r>
              <w:rPr>
                <w:rFonts w:ascii="Times New Roman" w:hAnsi="Times New Roman" w:cs="Times New Roman"/>
                <w:sz w:val="24"/>
                <w:szCs w:val="24"/>
              </w:rPr>
              <w:t>。</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地理位置信息如下：</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观音岩水库灌区主管道：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57.974</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34.407</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32</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54.549</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12.476</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秧田湾水库灌区主渠道：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50.507</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34.407</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57.810</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28.357</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0"/>
                <w:sz w:val="24"/>
                <w:szCs w:val="24"/>
                <w:lang w:val="en-US" w:eastAsia="zh-CN"/>
                <w14:textFill>
                  <w14:solidFill>
                    <w14:schemeClr w14:val="tx1"/>
                  </w14:solidFill>
                </w14:textFill>
              </w:rPr>
              <w:t>云顶水库</w:t>
            </w:r>
            <w:r>
              <w:rPr>
                <w:rFonts w:hint="eastAsia" w:ascii="Times New Roman" w:hAnsi="Times New Roman" w:cs="Times New Roman"/>
                <w:kern w:val="0"/>
                <w:sz w:val="24"/>
                <w:szCs w:val="24"/>
                <w:lang w:val="en-US" w:eastAsia="zh-CN"/>
              </w:rPr>
              <w:t>灌区</w:t>
            </w:r>
            <w:r>
              <w:rPr>
                <w:rFonts w:hint="eastAsia" w:ascii="Times New Roman" w:hAnsi="Times New Roman" w:cs="Times New Roman"/>
                <w:color w:val="000000" w:themeColor="text1"/>
                <w:kern w:val="0"/>
                <w:sz w:val="24"/>
                <w:szCs w:val="24"/>
                <w:lang w:val="en-US" w:eastAsia="zh-CN"/>
                <w14:textFill>
                  <w14:solidFill>
                    <w14:schemeClr w14:val="tx1"/>
                  </w14:solidFill>
                </w14:textFill>
              </w:rPr>
              <w:t>主管道：</w:t>
            </w: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起点坐标</w:t>
            </w:r>
            <w:r>
              <w:rPr>
                <w:rFonts w:hint="eastAsia" w:ascii="Times New Roman" w:hAnsi="Times New Roman" w:cs="Times New Roman"/>
                <w:color w:val="000000" w:themeColor="text1"/>
                <w:kern w:val="0"/>
                <w:sz w:val="24"/>
                <w:szCs w:val="24"/>
                <w14:textFill>
                  <w14:solidFill>
                    <w14:schemeClr w14:val="tx1"/>
                  </w14:solidFill>
                </w14:textFill>
              </w:rPr>
              <w:t>10</w:t>
            </w:r>
            <w:r>
              <w:rPr>
                <w:rFonts w:hint="eastAsia" w:ascii="Times New Roman" w:hAnsi="Times New Roman" w:cs="Times New Roman"/>
                <w:color w:val="000000" w:themeColor="text1"/>
                <w:kern w:val="0"/>
                <w:sz w:val="24"/>
                <w:szCs w:val="24"/>
                <w:lang w:val="en-US" w:eastAsia="zh-CN"/>
                <w14:textFill>
                  <w14:solidFill>
                    <w14:schemeClr w14:val="tx1"/>
                  </w14:solidFill>
                </w14:textFill>
              </w:rPr>
              <w:t>8</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8</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57.201</w:t>
            </w:r>
            <w:r>
              <w:rPr>
                <w:rFonts w:hint="eastAsia" w:ascii="Times New Roman" w:hAnsi="Times New Roman" w:cs="Times New Roman"/>
                <w:color w:val="000000" w:themeColor="text1"/>
                <w:kern w:val="0"/>
                <w:sz w:val="24"/>
                <w:szCs w:val="24"/>
                <w14:textFill>
                  <w14:solidFill>
                    <w14:schemeClr w14:val="tx1"/>
                  </w14:solidFill>
                </w14:textFill>
              </w:rPr>
              <w:t>″、31°</w:t>
            </w:r>
            <w:r>
              <w:rPr>
                <w:rFonts w:hint="eastAsia" w:ascii="Times New Roman" w:hAnsi="Times New Roman" w:cs="Times New Roman"/>
                <w:color w:val="000000" w:themeColor="text1"/>
                <w:kern w:val="0"/>
                <w:sz w:val="24"/>
                <w:szCs w:val="24"/>
                <w:lang w:val="en-US" w:eastAsia="zh-CN"/>
                <w14:textFill>
                  <w14:solidFill>
                    <w14:schemeClr w14:val="tx1"/>
                  </w14:solidFill>
                </w14:textFill>
              </w:rPr>
              <w:t>38</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4.650</w:t>
            </w:r>
            <w:r>
              <w:rPr>
                <w:rFonts w:hint="eastAsia" w:ascii="Times New Roman" w:hAnsi="Times New Roman" w:cs="Times New Roman"/>
                <w:color w:val="000000" w:themeColor="text1"/>
                <w:kern w:val="0"/>
                <w:sz w:val="24"/>
                <w:szCs w:val="24"/>
                <w14:textFill>
                  <w14:solidFill>
                    <w14:schemeClr w14:val="tx1"/>
                  </w14:solidFill>
                </w14:textFill>
              </w:rPr>
              <w:t>″</w:t>
            </w:r>
            <w:r>
              <w:rPr>
                <w:rFonts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终点坐标</w:t>
            </w:r>
            <w:r>
              <w:rPr>
                <w:rFonts w:hint="eastAsia" w:ascii="Times New Roman" w:hAnsi="Times New Roman" w:cs="Times New Roman"/>
                <w:color w:val="000000" w:themeColor="text1"/>
                <w:kern w:val="0"/>
                <w:sz w:val="24"/>
                <w:szCs w:val="24"/>
                <w14:textFill>
                  <w14:solidFill>
                    <w14:schemeClr w14:val="tx1"/>
                  </w14:solidFill>
                </w14:textFill>
              </w:rPr>
              <w:t>10</w:t>
            </w:r>
            <w:r>
              <w:rPr>
                <w:rFonts w:hint="eastAsia" w:ascii="Times New Roman" w:hAnsi="Times New Roman" w:cs="Times New Roman"/>
                <w:color w:val="000000" w:themeColor="text1"/>
                <w:kern w:val="0"/>
                <w:sz w:val="24"/>
                <w:szCs w:val="24"/>
                <w:lang w:val="en-US" w:eastAsia="zh-CN"/>
                <w14:textFill>
                  <w14:solidFill>
                    <w14:schemeClr w14:val="tx1"/>
                  </w14:solidFill>
                </w14:textFill>
              </w:rPr>
              <w:t>8</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7</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2.604</w:t>
            </w:r>
            <w:r>
              <w:rPr>
                <w:rFonts w:hint="eastAsia" w:ascii="Times New Roman" w:hAnsi="Times New Roman" w:cs="Times New Roman"/>
                <w:color w:val="000000" w:themeColor="text1"/>
                <w:kern w:val="0"/>
                <w:sz w:val="24"/>
                <w:szCs w:val="24"/>
                <w14:textFill>
                  <w14:solidFill>
                    <w14:schemeClr w14:val="tx1"/>
                  </w14:solidFill>
                </w14:textFill>
              </w:rPr>
              <w:t>″、3</w:t>
            </w:r>
            <w:r>
              <w:rPr>
                <w:rFonts w:hint="eastAsia" w:ascii="Times New Roman" w:hAnsi="Times New Roman" w:cs="Times New Roman"/>
                <w:color w:val="000000" w:themeColor="text1"/>
                <w:kern w:val="0"/>
                <w:sz w:val="24"/>
                <w:szCs w:val="24"/>
                <w:lang w:val="en-US" w:eastAsia="zh-CN"/>
                <w14:textFill>
                  <w14:solidFill>
                    <w14:schemeClr w14:val="tx1"/>
                  </w14:solidFill>
                </w14:textFill>
              </w:rPr>
              <w:t>1</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37</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35.228</w:t>
            </w: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小沟河水库灌区主管道：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33.973</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7.092</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30.632</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52.726</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曹家沟水库灌区主管道：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35.777</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14</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46.632</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4.511</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14</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45.184</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漆树沟水库灌区主渠道：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43</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44.110</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44.767</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43</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42.381</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37.089</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刘家坪水库灌区主管道：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6.684</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43</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55.531</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49.016</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49.811</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烂田湾水库灌区主管道：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42.722</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22.124</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59</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4.319</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22.867</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eastAsia"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后头湾水库灌区主渠道：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39.826</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32</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48.367</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51.209</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32</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21.765</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长征水库灌区主管道：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53.471</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37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23.901</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24.830</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22.974</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南六水库灌区主渠道：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40.751</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20</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34.159</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34.984</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20</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35.762</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九军坪水库灌区主管道：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56.899</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10</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59.663</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36</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17.578</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10</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22.604</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276" w:lineRule="auto"/>
              <w:ind w:firstLine="480" w:firstLineChars="200"/>
              <w:rPr>
                <w:rFonts w:hint="default"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老寨沟水库灌区主渠道：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49</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49.064</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31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4.810</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59.720</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32</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9.630</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360" w:lineRule="auto"/>
              <w:ind w:firstLine="480" w:firstLineChars="200"/>
              <w:rPr>
                <w:rFonts w:hint="eastAsia" w:ascii="Times New Roman" w:hAnsi="Times New Roman" w:eastAsia="宋体" w:cs="Times New Roman"/>
                <w:b w:val="0"/>
                <w:bCs w:val="0"/>
                <w:color w:val="000000"/>
                <w:kern w:val="0"/>
                <w:sz w:val="24"/>
                <w:szCs w:val="24"/>
                <w:lang w:val="en-US" w:eastAsia="zh-CN" w:bidi="ar"/>
              </w:rPr>
            </w:pPr>
            <w:r>
              <w:rPr>
                <w:rFonts w:hint="eastAsia" w:ascii="Times New Roman" w:hAnsi="Times New Roman" w:cs="Times New Roman"/>
                <w:kern w:val="0"/>
                <w:sz w:val="24"/>
                <w:szCs w:val="24"/>
                <w:lang w:val="en-US" w:eastAsia="zh-CN"/>
              </w:rPr>
              <w:t>阴洞岩水库灌区主渠道：</w:t>
            </w:r>
            <w:r>
              <w:rPr>
                <w:rFonts w:hint="eastAsia" w:ascii="Times New Roman" w:hAnsi="Times New Roman" w:eastAsia="宋体" w:cs="Times New Roman"/>
                <w:b w:val="0"/>
                <w:bCs w:val="0"/>
                <w:color w:val="000000"/>
                <w:kern w:val="0"/>
                <w:sz w:val="24"/>
                <w:szCs w:val="24"/>
                <w:lang w:val="en-US" w:eastAsia="zh-CN" w:bidi="ar"/>
              </w:rPr>
              <w:t>起点坐标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53.110</w:t>
            </w:r>
            <w:r>
              <w:rPr>
                <w:rFonts w:hint="eastAsia" w:ascii="Times New Roman" w:hAnsi="Times New Roman" w:cs="Times New Roman"/>
                <w:kern w:val="0"/>
                <w:sz w:val="24"/>
                <w:szCs w:val="24"/>
              </w:rPr>
              <w:t>″、31°</w:t>
            </w:r>
            <w:r>
              <w:rPr>
                <w:rFonts w:hint="eastAsia" w:ascii="Times New Roman" w:hAnsi="Times New Roman" w:cs="Times New Roman"/>
                <w:kern w:val="0"/>
                <w:sz w:val="24"/>
                <w:szCs w:val="24"/>
                <w:lang w:val="en-US" w:eastAsia="zh-CN"/>
              </w:rPr>
              <w:t>23</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39.773</w:t>
            </w:r>
            <w:r>
              <w:rPr>
                <w:rFonts w:hint="eastAsia" w:ascii="Times New Roman" w:hAnsi="Times New Roman" w:cs="Times New Roman"/>
                <w:kern w:val="0"/>
                <w:sz w:val="24"/>
                <w:szCs w:val="24"/>
              </w:rPr>
              <w:t>″</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终点坐标</w:t>
            </w:r>
            <w:r>
              <w:rPr>
                <w:rFonts w:hint="eastAsia" w:ascii="Times New Roman" w:hAnsi="Times New Roman" w:cs="Times New Roman"/>
                <w:kern w:val="0"/>
                <w:sz w:val="24"/>
                <w:szCs w:val="24"/>
              </w:rPr>
              <w:t>10</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48</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15.645</w:t>
            </w:r>
            <w:r>
              <w:rPr>
                <w:rFonts w:hint="eastAsia" w:ascii="Times New Roman" w:hAnsi="Times New Roman" w:cs="Times New Roman"/>
                <w:kern w:val="0"/>
                <w:sz w:val="24"/>
                <w:szCs w:val="24"/>
              </w:rPr>
              <w:t>″、3</w:t>
            </w:r>
            <w:r>
              <w:rPr>
                <w:rFonts w:hint="eastAsia" w:ascii="Times New Roman" w:hAnsi="Times New Roman" w:cs="Times New Roman"/>
                <w:kern w:val="0"/>
                <w:sz w:val="24"/>
                <w:szCs w:val="24"/>
                <w:lang w:val="en-US" w:eastAsia="zh-CN"/>
              </w:rPr>
              <w:t>1</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25</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7.796</w:t>
            </w:r>
            <w:r>
              <w:rPr>
                <w:rFonts w:hint="eastAsia" w:ascii="Times New Roman" w:hAnsi="Times New Roman" w:eastAsia="宋体" w:cs="Times New Roman"/>
                <w:b w:val="0"/>
                <w:bCs w:val="0"/>
                <w:color w:val="000000"/>
                <w:kern w:val="0"/>
                <w:sz w:val="24"/>
                <w:szCs w:val="24"/>
                <w:lang w:val="en-US" w:eastAsia="zh-CN" w:bidi="ar"/>
              </w:rPr>
              <w:t>″</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hint="eastAsia" w:ascii="Times New Roman" w:hAnsi="Times New Roman" w:cs="Times New Roman"/>
                <w:kern w:val="0"/>
                <w:sz w:val="24"/>
                <w:szCs w:val="24"/>
              </w:rPr>
              <w:t>（其他小规模支渠</w:t>
            </w:r>
            <w:r>
              <w:rPr>
                <w:rFonts w:hint="eastAsia" w:ascii="Times New Roman" w:hAnsi="Times New Roman" w:cs="Times New Roman"/>
                <w:kern w:val="0"/>
                <w:sz w:val="24"/>
                <w:szCs w:val="24"/>
                <w:lang w:val="en-US" w:eastAsia="zh-CN"/>
              </w:rPr>
              <w:t>渠</w:t>
            </w:r>
            <w:r>
              <w:rPr>
                <w:rFonts w:hint="eastAsia" w:ascii="Times New Roman" w:hAnsi="Times New Roman" w:cs="Times New Roman"/>
                <w:kern w:val="0"/>
                <w:sz w:val="24"/>
                <w:szCs w:val="24"/>
              </w:rPr>
              <w:t>道</w:t>
            </w:r>
            <w:r>
              <w:rPr>
                <w:rFonts w:hint="eastAsia" w:ascii="Times New Roman" w:hAnsi="Times New Roman" w:cs="Times New Roman"/>
                <w:kern w:val="0"/>
                <w:sz w:val="24"/>
                <w:szCs w:val="24"/>
                <w:lang w:val="en-US" w:eastAsia="zh-CN"/>
              </w:rPr>
              <w:t>/管道</w:t>
            </w:r>
            <w:r>
              <w:rPr>
                <w:rFonts w:hint="eastAsia" w:ascii="Times New Roman" w:hAnsi="Times New Roman" w:cs="Times New Roman"/>
                <w:kern w:val="0"/>
                <w:sz w:val="24"/>
                <w:szCs w:val="24"/>
              </w:rPr>
              <w:t>修复、闸门</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rPr>
              <w:t>倒虹吸等此处不再列出）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项目组成及规模</w:t>
            </w:r>
          </w:p>
        </w:tc>
        <w:tc>
          <w:tcPr>
            <w:tcW w:w="9508" w:type="dxa"/>
            <w:tcBorders>
              <w:bottom w:val="single" w:color="auto" w:sz="4" w:space="0"/>
            </w:tcBorders>
          </w:tcPr>
          <w:p>
            <w:pPr>
              <w:autoSpaceDE w:val="0"/>
              <w:autoSpaceDN w:val="0"/>
              <w:adjustRightInd w:val="0"/>
              <w:snapToGrid w:val="0"/>
              <w:spacing w:line="360" w:lineRule="auto"/>
              <w:rPr>
                <w:rFonts w:ascii="Times New Roman" w:hAnsi="Times New Roman" w:cs="Times New Roman"/>
                <w:b/>
                <w:kern w:val="0"/>
                <w:sz w:val="24"/>
                <w:szCs w:val="24"/>
              </w:rPr>
            </w:pPr>
            <w:r>
              <w:rPr>
                <w:rFonts w:ascii="Times New Roman" w:hAnsi="Times New Roman" w:cs="Times New Roman"/>
                <w:b/>
                <w:kern w:val="0"/>
                <w:sz w:val="24"/>
                <w:szCs w:val="24"/>
              </w:rPr>
              <w:t>一、项目基本情况</w:t>
            </w:r>
          </w:p>
          <w:p>
            <w:pPr>
              <w:autoSpaceDE w:val="0"/>
              <w:autoSpaceDN w:val="0"/>
              <w:adjustRightInd w:val="0"/>
              <w:snapToGrid w:val="0"/>
              <w:spacing w:line="360" w:lineRule="auto"/>
              <w:ind w:firstLine="435"/>
              <w:rPr>
                <w:rFonts w:hint="eastAsia" w:ascii="Times New Roman" w:hAnsi="Times New Roman" w:cs="Times New Roman" w:eastAsiaTheme="minorEastAsia"/>
                <w:kern w:val="0"/>
                <w:sz w:val="24"/>
                <w:szCs w:val="24"/>
                <w:lang w:eastAsia="zh-CN"/>
              </w:rPr>
            </w:pPr>
            <w:r>
              <w:rPr>
                <w:rFonts w:ascii="Times New Roman" w:hAnsi="Times New Roman" w:cs="Times New Roman"/>
                <w:kern w:val="0"/>
                <w:sz w:val="24"/>
                <w:szCs w:val="24"/>
              </w:rPr>
              <w:t>项目名称：</w:t>
            </w:r>
            <w:r>
              <w:rPr>
                <w:rFonts w:hint="eastAsia" w:ascii="Times New Roman" w:hAnsi="Times New Roman" w:cs="Times New Roman"/>
                <w:sz w:val="24"/>
                <w:szCs w:val="24"/>
                <w:lang w:eastAsia="zh-CN"/>
              </w:rPr>
              <w:t>宣汉县小型灌区新建项目</w:t>
            </w:r>
          </w:p>
          <w:p>
            <w:pPr>
              <w:autoSpaceDE w:val="0"/>
              <w:autoSpaceDN w:val="0"/>
              <w:adjustRightInd w:val="0"/>
              <w:snapToGrid w:val="0"/>
              <w:spacing w:line="360" w:lineRule="auto"/>
              <w:ind w:firstLine="435"/>
              <w:rPr>
                <w:rFonts w:hint="eastAsia" w:ascii="Times New Roman" w:hAnsi="Times New Roman" w:cs="Times New Roman" w:eastAsiaTheme="minorEastAsia"/>
                <w:kern w:val="0"/>
                <w:sz w:val="24"/>
                <w:szCs w:val="24"/>
                <w:lang w:eastAsia="zh-CN"/>
              </w:rPr>
            </w:pPr>
            <w:r>
              <w:rPr>
                <w:rFonts w:ascii="Times New Roman" w:hAnsi="Times New Roman" w:cs="Times New Roman"/>
                <w:kern w:val="0"/>
                <w:sz w:val="24"/>
                <w:szCs w:val="24"/>
              </w:rPr>
              <w:t>建设单位：</w:t>
            </w:r>
            <w:r>
              <w:rPr>
                <w:rFonts w:hint="eastAsia" w:ascii="Times New Roman" w:hAnsi="Times New Roman" w:cs="Times New Roman"/>
                <w:kern w:val="0"/>
                <w:sz w:val="24"/>
                <w:szCs w:val="24"/>
                <w:lang w:eastAsia="zh-CN"/>
              </w:rPr>
              <w:t>宣汉县小型水库服务中心</w:t>
            </w:r>
          </w:p>
          <w:p>
            <w:pPr>
              <w:autoSpaceDE w:val="0"/>
              <w:autoSpaceDN w:val="0"/>
              <w:adjustRightInd w:val="0"/>
              <w:snapToGrid w:val="0"/>
              <w:spacing w:line="360" w:lineRule="auto"/>
              <w:ind w:firstLine="435"/>
              <w:rPr>
                <w:rFonts w:hint="eastAsia" w:ascii="Times New Roman" w:hAnsi="Times New Roman" w:cs="Times New Roman" w:eastAsiaTheme="minorEastAsia"/>
                <w:kern w:val="0"/>
                <w:sz w:val="24"/>
                <w:szCs w:val="24"/>
                <w:lang w:eastAsia="zh-CN"/>
              </w:rPr>
            </w:pPr>
            <w:r>
              <w:rPr>
                <w:rFonts w:ascii="Times New Roman" w:hAnsi="Times New Roman" w:cs="Times New Roman"/>
                <w:kern w:val="0"/>
                <w:sz w:val="24"/>
                <w:szCs w:val="24"/>
              </w:rPr>
              <w:t>建设地点：</w:t>
            </w:r>
            <w:r>
              <w:rPr>
                <w:rFonts w:hint="eastAsia" w:ascii="Times New Roman" w:hAnsi="Times New Roman" w:cs="Times New Roman"/>
                <w:sz w:val="24"/>
                <w:szCs w:val="24"/>
                <w:lang w:eastAsia="zh-CN"/>
              </w:rPr>
              <w:t>达州市宣汉县</w:t>
            </w:r>
          </w:p>
          <w:p>
            <w:pPr>
              <w:autoSpaceDE w:val="0"/>
              <w:autoSpaceDN w:val="0"/>
              <w:adjustRightInd w:val="0"/>
              <w:snapToGrid w:val="0"/>
              <w:spacing w:line="360" w:lineRule="auto"/>
              <w:ind w:firstLine="435"/>
              <w:rPr>
                <w:rFonts w:ascii="Times New Roman" w:hAnsi="Times New Roman" w:cs="Times New Roman"/>
                <w:kern w:val="0"/>
                <w:sz w:val="24"/>
                <w:szCs w:val="24"/>
              </w:rPr>
            </w:pPr>
            <w:r>
              <w:rPr>
                <w:rFonts w:ascii="Times New Roman" w:hAnsi="Times New Roman" w:cs="Times New Roman"/>
                <w:kern w:val="0"/>
                <w:sz w:val="24"/>
                <w:szCs w:val="24"/>
              </w:rPr>
              <w:t>建设性质：</w:t>
            </w:r>
            <w:r>
              <w:rPr>
                <w:rFonts w:hint="eastAsia" w:ascii="Times New Roman" w:hAnsi="Times New Roman" w:cs="Times New Roman"/>
                <w:kern w:val="0"/>
                <w:sz w:val="24"/>
                <w:szCs w:val="24"/>
                <w:lang w:val="en-US" w:eastAsia="zh-CN"/>
              </w:rPr>
              <w:t>改建、</w:t>
            </w:r>
            <w:r>
              <w:rPr>
                <w:rFonts w:hint="eastAsia" w:ascii="Times New Roman" w:hAnsi="Times New Roman" w:cs="Times New Roman"/>
                <w:kern w:val="0"/>
                <w:sz w:val="24"/>
                <w:szCs w:val="24"/>
              </w:rPr>
              <w:t>新</w:t>
            </w:r>
            <w:r>
              <w:rPr>
                <w:rFonts w:ascii="Times New Roman" w:hAnsi="Times New Roman" w:cs="Times New Roman"/>
                <w:kern w:val="0"/>
                <w:sz w:val="24"/>
                <w:szCs w:val="24"/>
              </w:rPr>
              <w:t>建</w:t>
            </w:r>
          </w:p>
          <w:p>
            <w:pPr>
              <w:autoSpaceDE w:val="0"/>
              <w:autoSpaceDN w:val="0"/>
              <w:adjustRightInd w:val="0"/>
              <w:snapToGrid w:val="0"/>
              <w:spacing w:line="360" w:lineRule="auto"/>
              <w:ind w:firstLine="435"/>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 w:val="24"/>
                <w:szCs w:val="24"/>
                <w14:textFill>
                  <w14:solidFill>
                    <w14:schemeClr w14:val="tx1"/>
                  </w14:solidFill>
                </w14:textFill>
              </w:rPr>
              <w:t>项目总投资：</w:t>
            </w:r>
            <w:r>
              <w:rPr>
                <w:rFonts w:hint="eastAsia" w:ascii="Times New Roman" w:hAnsi="Times New Roman" w:cs="Times New Roman"/>
                <w:color w:val="000000" w:themeColor="text1"/>
                <w:kern w:val="0"/>
                <w:sz w:val="24"/>
                <w:szCs w:val="24"/>
                <w:lang w:val="en-US" w:eastAsia="zh-CN"/>
                <w14:textFill>
                  <w14:solidFill>
                    <w14:schemeClr w14:val="tx1"/>
                  </w14:solidFill>
                </w14:textFill>
              </w:rPr>
              <w:t>5790</w:t>
            </w:r>
            <w:r>
              <w:rPr>
                <w:rFonts w:ascii="Times New Roman" w:hAnsi="Times New Roman" w:cs="Times New Roman"/>
                <w:color w:val="000000" w:themeColor="text1"/>
                <w:kern w:val="0"/>
                <w:sz w:val="24"/>
                <w:szCs w:val="24"/>
                <w14:textFill>
                  <w14:solidFill>
                    <w14:schemeClr w14:val="tx1"/>
                  </w14:solidFill>
                </w14:textFill>
              </w:rPr>
              <w:t>万元</w:t>
            </w:r>
          </w:p>
          <w:p>
            <w:pPr>
              <w:autoSpaceDE w:val="0"/>
              <w:autoSpaceDN w:val="0"/>
              <w:adjustRightInd w:val="0"/>
              <w:snapToGrid w:val="0"/>
              <w:spacing w:line="360" w:lineRule="auto"/>
              <w:ind w:firstLine="435"/>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 w:val="24"/>
                <w:szCs w:val="24"/>
                <w14:textFill>
                  <w14:solidFill>
                    <w14:schemeClr w14:val="tx1"/>
                  </w14:solidFill>
                </w14:textFill>
              </w:rPr>
              <w:t>主要建设内容：</w:t>
            </w:r>
          </w:p>
          <w:p>
            <w:pPr>
              <w:autoSpaceDE w:val="0"/>
              <w:autoSpaceDN w:val="0"/>
              <w:adjustRightInd w:val="0"/>
              <w:snapToGrid w:val="0"/>
              <w:spacing w:line="360" w:lineRule="auto"/>
              <w:ind w:firstLine="435"/>
              <w:rPr>
                <w:rFonts w:hint="default"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1、修复、改造、新建概述：本工程主要水源为各小型水库，通过各干支渠和干支管渠为灌区进行供水。为充分利用项目区已建部分山坪塘积蓄水、降低投资、提高用水保证率，通过新建管网将项目区部分蓄水条件较好的山坪塘进行联通，项目区各灌溉系统通过斗管、山坪塘、蓄水池</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进行自流灌溉，均不设置提升泵</w:t>
            </w: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w:t>
            </w:r>
          </w:p>
          <w:p>
            <w:pPr>
              <w:autoSpaceDE w:val="0"/>
              <w:autoSpaceDN w:val="0"/>
              <w:adjustRightInd w:val="0"/>
              <w:snapToGrid w:val="0"/>
              <w:spacing w:line="360" w:lineRule="auto"/>
              <w:ind w:firstLine="435"/>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2、具体修复内容：</w:t>
            </w:r>
          </w:p>
          <w:p>
            <w:pPr>
              <w:autoSpaceDE w:val="0"/>
              <w:autoSpaceDN w:val="0"/>
              <w:adjustRightInd w:val="0"/>
              <w:snapToGrid w:val="0"/>
              <w:spacing w:line="360" w:lineRule="auto"/>
              <w:ind w:firstLine="435"/>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①对于完好率高、存在淤积情况的渠道，采取渠道修复整治，清淤后明渠加盖板的整治措施。</w:t>
            </w:r>
          </w:p>
          <w:p>
            <w:pPr>
              <w:autoSpaceDE w:val="0"/>
              <w:autoSpaceDN w:val="0"/>
              <w:adjustRightInd w:val="0"/>
              <w:snapToGrid w:val="0"/>
              <w:spacing w:line="360" w:lineRule="auto"/>
              <w:ind w:firstLine="435"/>
              <w:rPr>
                <w:rFonts w:hint="default"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②对于土渠、完好率低的渠道及无输水工程的灌区，采取渠道改管道或新建管道的整治措施。新建管道位置不同铺设方式也不同，对于沿公路、现状渠道等现有设施布置的管道以明管为主，其他部位和小管径PE管以埋管为主。</w:t>
            </w:r>
          </w:p>
          <w:p>
            <w:pPr>
              <w:autoSpaceDE w:val="0"/>
              <w:autoSpaceDN w:val="0"/>
              <w:adjustRightInd w:val="0"/>
              <w:snapToGrid w:val="0"/>
              <w:spacing w:line="360" w:lineRule="auto"/>
              <w:ind w:firstLine="435"/>
              <w:rPr>
                <w:rFonts w:hint="default"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3、建设规模</w:t>
            </w:r>
          </w:p>
          <w:p>
            <w:pPr>
              <w:pStyle w:val="15"/>
              <w:spacing w:line="360" w:lineRule="auto"/>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（1）渠道工程：14个灌区渠道整治修复共63.213km，其中渠道损毁段重建（含土渠衬砌）19.634km，渠道修复43.580km。新建节制闸38座，新建分水闸27座，整治修复渡槽14座，整治修复倒虹吸5座。</w:t>
            </w:r>
          </w:p>
          <w:p>
            <w:pPr>
              <w:pStyle w:val="15"/>
              <w:spacing w:line="360" w:lineRule="auto"/>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2）管道工程：14个灌区管道铺设共32.999km，其中渠改管道（含管道更换）13.236km，新建管道19.763km。含防腐钢管22.682km，PE100管10.317km，各类阀井207座（控制阀26座，排气阀72座，放空阀81座，减压阀9座，排水冲砂阀19座）。</w:t>
            </w:r>
          </w:p>
          <w:p>
            <w:pPr>
              <w:pStyle w:val="15"/>
              <w:spacing w:line="360" w:lineRule="auto"/>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（3）管理设施：14个灌区计量设施共计91处（其中测控一体闸65处，阀井流量计26处）。</w:t>
            </w:r>
          </w:p>
          <w:p>
            <w:pPr>
              <w:pStyle w:val="15"/>
              <w:spacing w:line="360" w:lineRule="auto"/>
              <w:rPr>
                <w:rFonts w:hint="eastAsia"/>
                <w:lang w:val="en-US" w:eastAsia="zh-CN"/>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（4）14个灌区涉及灌面面积共39157亩，均为耕地。本次灌区新增灌面30801亩，改善灌面2244亩，恢复灌面5612亩。</w:t>
            </w:r>
          </w:p>
          <w:p>
            <w:pPr>
              <w:autoSpaceDE w:val="0"/>
              <w:autoSpaceDN w:val="0"/>
              <w:adjustRightInd w:val="0"/>
              <w:snapToGrid w:val="0"/>
              <w:spacing w:line="360" w:lineRule="auto"/>
              <w:rPr>
                <w:rFonts w:hint="default" w:ascii="Times New Roman" w:hAnsi="Times New Roman" w:cs="Times New Roman" w:eastAsiaTheme="minorEastAsia"/>
                <w:b/>
                <w:kern w:val="0"/>
                <w:sz w:val="24"/>
                <w:szCs w:val="24"/>
                <w:lang w:val="en-US" w:eastAsia="zh-CN"/>
              </w:rPr>
            </w:pPr>
            <w:r>
              <w:rPr>
                <w:rFonts w:hint="eastAsia" w:ascii="Times New Roman" w:hAnsi="Times New Roman" w:cs="Times New Roman"/>
                <w:b/>
                <w:kern w:val="0"/>
                <w:sz w:val="24"/>
                <w:szCs w:val="24"/>
                <w:lang w:val="en-US" w:eastAsia="zh-CN"/>
              </w:rPr>
              <w:t>二、项目实施规模</w:t>
            </w:r>
          </w:p>
          <w:p>
            <w:pPr>
              <w:autoSpaceDE w:val="0"/>
              <w:autoSpaceDN w:val="0"/>
              <w:adjustRightInd w:val="0"/>
              <w:snapToGrid w:val="0"/>
              <w:spacing w:line="360" w:lineRule="auto"/>
              <w:ind w:firstLine="482" w:firstLineChars="200"/>
              <w:rPr>
                <w:rFonts w:hint="eastAsia" w:ascii="Times New Roman" w:hAnsi="Times New Roman" w:cs="Times New Roman"/>
                <w:kern w:val="0"/>
                <w:sz w:val="24"/>
                <w:szCs w:val="24"/>
                <w:lang w:val="en-US" w:eastAsia="zh-CN"/>
              </w:rPr>
            </w:pPr>
            <w:r>
              <w:rPr>
                <w:rFonts w:hint="eastAsia" w:ascii="Times New Roman" w:hAnsi="Times New Roman" w:cs="Times New Roman"/>
                <w:b/>
                <w:kern w:val="0"/>
                <w:sz w:val="24"/>
                <w:szCs w:val="24"/>
                <w:lang w:val="en-US" w:eastAsia="zh-CN"/>
              </w:rPr>
              <w:t>本项目实施规模见下表。</w:t>
            </w:r>
          </w:p>
        </w:tc>
      </w:tr>
    </w:tbl>
    <w:p>
      <w:pPr>
        <w:autoSpaceDE w:val="0"/>
        <w:autoSpaceDN w:val="0"/>
        <w:adjustRightInd w:val="0"/>
        <w:snapToGrid w:val="0"/>
        <w:spacing w:line="360" w:lineRule="auto"/>
        <w:jc w:val="center"/>
        <w:rPr>
          <w:rFonts w:ascii="Times New Roman" w:hAnsi="Times New Roman" w:cs="Times New Roman"/>
          <w:kern w:val="0"/>
          <w:sz w:val="24"/>
          <w:szCs w:val="24"/>
        </w:rPr>
        <w:sectPr>
          <w:pgSz w:w="11906" w:h="16838"/>
          <w:pgMar w:top="1440" w:right="1080" w:bottom="1440" w:left="1080" w:header="851" w:footer="992" w:gutter="0"/>
          <w:cols w:space="425" w:num="1"/>
          <w:docGrid w:type="lines" w:linePitch="312" w:charSpace="0"/>
        </w:sectPr>
      </w:pPr>
    </w:p>
    <w:p>
      <w:pPr>
        <w:autoSpaceDE w:val="0"/>
        <w:autoSpaceDN w:val="0"/>
        <w:adjustRightInd w:val="0"/>
        <w:snapToGrid w:val="0"/>
        <w:spacing w:line="240" w:lineRule="auto"/>
        <w:jc w:val="center"/>
        <w:rPr>
          <w:rFonts w:ascii="Times New Roman" w:hAnsi="Times New Roman" w:cs="Times New Roman"/>
          <w:kern w:val="0"/>
          <w:sz w:val="24"/>
          <w:szCs w:val="24"/>
        </w:rPr>
      </w:pPr>
      <w:r>
        <w:rPr>
          <w:rFonts w:hint="eastAsia" w:ascii="Times New Roman" w:hAnsi="Times New Roman" w:cs="Times New Roman"/>
          <w:b/>
          <w:kern w:val="0"/>
          <w:sz w:val="21"/>
          <w:szCs w:val="21"/>
          <w:lang w:val="en-US" w:eastAsia="zh-CN"/>
        </w:rPr>
        <w:t>表2-1  项目主要建设规模一览表</w:t>
      </w:r>
    </w:p>
    <w:tbl>
      <w:tblPr>
        <w:tblStyle w:val="26"/>
        <w:tblW w:w="138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89"/>
        <w:gridCol w:w="765"/>
        <w:gridCol w:w="795"/>
        <w:gridCol w:w="872"/>
        <w:gridCol w:w="734"/>
        <w:gridCol w:w="826"/>
        <w:gridCol w:w="795"/>
        <w:gridCol w:w="703"/>
        <w:gridCol w:w="765"/>
        <w:gridCol w:w="703"/>
        <w:gridCol w:w="703"/>
        <w:gridCol w:w="627"/>
        <w:gridCol w:w="627"/>
        <w:gridCol w:w="673"/>
        <w:gridCol w:w="596"/>
        <w:gridCol w:w="581"/>
        <w:gridCol w:w="612"/>
        <w:gridCol w:w="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26" w:hRule="atLeast"/>
          <w:jc w:val="center"/>
        </w:trPr>
        <w:tc>
          <w:tcPr>
            <w:tcW w:w="1889"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骨干渠系名称</w:t>
            </w: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本次设计灌面（亩）</w:t>
            </w:r>
          </w:p>
        </w:tc>
        <w:tc>
          <w:tcPr>
            <w:tcW w:w="79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渠道重建（含土渠衬砌）（m）</w:t>
            </w:r>
          </w:p>
        </w:tc>
        <w:tc>
          <w:tcPr>
            <w:tcW w:w="872"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渠道修复（含清淤）（</w:t>
            </w:r>
            <w:r>
              <w:rPr>
                <w:rFonts w:hint="default" w:ascii="Times New Roman" w:hAnsi="Times New Roman"/>
                <w:b/>
                <w:bCs/>
                <w:color w:val="000000" w:themeColor="text1"/>
                <w:kern w:val="0"/>
                <w:sz w:val="21"/>
                <w:lang w:val="en-US" w:eastAsia="zh-CN"/>
                <w14:textFill>
                  <w14:solidFill>
                    <w14:schemeClr w14:val="tx1"/>
                  </w14:solidFill>
                </w14:textFill>
              </w:rPr>
              <w:t>m)</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整治隧洞（</w:t>
            </w:r>
            <w:r>
              <w:rPr>
                <w:rFonts w:hint="default" w:ascii="Times New Roman" w:hAnsi="Times New Roman"/>
                <w:b/>
                <w:bCs/>
                <w:color w:val="000000" w:themeColor="text1"/>
                <w:kern w:val="0"/>
                <w:sz w:val="21"/>
                <w:lang w:val="en-US" w:eastAsia="zh-CN"/>
                <w14:textFill>
                  <w14:solidFill>
                    <w14:schemeClr w14:val="tx1"/>
                  </w14:solidFill>
                </w14:textFill>
              </w:rPr>
              <w:t>m</w:t>
            </w:r>
            <w:r>
              <w:rPr>
                <w:rFonts w:hint="eastAsia" w:ascii="Times New Roman" w:hAnsi="Times New Roman"/>
                <w:b/>
                <w:bCs/>
                <w:color w:val="000000" w:themeColor="text1"/>
                <w:kern w:val="0"/>
                <w:sz w:val="21"/>
                <w:lang w:val="en-US" w:eastAsia="zh-CN"/>
                <w14:textFill>
                  <w14:solidFill>
                    <w14:schemeClr w14:val="tx1"/>
                  </w14:solidFill>
                </w14:textFill>
              </w:rPr>
              <w:t>）</w:t>
            </w:r>
          </w:p>
        </w:tc>
        <w:tc>
          <w:tcPr>
            <w:tcW w:w="826"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渠改管道（含管道更换）（m)</w:t>
            </w:r>
          </w:p>
        </w:tc>
        <w:tc>
          <w:tcPr>
            <w:tcW w:w="79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新建管道（</w:t>
            </w:r>
            <w:r>
              <w:rPr>
                <w:rFonts w:hint="default" w:ascii="Times New Roman" w:hAnsi="Times New Roman"/>
                <w:b/>
                <w:bCs/>
                <w:color w:val="000000" w:themeColor="text1"/>
                <w:kern w:val="0"/>
                <w:sz w:val="21"/>
                <w:lang w:val="en-US" w:eastAsia="zh-CN"/>
                <w14:textFill>
                  <w14:solidFill>
                    <w14:schemeClr w14:val="tx1"/>
                  </w14:solidFill>
                </w14:textFill>
              </w:rPr>
              <w:t>m)</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渡槽（座）</w:t>
            </w: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渡槽（</w:t>
            </w:r>
            <w:r>
              <w:rPr>
                <w:rFonts w:hint="default" w:ascii="Times New Roman" w:hAnsi="Times New Roman"/>
                <w:b/>
                <w:bCs/>
                <w:color w:val="000000" w:themeColor="text1"/>
                <w:kern w:val="0"/>
                <w:sz w:val="21"/>
                <w:lang w:val="en-US" w:eastAsia="zh-CN"/>
                <w14:textFill>
                  <w14:solidFill>
                    <w14:schemeClr w14:val="tx1"/>
                  </w14:solidFill>
                </w14:textFill>
              </w:rPr>
              <w:t>m</w:t>
            </w:r>
            <w:r>
              <w:rPr>
                <w:rFonts w:hint="eastAsia" w:ascii="Times New Roman" w:hAnsi="Times New Roman"/>
                <w:b/>
                <w:bCs/>
                <w:color w:val="000000" w:themeColor="text1"/>
                <w:kern w:val="0"/>
                <w:sz w:val="21"/>
                <w:lang w:val="en-US" w:eastAsia="zh-CN"/>
                <w14:textFill>
                  <w14:solidFill>
                    <w14:schemeClr w14:val="tx1"/>
                  </w14:solidFill>
                </w14:textFill>
              </w:rPr>
              <w:t>）</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倒虹管（座）</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倒虹管（</w:t>
            </w:r>
            <w:r>
              <w:rPr>
                <w:rFonts w:hint="default" w:ascii="Times New Roman" w:hAnsi="Times New Roman"/>
                <w:b/>
                <w:bCs/>
                <w:color w:val="000000" w:themeColor="text1"/>
                <w:kern w:val="0"/>
                <w:sz w:val="21"/>
                <w:lang w:val="en-US" w:eastAsia="zh-CN"/>
                <w14:textFill>
                  <w14:solidFill>
                    <w14:schemeClr w14:val="tx1"/>
                  </w14:solidFill>
                </w14:textFill>
              </w:rPr>
              <w:t>m</w:t>
            </w:r>
            <w:r>
              <w:rPr>
                <w:rFonts w:hint="eastAsia" w:ascii="Times New Roman" w:hAnsi="Times New Roman"/>
                <w:b/>
                <w:bCs/>
                <w:color w:val="000000" w:themeColor="text1"/>
                <w:kern w:val="0"/>
                <w:sz w:val="21"/>
                <w:lang w:val="en-US" w:eastAsia="zh-CN"/>
                <w14:textFill>
                  <w14:solidFill>
                    <w14:schemeClr w14:val="tx1"/>
                  </w14:solidFill>
                </w14:textFill>
              </w:rPr>
              <w:t>）</w:t>
            </w: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提灌站（座）</w:t>
            </w: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底栏栅坝（座）</w:t>
            </w:r>
          </w:p>
        </w:tc>
        <w:tc>
          <w:tcPr>
            <w:tcW w:w="67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流量计（套）</w:t>
            </w:r>
          </w:p>
        </w:tc>
        <w:tc>
          <w:tcPr>
            <w:tcW w:w="596"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控制阀井（座）</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压力前池（座）</w:t>
            </w:r>
          </w:p>
        </w:tc>
        <w:tc>
          <w:tcPr>
            <w:tcW w:w="612"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节制闸（座）</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b/>
                <w:bCs/>
                <w:color w:val="000000" w:themeColor="text1"/>
                <w:kern w:val="0"/>
                <w:sz w:val="21"/>
                <w14:textFill>
                  <w14:solidFill>
                    <w14:schemeClr w14:val="tx1"/>
                  </w14:solidFill>
                </w14:textFill>
              </w:rPr>
            </w:pPr>
            <w:r>
              <w:rPr>
                <w:rFonts w:hint="eastAsia" w:ascii="Times New Roman" w:hAnsi="Times New Roman"/>
                <w:b/>
                <w:bCs/>
                <w:color w:val="000000" w:themeColor="text1"/>
                <w:kern w:val="0"/>
                <w:sz w:val="21"/>
                <w:lang w:val="en-US" w:eastAsia="zh-CN"/>
                <w14:textFill>
                  <w14:solidFill>
                    <w14:schemeClr w14:val="tx1"/>
                  </w14:solidFill>
                </w14:textFill>
              </w:rPr>
              <w:t>分水闸（座）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秧田湾水库灌区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3461</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2215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5028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242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1145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209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272 </w:t>
            </w: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7</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观音岩水库灌区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8529</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681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4783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1148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2587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134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4</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310 </w:t>
            </w: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6</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云顶水库灌区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2381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2593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0</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 xml:space="preserve">126 </w:t>
            </w: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6012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小沟河水库灌区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1681</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1214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2102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677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174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曹家沟水库灌区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790</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447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557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 xml:space="preserve">147 </w:t>
            </w: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603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37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2</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漆树沟水库灌区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1660</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137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3804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3051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4</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刘家坪水库灌区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3322</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7679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7759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2719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13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9</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烂田湾水库灌区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785</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526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0</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591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后头湾水库灌区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1376</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0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1737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726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长征水库灌区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3469</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817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2156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 xml:space="preserve">368 </w:t>
            </w: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1747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4224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16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4</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2</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南六水库灌区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1908</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272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5339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 xml:space="preserve">45 </w:t>
            </w: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811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4</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九军坪水库灌区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5548</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531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7400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202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3</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老寨沟水库灌区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1770</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0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0</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766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4566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阴洞岩水库灌区</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2477</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2522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2917 </w:t>
            </w:r>
          </w:p>
        </w:tc>
        <w:tc>
          <w:tcPr>
            <w:tcW w:w="734"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lang w:val="en-US"/>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119</w:t>
            </w: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517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868 </w:t>
            </w: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65"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703"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1</w:t>
            </w:r>
          </w:p>
        </w:tc>
        <w:tc>
          <w:tcPr>
            <w:tcW w:w="581" w:type="dxa"/>
            <w:tcBorders>
              <w:tl2br w:val="nil"/>
              <w:tr2bl w:val="nil"/>
            </w:tcBorders>
            <w:shd w:val="clear" w:color="auto" w:fill="auto"/>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3</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2</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889"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eastAsia" w:ascii="Times New Roman" w:hAnsi="Times New Roman"/>
                <w:color w:val="000000" w:themeColor="text1"/>
                <w:kern w:val="0"/>
                <w:sz w:val="21"/>
                <w14:textFill>
                  <w14:solidFill>
                    <w14:schemeClr w14:val="tx1"/>
                  </w14:solidFill>
                </w14:textFill>
              </w:rPr>
            </w:pPr>
            <w:r>
              <w:rPr>
                <w:rFonts w:hint="eastAsia" w:ascii="Times New Roman" w:hAnsi="Times New Roman"/>
                <w:color w:val="000000" w:themeColor="text1"/>
                <w:kern w:val="0"/>
                <w:sz w:val="21"/>
                <w:lang w:val="en-US" w:eastAsia="zh-CN"/>
                <w14:textFill>
                  <w14:solidFill>
                    <w14:schemeClr w14:val="tx1"/>
                  </w14:solidFill>
                </w14:textFill>
              </w:rPr>
              <w:t>　合计</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39157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19634 </w:t>
            </w:r>
          </w:p>
        </w:tc>
        <w:tc>
          <w:tcPr>
            <w:tcW w:w="87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43580 </w:t>
            </w:r>
          </w:p>
        </w:tc>
        <w:tc>
          <w:tcPr>
            <w:tcW w:w="734"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8</w:t>
            </w:r>
            <w:r>
              <w:rPr>
                <w:rFonts w:hint="eastAsia" w:ascii="Times New Roman" w:hAnsi="Times New Roman"/>
                <w:color w:val="000000" w:themeColor="text1"/>
                <w:kern w:val="0"/>
                <w:sz w:val="21"/>
                <w:lang w:val="en-US" w:eastAsia="zh-CN"/>
                <w14:textFill>
                  <w14:solidFill>
                    <w14:schemeClr w14:val="tx1"/>
                  </w14:solidFill>
                </w14:textFill>
              </w:rPr>
              <w:t>05</w:t>
            </w:r>
            <w:r>
              <w:rPr>
                <w:rFonts w:hint="default" w:ascii="Times New Roman" w:hAnsi="Times New Roman"/>
                <w:color w:val="000000" w:themeColor="text1"/>
                <w:kern w:val="0"/>
                <w:sz w:val="21"/>
                <w:lang w:val="en-US" w:eastAsia="zh-CN"/>
                <w14:textFill>
                  <w14:solidFill>
                    <w14:schemeClr w14:val="tx1"/>
                  </w14:solidFill>
                </w14:textFill>
              </w:rPr>
              <w:t xml:space="preserve"> </w:t>
            </w:r>
          </w:p>
        </w:tc>
        <w:tc>
          <w:tcPr>
            <w:tcW w:w="82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13236 </w:t>
            </w:r>
          </w:p>
        </w:tc>
        <w:tc>
          <w:tcPr>
            <w:tcW w:w="79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19763 </w:t>
            </w:r>
          </w:p>
        </w:tc>
        <w:tc>
          <w:tcPr>
            <w:tcW w:w="70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14 </w:t>
            </w:r>
          </w:p>
        </w:tc>
        <w:tc>
          <w:tcPr>
            <w:tcW w:w="765"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785 </w:t>
            </w:r>
          </w:p>
        </w:tc>
        <w:tc>
          <w:tcPr>
            <w:tcW w:w="70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 </w:t>
            </w:r>
          </w:p>
        </w:tc>
        <w:tc>
          <w:tcPr>
            <w:tcW w:w="70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582 </w:t>
            </w: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5 </w:t>
            </w:r>
          </w:p>
        </w:tc>
        <w:tc>
          <w:tcPr>
            <w:tcW w:w="62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 </w:t>
            </w:r>
          </w:p>
        </w:tc>
        <w:tc>
          <w:tcPr>
            <w:tcW w:w="673"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26</w:t>
            </w:r>
          </w:p>
        </w:tc>
        <w:tc>
          <w:tcPr>
            <w:tcW w:w="596"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26 </w:t>
            </w:r>
          </w:p>
        </w:tc>
        <w:tc>
          <w:tcPr>
            <w:tcW w:w="581"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21 </w:t>
            </w:r>
          </w:p>
        </w:tc>
        <w:tc>
          <w:tcPr>
            <w:tcW w:w="612"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38 </w:t>
            </w:r>
          </w:p>
        </w:tc>
        <w:tc>
          <w:tcPr>
            <w:tcW w:w="587" w:type="dxa"/>
            <w:tcBorders>
              <w:tl2br w:val="nil"/>
              <w:tr2bl w:val="nil"/>
            </w:tcBorders>
            <w:shd w:val="clear" w:color="auto" w:fill="auto"/>
            <w:noWrap/>
            <w:vAlign w:val="center"/>
          </w:tcPr>
          <w:p>
            <w:pPr>
              <w:autoSpaceDE w:val="0"/>
              <w:autoSpaceDN w:val="0"/>
              <w:adjustRightInd w:val="0"/>
              <w:spacing w:line="240" w:lineRule="auto"/>
              <w:ind w:firstLine="0" w:firstLineChars="0"/>
              <w:jc w:val="center"/>
              <w:rPr>
                <w:rFonts w:hint="default" w:ascii="Times New Roman" w:hAnsi="Times New Roman"/>
                <w:color w:val="000000" w:themeColor="text1"/>
                <w:kern w:val="0"/>
                <w:sz w:val="21"/>
                <w14:textFill>
                  <w14:solidFill>
                    <w14:schemeClr w14:val="tx1"/>
                  </w14:solidFill>
                </w14:textFill>
              </w:rPr>
            </w:pPr>
            <w:r>
              <w:rPr>
                <w:rFonts w:hint="default" w:ascii="Times New Roman" w:hAnsi="Times New Roman"/>
                <w:color w:val="000000" w:themeColor="text1"/>
                <w:kern w:val="0"/>
                <w:sz w:val="21"/>
                <w:lang w:val="en-US" w:eastAsia="zh-CN"/>
                <w14:textFill>
                  <w14:solidFill>
                    <w14:schemeClr w14:val="tx1"/>
                  </w14:solidFill>
                </w14:textFill>
              </w:rPr>
              <w:t xml:space="preserve">27 </w:t>
            </w:r>
          </w:p>
        </w:tc>
      </w:tr>
    </w:tbl>
    <w:p>
      <w:pPr>
        <w:autoSpaceDE w:val="0"/>
        <w:autoSpaceDN w:val="0"/>
        <w:adjustRightInd w:val="0"/>
        <w:snapToGrid w:val="0"/>
        <w:spacing w:line="360" w:lineRule="auto"/>
        <w:jc w:val="center"/>
        <w:rPr>
          <w:rFonts w:ascii="Times New Roman" w:hAnsi="Times New Roman" w:cs="Times New Roman"/>
          <w:kern w:val="0"/>
          <w:sz w:val="24"/>
          <w:szCs w:val="24"/>
        </w:rPr>
        <w:sectPr>
          <w:pgSz w:w="16838" w:h="11906" w:orient="landscape"/>
          <w:pgMar w:top="1080" w:right="1440" w:bottom="1080" w:left="1440" w:header="851" w:footer="992" w:gutter="0"/>
          <w:cols w:space="425" w:num="1"/>
          <w:docGrid w:type="lines" w:linePitch="312" w:charSpace="0"/>
        </w:sectPr>
      </w:pPr>
    </w:p>
    <w:tbl>
      <w:tblPr>
        <w:tblStyle w:val="27"/>
        <w:tblW w:w="9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9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项目组成及规模</w:t>
            </w:r>
          </w:p>
        </w:tc>
        <w:tc>
          <w:tcPr>
            <w:tcW w:w="9508" w:type="dxa"/>
          </w:tcPr>
          <w:p>
            <w:pPr>
              <w:autoSpaceDE w:val="0"/>
              <w:autoSpaceDN w:val="0"/>
              <w:adjustRightInd w:val="0"/>
              <w:snapToGrid w:val="0"/>
              <w:spacing w:line="360" w:lineRule="auto"/>
              <w:rPr>
                <w:rFonts w:ascii="Times New Roman" w:hAnsi="Times New Roman" w:cs="Times New Roman"/>
                <w:b/>
                <w:kern w:val="0"/>
                <w:sz w:val="24"/>
                <w:szCs w:val="24"/>
              </w:rPr>
            </w:pPr>
            <w:r>
              <w:rPr>
                <w:rFonts w:hint="eastAsia" w:ascii="Times New Roman" w:hAnsi="Times New Roman" w:cs="Times New Roman"/>
                <w:b/>
                <w:kern w:val="0"/>
                <w:sz w:val="24"/>
                <w:szCs w:val="24"/>
                <w:lang w:val="en-US" w:eastAsia="zh-CN"/>
              </w:rPr>
              <w:t>三</w:t>
            </w:r>
            <w:r>
              <w:rPr>
                <w:rFonts w:ascii="Times New Roman" w:hAnsi="Times New Roman" w:cs="Times New Roman"/>
                <w:b/>
                <w:kern w:val="0"/>
                <w:sz w:val="24"/>
                <w:szCs w:val="24"/>
              </w:rPr>
              <w:t>、项目组成及主要环境问题</w:t>
            </w:r>
          </w:p>
          <w:p>
            <w:pPr>
              <w:autoSpaceDE w:val="0"/>
              <w:autoSpaceDN w:val="0"/>
              <w:adjustRightInd w:val="0"/>
              <w:snapToGrid w:val="0"/>
              <w:spacing w:line="360" w:lineRule="auto"/>
              <w:ind w:firstLine="480"/>
              <w:rPr>
                <w:rFonts w:hint="default" w:ascii="Times New Roman" w:hAnsi="Times New Roman" w:cs="Times New Roman" w:eastAsiaTheme="minorEastAsia"/>
                <w:kern w:val="0"/>
                <w:sz w:val="24"/>
                <w:szCs w:val="24"/>
                <w:lang w:val="en-US" w:eastAsia="zh-CN"/>
              </w:rPr>
            </w:pP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val="en-US" w:eastAsia="zh-CN"/>
              </w:rPr>
              <w:t>一</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val="en-US" w:eastAsia="zh-CN"/>
              </w:rPr>
              <w:t>项目组成</w:t>
            </w:r>
          </w:p>
          <w:p>
            <w:pPr>
              <w:autoSpaceDE w:val="0"/>
              <w:autoSpaceDN w:val="0"/>
              <w:adjustRightInd w:val="0"/>
              <w:snapToGrid w:val="0"/>
              <w:spacing w:line="360" w:lineRule="auto"/>
              <w:ind w:firstLine="480"/>
              <w:rPr>
                <w:rFonts w:ascii="Times New Roman" w:hAnsi="Times New Roman" w:eastAsia="宋体" w:cs="Times New Roman"/>
                <w:b/>
                <w:bCs/>
                <w:kern w:val="0"/>
                <w:szCs w:val="21"/>
              </w:rPr>
            </w:pPr>
            <w:r>
              <w:rPr>
                <w:rFonts w:ascii="Times New Roman" w:hAnsi="Times New Roman" w:cs="Times New Roman"/>
                <w:kern w:val="0"/>
                <w:sz w:val="24"/>
                <w:szCs w:val="24"/>
              </w:rPr>
              <w:t>本项目主体工程为</w:t>
            </w:r>
            <w:r>
              <w:rPr>
                <w:rFonts w:hint="eastAsia" w:ascii="Times New Roman" w:hAnsi="Times New Roman" w:cs="Times New Roman"/>
                <w:kern w:val="0"/>
                <w:sz w:val="24"/>
                <w:szCs w:val="24"/>
                <w:lang w:val="en-US" w:eastAsia="zh-CN"/>
              </w:rPr>
              <w:t>干渠（干管）、支渠（支管）的新建、改建修复</w:t>
            </w:r>
            <w:r>
              <w:rPr>
                <w:rFonts w:ascii="Times New Roman" w:hAnsi="Times New Roman" w:cs="Times New Roman"/>
                <w:kern w:val="0"/>
                <w:sz w:val="24"/>
                <w:szCs w:val="24"/>
              </w:rPr>
              <w:t>建设</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val="en-US" w:eastAsia="zh-CN"/>
              </w:rPr>
              <w:t>配套渠系建筑物和智慧水利系统建设</w:t>
            </w:r>
            <w:r>
              <w:rPr>
                <w:rFonts w:ascii="Times New Roman" w:hAnsi="Times New Roman" w:cs="Times New Roman"/>
                <w:kern w:val="0"/>
                <w:sz w:val="24"/>
                <w:szCs w:val="24"/>
              </w:rPr>
              <w:t>，项目的组成及主要环境</w:t>
            </w:r>
            <w:r>
              <w:rPr>
                <w:rFonts w:hint="eastAsia" w:ascii="Times New Roman" w:hAnsi="Times New Roman" w:cs="Times New Roman"/>
                <w:kern w:val="0"/>
                <w:sz w:val="24"/>
                <w:szCs w:val="24"/>
                <w:lang w:val="en-US" w:eastAsia="zh-CN"/>
              </w:rPr>
              <w:t>问题</w:t>
            </w:r>
            <w:r>
              <w:rPr>
                <w:rFonts w:ascii="Times New Roman" w:hAnsi="Times New Roman" w:cs="Times New Roman"/>
                <w:kern w:val="0"/>
                <w:sz w:val="24"/>
                <w:szCs w:val="24"/>
              </w:rPr>
              <w:t>见下表。</w:t>
            </w:r>
          </w:p>
          <w:p>
            <w:pPr>
              <w:autoSpaceDE w:val="0"/>
              <w:autoSpaceDN w:val="0"/>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表2-</w:t>
            </w:r>
            <w:r>
              <w:rPr>
                <w:rFonts w:hint="eastAsia" w:ascii="Times New Roman" w:hAnsi="Times New Roman" w:eastAsia="宋体" w:cs="Times New Roman"/>
                <w:b/>
                <w:bCs/>
                <w:kern w:val="0"/>
                <w:szCs w:val="21"/>
                <w:lang w:val="en-US" w:eastAsia="zh-CN"/>
              </w:rPr>
              <w:t>2</w:t>
            </w:r>
            <w:r>
              <w:rPr>
                <w:rFonts w:ascii="Times New Roman" w:hAnsi="Times New Roman" w:eastAsia="宋体" w:cs="Times New Roman"/>
                <w:b/>
                <w:bCs/>
                <w:kern w:val="0"/>
                <w:szCs w:val="21"/>
              </w:rPr>
              <w:t xml:space="preserve">  项目组成及主要环境问题</w:t>
            </w:r>
          </w:p>
          <w:tbl>
            <w:tblPr>
              <w:tblStyle w:val="26"/>
              <w:tblW w:w="91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0"/>
              <w:gridCol w:w="381"/>
              <w:gridCol w:w="742"/>
              <w:gridCol w:w="4847"/>
              <w:gridCol w:w="1263"/>
              <w:gridCol w:w="1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740" w:type="dxa"/>
                  <w:vMerge w:val="restart"/>
                  <w:vAlign w:val="center"/>
                </w:tcPr>
                <w:p>
                  <w:pPr>
                    <w:adjustRightInd w:val="0"/>
                    <w:snapToGrid w:val="0"/>
                    <w:jc w:val="center"/>
                    <w:rPr>
                      <w:rFonts w:hint="default" w:ascii="Times New Roman" w:hAnsi="Times New Roman" w:cs="Times New Roman"/>
                      <w:b/>
                      <w:szCs w:val="21"/>
                    </w:rPr>
                  </w:pPr>
                  <w:r>
                    <w:rPr>
                      <w:rFonts w:hint="default" w:ascii="Times New Roman" w:hAnsi="Times New Roman" w:cs="Times New Roman"/>
                      <w:b/>
                      <w:szCs w:val="21"/>
                    </w:rPr>
                    <w:t>类别</w:t>
                  </w:r>
                </w:p>
              </w:tc>
              <w:tc>
                <w:tcPr>
                  <w:tcW w:w="1123" w:type="dxa"/>
                  <w:gridSpan w:val="2"/>
                  <w:vMerge w:val="restart"/>
                  <w:vAlign w:val="center"/>
                </w:tcPr>
                <w:p>
                  <w:pPr>
                    <w:adjustRightInd w:val="0"/>
                    <w:snapToGrid w:val="0"/>
                    <w:jc w:val="center"/>
                    <w:rPr>
                      <w:rFonts w:hint="default" w:ascii="Times New Roman" w:hAnsi="Times New Roman" w:cs="Times New Roman"/>
                      <w:b/>
                      <w:szCs w:val="21"/>
                    </w:rPr>
                  </w:pPr>
                  <w:r>
                    <w:rPr>
                      <w:rFonts w:hint="default" w:ascii="Times New Roman" w:hAnsi="Times New Roman" w:cs="Times New Roman"/>
                      <w:b/>
                      <w:szCs w:val="21"/>
                    </w:rPr>
                    <w:t>项目名称</w:t>
                  </w:r>
                </w:p>
              </w:tc>
              <w:tc>
                <w:tcPr>
                  <w:tcW w:w="4847" w:type="dxa"/>
                  <w:vMerge w:val="restart"/>
                  <w:vAlign w:val="center"/>
                </w:tcPr>
                <w:p>
                  <w:pPr>
                    <w:adjustRightInd w:val="0"/>
                    <w:snapToGrid w:val="0"/>
                    <w:jc w:val="center"/>
                    <w:rPr>
                      <w:rFonts w:hint="default" w:ascii="Times New Roman" w:hAnsi="Times New Roman" w:cs="Times New Roman"/>
                      <w:b/>
                      <w:szCs w:val="21"/>
                    </w:rPr>
                  </w:pPr>
                  <w:r>
                    <w:rPr>
                      <w:rFonts w:hint="default" w:ascii="Times New Roman" w:hAnsi="Times New Roman" w:cs="Times New Roman"/>
                      <w:b/>
                      <w:szCs w:val="21"/>
                    </w:rPr>
                    <w:t>建设内容及规模</w:t>
                  </w:r>
                </w:p>
              </w:tc>
              <w:tc>
                <w:tcPr>
                  <w:tcW w:w="2487" w:type="dxa"/>
                  <w:gridSpan w:val="2"/>
                  <w:vAlign w:val="center"/>
                </w:tcPr>
                <w:p>
                  <w:pPr>
                    <w:adjustRightInd w:val="0"/>
                    <w:snapToGrid w:val="0"/>
                    <w:jc w:val="center"/>
                    <w:rPr>
                      <w:rFonts w:hint="default" w:ascii="Times New Roman" w:hAnsi="Times New Roman" w:cs="Times New Roman"/>
                      <w:b/>
                      <w:szCs w:val="21"/>
                    </w:rPr>
                  </w:pPr>
                  <w:r>
                    <w:rPr>
                      <w:rFonts w:hint="default" w:ascii="Times New Roman" w:hAnsi="Times New Roman" w:cs="Times New Roman"/>
                      <w:b/>
                      <w:szCs w:val="21"/>
                    </w:rPr>
                    <w:t>可能产生的主要环境问题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Merge w:val="continue"/>
                  <w:vAlign w:val="center"/>
                </w:tcPr>
                <w:p>
                  <w:pPr>
                    <w:adjustRightInd w:val="0"/>
                    <w:snapToGrid w:val="0"/>
                    <w:jc w:val="center"/>
                    <w:rPr>
                      <w:rFonts w:hint="default" w:ascii="Times New Roman" w:hAnsi="Times New Roman" w:cs="Times New Roman"/>
                      <w:b/>
                      <w:szCs w:val="21"/>
                    </w:rPr>
                  </w:pPr>
                </w:p>
              </w:tc>
              <w:tc>
                <w:tcPr>
                  <w:tcW w:w="4847" w:type="dxa"/>
                  <w:vMerge w:val="continue"/>
                  <w:vAlign w:val="center"/>
                </w:tcPr>
                <w:p>
                  <w:pPr>
                    <w:adjustRightInd w:val="0"/>
                    <w:snapToGrid w:val="0"/>
                    <w:jc w:val="center"/>
                    <w:rPr>
                      <w:rFonts w:hint="default" w:ascii="Times New Roman" w:hAnsi="Times New Roman" w:cs="Times New Roman"/>
                      <w:b/>
                      <w:szCs w:val="21"/>
                    </w:rPr>
                  </w:pPr>
                </w:p>
              </w:tc>
              <w:tc>
                <w:tcPr>
                  <w:tcW w:w="1263" w:type="dxa"/>
                  <w:vAlign w:val="center"/>
                </w:tcPr>
                <w:p>
                  <w:pPr>
                    <w:adjustRightInd w:val="0"/>
                    <w:snapToGrid w:val="0"/>
                    <w:jc w:val="center"/>
                    <w:rPr>
                      <w:rFonts w:hint="default" w:ascii="Times New Roman" w:hAnsi="Times New Roman" w:cs="Times New Roman"/>
                      <w:b/>
                      <w:szCs w:val="21"/>
                    </w:rPr>
                  </w:pPr>
                  <w:r>
                    <w:rPr>
                      <w:rFonts w:hint="default" w:ascii="Times New Roman" w:hAnsi="Times New Roman" w:cs="Times New Roman"/>
                      <w:b/>
                      <w:szCs w:val="21"/>
                    </w:rPr>
                    <w:t>施工期</w:t>
                  </w:r>
                </w:p>
              </w:tc>
              <w:tc>
                <w:tcPr>
                  <w:tcW w:w="1224" w:type="dxa"/>
                  <w:vAlign w:val="center"/>
                </w:tcPr>
                <w:p>
                  <w:pPr>
                    <w:adjustRightInd w:val="0"/>
                    <w:snapToGrid w:val="0"/>
                    <w:jc w:val="center"/>
                    <w:rPr>
                      <w:rFonts w:hint="default" w:ascii="Times New Roman" w:hAnsi="Times New Roman" w:cs="Times New Roman"/>
                      <w:b/>
                      <w:szCs w:val="21"/>
                    </w:rPr>
                  </w:pPr>
                  <w:r>
                    <w:rPr>
                      <w:rFonts w:hint="default" w:ascii="Times New Roman" w:hAnsi="Times New Roman" w:cs="Times New Roman"/>
                      <w:b/>
                      <w:szCs w:val="21"/>
                    </w:rPr>
                    <w:t>营运期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69" w:hRule="atLeast"/>
                <w:jc w:val="center"/>
              </w:trPr>
              <w:tc>
                <w:tcPr>
                  <w:tcW w:w="740" w:type="dxa"/>
                  <w:vMerge w:val="restart"/>
                  <w:vAlign w:val="center"/>
                </w:tcPr>
                <w:p>
                  <w:pPr>
                    <w:adjustRightInd w:val="0"/>
                    <w:snapToGrid w:val="0"/>
                    <w:jc w:val="center"/>
                    <w:rPr>
                      <w:rFonts w:hint="default" w:ascii="Times New Roman" w:hAnsi="Times New Roman" w:cs="Times New Roman"/>
                      <w:b/>
                      <w:szCs w:val="21"/>
                    </w:rPr>
                  </w:pPr>
                  <w:r>
                    <w:rPr>
                      <w:rFonts w:hint="default" w:ascii="Times New Roman" w:hAnsi="Times New Roman" w:cs="Times New Roman"/>
                      <w:b/>
                      <w:szCs w:val="21"/>
                    </w:rPr>
                    <w:t>主体工程</w:t>
                  </w: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秧田湾水库灌区</w:t>
                  </w:r>
                </w:p>
              </w:tc>
              <w:tc>
                <w:tcPr>
                  <w:tcW w:w="4847" w:type="dxa"/>
                  <w:vAlign w:val="center"/>
                </w:tcPr>
                <w:p>
                  <w:pPr>
                    <w:pStyle w:val="42"/>
                    <w:jc w:val="both"/>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en-US" w:eastAsia="zh-CN"/>
                    </w:rPr>
                    <w:t>拆除重建渠道2215m，渠道修复5028m，渠道改管及管道更换242m，新建管道1145m，修复渡槽3座209m，倒虹管1座272m，配套流量计2套、控制阀2座、压力前池2座、节制闸7座、分水闸1座。</w:t>
                  </w:r>
                </w:p>
              </w:tc>
              <w:tc>
                <w:tcPr>
                  <w:tcW w:w="1263" w:type="dxa"/>
                  <w:vMerge w:val="restart"/>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占用土地</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植被破坏</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水土流失</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施工噪声</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施工废气</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施工扬尘</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建筑垃圾等</w:t>
                  </w:r>
                </w:p>
              </w:tc>
              <w:tc>
                <w:tcPr>
                  <w:tcW w:w="1224" w:type="dxa"/>
                  <w:vMerge w:val="restart"/>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lang w:val="en-US" w:eastAsia="zh-CN"/>
                    </w:rPr>
                    <w:t>农田灌溉退水、地下水污染、地下水位变化等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观音岩水库灌区</w:t>
                  </w:r>
                </w:p>
              </w:tc>
              <w:tc>
                <w:tcPr>
                  <w:tcW w:w="4847" w:type="dxa"/>
                  <w:vAlign w:val="center"/>
                </w:tcPr>
                <w:p>
                  <w:pPr>
                    <w:pStyle w:val="91"/>
                    <w:ind w:left="-105" w:leftChars="-50" w:right="-105" w:rightChars="-5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681</w:t>
                  </w:r>
                  <w:r>
                    <w:rPr>
                      <w:rFonts w:hint="default" w:ascii="Times New Roman" w:hAnsi="Times New Roman" w:cs="Times New Roman" w:eastAsiaTheme="minorEastAsia"/>
                      <w:color w:val="auto"/>
                      <w:lang w:val="en-US" w:eastAsia="zh-CN"/>
                    </w:rPr>
                    <w:t>m，渠道修复</w:t>
                  </w:r>
                  <w:r>
                    <w:rPr>
                      <w:rFonts w:hint="default" w:ascii="Times New Roman" w:hAnsi="Times New Roman" w:cs="Times New Roman"/>
                      <w:color w:val="auto"/>
                      <w:lang w:val="en-US" w:eastAsia="zh-CN"/>
                    </w:rPr>
                    <w:t>4783</w:t>
                  </w:r>
                  <w:r>
                    <w:rPr>
                      <w:rFonts w:hint="default" w:ascii="Times New Roman" w:hAnsi="Times New Roman" w:cs="Times New Roman" w:eastAsiaTheme="minorEastAsia"/>
                      <w:color w:val="auto"/>
                      <w:lang w:val="en-US" w:eastAsia="zh-CN"/>
                    </w:rPr>
                    <w:t>m，渠道改管及管道更换</w:t>
                  </w:r>
                  <w:r>
                    <w:rPr>
                      <w:rFonts w:hint="default" w:ascii="Times New Roman" w:hAnsi="Times New Roman" w:cs="Times New Roman"/>
                      <w:color w:val="auto"/>
                      <w:lang w:val="en-US" w:eastAsia="zh-CN"/>
                    </w:rPr>
                    <w:t>1148</w:t>
                  </w:r>
                  <w:r>
                    <w:rPr>
                      <w:rFonts w:hint="default" w:ascii="Times New Roman" w:hAnsi="Times New Roman" w:cs="Times New Roman" w:eastAsiaTheme="minorEastAsia"/>
                      <w:color w:val="auto"/>
                      <w:lang w:val="en-US" w:eastAsia="zh-CN"/>
                    </w:rPr>
                    <w:t>m，新建管道</w:t>
                  </w:r>
                  <w:r>
                    <w:rPr>
                      <w:rFonts w:hint="default" w:ascii="Times New Roman" w:hAnsi="Times New Roman" w:cs="Times New Roman"/>
                      <w:color w:val="auto"/>
                      <w:lang w:val="en-US" w:eastAsia="zh-CN"/>
                    </w:rPr>
                    <w:t>2587</w:t>
                  </w:r>
                  <w:r>
                    <w:rPr>
                      <w:rFonts w:hint="default" w:ascii="Times New Roman" w:hAnsi="Times New Roman" w:cs="Times New Roman" w:eastAsiaTheme="minorEastAsia"/>
                      <w:color w:val="auto"/>
                      <w:lang w:val="en-US" w:eastAsia="zh-CN"/>
                    </w:rPr>
                    <w:t>m，修复渡槽3座</w:t>
                  </w:r>
                  <w:r>
                    <w:rPr>
                      <w:rFonts w:hint="default" w:ascii="Times New Roman" w:hAnsi="Times New Roman" w:cs="Times New Roman"/>
                      <w:color w:val="auto"/>
                      <w:lang w:val="en-US" w:eastAsia="zh-CN"/>
                    </w:rPr>
                    <w:t>134m</w:t>
                  </w:r>
                  <w:r>
                    <w:rPr>
                      <w:rFonts w:hint="default" w:ascii="Times New Roman" w:hAnsi="Times New Roman" w:cs="Times New Roman" w:eastAsiaTheme="minorEastAsia"/>
                      <w:color w:val="auto"/>
                      <w:lang w:val="en-US" w:eastAsia="zh-CN"/>
                    </w:rPr>
                    <w:t>，倒虹管</w:t>
                  </w:r>
                  <w:r>
                    <w:rPr>
                      <w:rFonts w:hint="default" w:ascii="Times New Roman" w:hAnsi="Times New Roman" w:cs="Times New Roman"/>
                      <w:color w:val="auto"/>
                      <w:lang w:val="en-US" w:eastAsia="zh-CN"/>
                    </w:rPr>
                    <w:t>4</w:t>
                  </w:r>
                  <w:r>
                    <w:rPr>
                      <w:rFonts w:hint="default" w:ascii="Times New Roman" w:hAnsi="Times New Roman" w:cs="Times New Roman" w:eastAsiaTheme="minorEastAsia"/>
                      <w:color w:val="auto"/>
                      <w:lang w:val="en-US" w:eastAsia="zh-CN"/>
                    </w:rPr>
                    <w:t>座</w:t>
                  </w:r>
                  <w:r>
                    <w:rPr>
                      <w:rFonts w:hint="default" w:ascii="Times New Roman" w:hAnsi="Times New Roman" w:cs="Times New Roman"/>
                      <w:color w:val="auto"/>
                      <w:lang w:val="en-US" w:eastAsia="zh-CN"/>
                    </w:rPr>
                    <w:t>310</w:t>
                  </w:r>
                  <w:r>
                    <w:rPr>
                      <w:rFonts w:hint="default" w:ascii="Times New Roman" w:hAnsi="Times New Roman" w:cs="Times New Roman" w:eastAsiaTheme="minorEastAsia"/>
                      <w:color w:val="auto"/>
                      <w:lang w:val="en-US" w:eastAsia="zh-CN"/>
                    </w:rPr>
                    <w:t>m，配套流量计</w:t>
                  </w:r>
                  <w:r>
                    <w:rPr>
                      <w:rFonts w:hint="default" w:ascii="Times New Roman" w:hAnsi="Times New Roman" w:cs="Times New Roman"/>
                      <w:color w:val="auto"/>
                      <w:lang w:val="en-US" w:eastAsia="zh-CN"/>
                    </w:rPr>
                    <w:t>6</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座、分水闸1座。</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云顶水库灌区</w:t>
                  </w:r>
                </w:p>
              </w:tc>
              <w:tc>
                <w:tcPr>
                  <w:tcW w:w="4847" w:type="dxa"/>
                  <w:vAlign w:val="center"/>
                </w:tcPr>
                <w:p>
                  <w:pPr>
                    <w:pStyle w:val="91"/>
                    <w:ind w:left="-105" w:leftChars="-50" w:right="-105" w:rightChars="-5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2593</w:t>
                  </w:r>
                  <w:r>
                    <w:rPr>
                      <w:rFonts w:hint="default" w:ascii="Times New Roman" w:hAnsi="Times New Roman" w:cs="Times New Roman" w:eastAsiaTheme="minorEastAsia"/>
                      <w:color w:val="auto"/>
                      <w:lang w:val="en-US" w:eastAsia="zh-CN"/>
                    </w:rPr>
                    <w:t>m，</w:t>
                  </w:r>
                  <w:r>
                    <w:rPr>
                      <w:rFonts w:hint="default" w:ascii="Times New Roman" w:hAnsi="Times New Roman" w:cs="Times New Roman"/>
                      <w:color w:val="auto"/>
                      <w:lang w:val="en-US" w:eastAsia="zh-CN"/>
                    </w:rPr>
                    <w:t>整治隧洞126m</w:t>
                  </w:r>
                  <w:r>
                    <w:rPr>
                      <w:rFonts w:hint="default" w:ascii="Times New Roman" w:hAnsi="Times New Roman" w:cs="Times New Roman" w:eastAsiaTheme="minorEastAsia"/>
                      <w:color w:val="auto"/>
                      <w:lang w:val="en-US" w:eastAsia="zh-CN"/>
                    </w:rPr>
                    <w:t>，渠道改管及管道更换</w:t>
                  </w:r>
                  <w:r>
                    <w:rPr>
                      <w:rFonts w:hint="default" w:ascii="Times New Roman" w:hAnsi="Times New Roman" w:cs="Times New Roman"/>
                      <w:color w:val="auto"/>
                      <w:lang w:val="en-US" w:eastAsia="zh-CN"/>
                    </w:rPr>
                    <w:t>6012</w:t>
                  </w:r>
                  <w:r>
                    <w:rPr>
                      <w:rFonts w:hint="default" w:ascii="Times New Roman" w:hAnsi="Times New Roman" w:cs="Times New Roman" w:eastAsiaTheme="minorEastAsia"/>
                      <w:color w:val="auto"/>
                      <w:lang w:val="en-US" w:eastAsia="zh-CN"/>
                    </w:rPr>
                    <w:t>m，配套流量计</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小沟河水库灌区</w:t>
                  </w:r>
                </w:p>
              </w:tc>
              <w:tc>
                <w:tcPr>
                  <w:tcW w:w="4847" w:type="dxa"/>
                  <w:vAlign w:val="center"/>
                </w:tcPr>
                <w:p>
                  <w:pPr>
                    <w:pStyle w:val="91"/>
                    <w:ind w:left="-105" w:leftChars="-50" w:right="-105" w:rightChars="-5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1214</w:t>
                  </w:r>
                  <w:r>
                    <w:rPr>
                      <w:rFonts w:hint="default" w:ascii="Times New Roman" w:hAnsi="Times New Roman" w:cs="Times New Roman" w:eastAsiaTheme="minorEastAsia"/>
                      <w:color w:val="auto"/>
                      <w:lang w:val="en-US" w:eastAsia="zh-CN"/>
                    </w:rPr>
                    <w:t>m，渠道修复</w:t>
                  </w:r>
                  <w:r>
                    <w:rPr>
                      <w:rFonts w:hint="default" w:ascii="Times New Roman" w:hAnsi="Times New Roman" w:cs="Times New Roman"/>
                      <w:color w:val="auto"/>
                      <w:lang w:val="en-US" w:eastAsia="zh-CN"/>
                    </w:rPr>
                    <w:t>2102</w:t>
                  </w:r>
                  <w:r>
                    <w:rPr>
                      <w:rFonts w:hint="default" w:ascii="Times New Roman" w:hAnsi="Times New Roman" w:cs="Times New Roman" w:eastAsiaTheme="minorEastAsia"/>
                      <w:color w:val="auto"/>
                      <w:lang w:val="en-US" w:eastAsia="zh-CN"/>
                    </w:rPr>
                    <w:t>m，渠道改管及管道更换</w:t>
                  </w:r>
                  <w:r>
                    <w:rPr>
                      <w:rFonts w:hint="default" w:ascii="Times New Roman" w:hAnsi="Times New Roman" w:cs="Times New Roman"/>
                      <w:color w:val="auto"/>
                      <w:lang w:val="en-US" w:eastAsia="zh-CN"/>
                    </w:rPr>
                    <w:t>677</w:t>
                  </w:r>
                  <w:r>
                    <w:rPr>
                      <w:rFonts w:hint="default" w:ascii="Times New Roman" w:hAnsi="Times New Roman" w:cs="Times New Roman" w:eastAsiaTheme="minorEastAsia"/>
                      <w:color w:val="auto"/>
                      <w:lang w:val="en-US" w:eastAsia="zh-CN"/>
                    </w:rPr>
                    <w:t>m，修复渡槽</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座</w:t>
                  </w:r>
                  <w:r>
                    <w:rPr>
                      <w:rFonts w:hint="default" w:ascii="Times New Roman" w:hAnsi="Times New Roman" w:cs="Times New Roman"/>
                      <w:color w:val="auto"/>
                      <w:lang w:val="en-US" w:eastAsia="zh-CN"/>
                    </w:rPr>
                    <w:t>174m</w:t>
                  </w:r>
                  <w:r>
                    <w:rPr>
                      <w:rFonts w:hint="default" w:ascii="Times New Roman" w:hAnsi="Times New Roman" w:cs="Times New Roman" w:eastAsiaTheme="minorEastAsia"/>
                      <w:color w:val="auto"/>
                      <w:lang w:val="en-US" w:eastAsia="zh-CN"/>
                    </w:rPr>
                    <w:t>，底栏栅坝</w:t>
                  </w:r>
                  <w:r>
                    <w:rPr>
                      <w:rFonts w:hint="default" w:ascii="Times New Roman" w:hAnsi="Times New Roman" w:cs="Times New Roman"/>
                      <w:color w:val="auto"/>
                      <w:lang w:val="en-US" w:eastAsia="zh-CN"/>
                    </w:rPr>
                    <w:t>1座</w:t>
                  </w:r>
                  <w:r>
                    <w:rPr>
                      <w:rFonts w:hint="default" w:ascii="Times New Roman" w:hAnsi="Times New Roman" w:cs="Times New Roman" w:eastAsiaTheme="minorEastAsia"/>
                      <w:color w:val="auto"/>
                      <w:lang w:val="en-US" w:eastAsia="zh-CN"/>
                    </w:rPr>
                    <w:t>，配套流量计</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座、分水闸</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曹家沟水库灌区</w:t>
                  </w:r>
                </w:p>
              </w:tc>
              <w:tc>
                <w:tcPr>
                  <w:tcW w:w="4847" w:type="dxa"/>
                  <w:vAlign w:val="center"/>
                </w:tcPr>
                <w:p>
                  <w:pPr>
                    <w:pStyle w:val="42"/>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447</w:t>
                  </w:r>
                  <w:r>
                    <w:rPr>
                      <w:rFonts w:hint="default" w:ascii="Times New Roman" w:hAnsi="Times New Roman" w:cs="Times New Roman" w:eastAsiaTheme="minorEastAsia"/>
                      <w:color w:val="auto"/>
                      <w:lang w:val="en-US" w:eastAsia="zh-CN"/>
                    </w:rPr>
                    <w:t>m，渠道修复</w:t>
                  </w:r>
                  <w:r>
                    <w:rPr>
                      <w:rFonts w:hint="default" w:ascii="Times New Roman" w:hAnsi="Times New Roman" w:cs="Times New Roman"/>
                      <w:color w:val="auto"/>
                      <w:lang w:val="en-US" w:eastAsia="zh-CN"/>
                    </w:rPr>
                    <w:t>557</w:t>
                  </w:r>
                  <w:r>
                    <w:rPr>
                      <w:rFonts w:hint="default" w:ascii="Times New Roman" w:hAnsi="Times New Roman" w:cs="Times New Roman" w:eastAsiaTheme="minorEastAsia"/>
                      <w:color w:val="auto"/>
                      <w:lang w:val="en-US" w:eastAsia="zh-CN"/>
                    </w:rPr>
                    <w:t>m，</w:t>
                  </w:r>
                  <w:r>
                    <w:rPr>
                      <w:rFonts w:hint="default" w:ascii="Times New Roman" w:hAnsi="Times New Roman" w:cs="Times New Roman"/>
                      <w:color w:val="auto"/>
                      <w:lang w:val="en-US" w:eastAsia="zh-CN"/>
                    </w:rPr>
                    <w:t>整治隧洞147m</w:t>
                  </w:r>
                  <w:r>
                    <w:rPr>
                      <w:rFonts w:hint="default" w:ascii="Times New Roman" w:hAnsi="Times New Roman" w:cs="Times New Roman" w:eastAsiaTheme="minorEastAsia"/>
                      <w:color w:val="auto"/>
                      <w:lang w:val="en-US" w:eastAsia="zh-CN"/>
                    </w:rPr>
                    <w:t>，新建管道</w:t>
                  </w:r>
                  <w:r>
                    <w:rPr>
                      <w:rFonts w:hint="default" w:ascii="Times New Roman" w:hAnsi="Times New Roman" w:cs="Times New Roman"/>
                      <w:color w:val="auto"/>
                      <w:lang w:val="en-US" w:eastAsia="zh-CN"/>
                    </w:rPr>
                    <w:t>603</w:t>
                  </w:r>
                  <w:r>
                    <w:rPr>
                      <w:rFonts w:hint="default" w:ascii="Times New Roman" w:hAnsi="Times New Roman" w:cs="Times New Roman" w:eastAsiaTheme="minorEastAsia"/>
                      <w:color w:val="auto"/>
                      <w:lang w:val="en-US" w:eastAsia="zh-CN"/>
                    </w:rPr>
                    <w:t>m，修复渡槽</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w:t>
                  </w:r>
                  <w:r>
                    <w:rPr>
                      <w:rFonts w:hint="default" w:ascii="Times New Roman" w:hAnsi="Times New Roman" w:cs="Times New Roman"/>
                      <w:color w:val="auto"/>
                      <w:lang w:val="en-US" w:eastAsia="zh-CN"/>
                    </w:rPr>
                    <w:t>37m</w:t>
                  </w:r>
                  <w:r>
                    <w:rPr>
                      <w:rFonts w:hint="default" w:ascii="Times New Roman" w:hAnsi="Times New Roman" w:cs="Times New Roman" w:eastAsiaTheme="minorEastAsia"/>
                      <w:color w:val="auto"/>
                      <w:lang w:val="en-US" w:eastAsia="zh-CN"/>
                    </w:rPr>
                    <w:t>，配套流量计</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座、分水闸2座。</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漆树沟水库灌区</w:t>
                  </w:r>
                </w:p>
              </w:tc>
              <w:tc>
                <w:tcPr>
                  <w:tcW w:w="4847" w:type="dxa"/>
                  <w:vAlign w:val="center"/>
                </w:tcPr>
                <w:p>
                  <w:pPr>
                    <w:pStyle w:val="91"/>
                    <w:ind w:left="-105" w:leftChars="-50" w:right="-105" w:rightChars="-50"/>
                    <w:jc w:val="both"/>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137</w:t>
                  </w:r>
                  <w:r>
                    <w:rPr>
                      <w:rFonts w:hint="default" w:ascii="Times New Roman" w:hAnsi="Times New Roman" w:cs="Times New Roman" w:eastAsiaTheme="minorEastAsia"/>
                      <w:color w:val="auto"/>
                      <w:lang w:val="en-US" w:eastAsia="zh-CN"/>
                    </w:rPr>
                    <w:t>m，渠道修复</w:t>
                  </w:r>
                  <w:r>
                    <w:rPr>
                      <w:rFonts w:hint="default" w:ascii="Times New Roman" w:hAnsi="Times New Roman" w:cs="Times New Roman"/>
                      <w:color w:val="auto"/>
                      <w:lang w:val="en-US" w:eastAsia="zh-CN"/>
                    </w:rPr>
                    <w:t>3804</w:t>
                  </w:r>
                  <w:r>
                    <w:rPr>
                      <w:rFonts w:hint="default" w:ascii="Times New Roman" w:hAnsi="Times New Roman" w:cs="Times New Roman" w:eastAsiaTheme="minorEastAsia"/>
                      <w:color w:val="auto"/>
                      <w:lang w:val="en-US" w:eastAsia="zh-CN"/>
                    </w:rPr>
                    <w:t>m，</w:t>
                  </w:r>
                  <w:r>
                    <w:rPr>
                      <w:rFonts w:hint="default" w:ascii="Times New Roman" w:hAnsi="Times New Roman" w:cs="Times New Roman"/>
                      <w:color w:val="auto"/>
                      <w:lang w:val="en-US" w:eastAsia="zh-CN"/>
                    </w:rPr>
                    <w:t>新建管道3051</w:t>
                  </w:r>
                  <w:r>
                    <w:rPr>
                      <w:rFonts w:hint="default" w:ascii="Times New Roman" w:hAnsi="Times New Roman" w:cs="Times New Roman" w:eastAsiaTheme="minorEastAsia"/>
                      <w:color w:val="auto"/>
                      <w:lang w:val="en-US" w:eastAsia="zh-CN"/>
                    </w:rPr>
                    <w:t>m，配套流量计</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4</w:t>
                  </w:r>
                  <w:r>
                    <w:rPr>
                      <w:rFonts w:hint="default" w:ascii="Times New Roman" w:hAnsi="Times New Roman" w:cs="Times New Roman" w:eastAsiaTheme="minorEastAsia"/>
                      <w:color w:val="auto"/>
                      <w:lang w:val="en-US" w:eastAsia="zh-CN"/>
                    </w:rPr>
                    <w:t>座、分水闸</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eastAsiaTheme="minorEastAsia"/>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刘家坪水库灌区</w:t>
                  </w:r>
                </w:p>
              </w:tc>
              <w:tc>
                <w:tcPr>
                  <w:tcW w:w="4847" w:type="dxa"/>
                  <w:vAlign w:val="center"/>
                </w:tcPr>
                <w:p>
                  <w:pPr>
                    <w:pStyle w:val="91"/>
                    <w:ind w:left="-105" w:leftChars="-50" w:right="-105" w:rightChars="-50"/>
                    <w:jc w:val="left"/>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7679</w:t>
                  </w:r>
                  <w:r>
                    <w:rPr>
                      <w:rFonts w:hint="default" w:ascii="Times New Roman" w:hAnsi="Times New Roman" w:cs="Times New Roman" w:eastAsiaTheme="minorEastAsia"/>
                      <w:color w:val="auto"/>
                      <w:lang w:val="en-US" w:eastAsia="zh-CN"/>
                    </w:rPr>
                    <w:t>m，渠道修复</w:t>
                  </w:r>
                  <w:r>
                    <w:rPr>
                      <w:rFonts w:hint="default" w:ascii="Times New Roman" w:hAnsi="Times New Roman" w:cs="Times New Roman"/>
                      <w:color w:val="auto"/>
                      <w:lang w:val="en-US" w:eastAsia="zh-CN"/>
                    </w:rPr>
                    <w:t>7759</w:t>
                  </w:r>
                  <w:r>
                    <w:rPr>
                      <w:rFonts w:hint="default" w:ascii="Times New Roman" w:hAnsi="Times New Roman" w:cs="Times New Roman" w:eastAsiaTheme="minorEastAsia"/>
                      <w:color w:val="auto"/>
                      <w:lang w:val="en-US" w:eastAsia="zh-CN"/>
                    </w:rPr>
                    <w:t>m，</w:t>
                  </w:r>
                  <w:r>
                    <w:rPr>
                      <w:rFonts w:hint="default" w:ascii="Times New Roman" w:hAnsi="Times New Roman" w:cs="Times New Roman"/>
                      <w:color w:val="auto"/>
                      <w:lang w:val="en-US" w:eastAsia="zh-CN"/>
                    </w:rPr>
                    <w:t>新建管道2719</w:t>
                  </w:r>
                  <w:r>
                    <w:rPr>
                      <w:rFonts w:hint="default" w:ascii="Times New Roman" w:hAnsi="Times New Roman" w:cs="Times New Roman" w:eastAsiaTheme="minorEastAsia"/>
                      <w:color w:val="auto"/>
                      <w:lang w:val="en-US" w:eastAsia="zh-CN"/>
                    </w:rPr>
                    <w:t>m，修复渡槽</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w:t>
                  </w:r>
                  <w:r>
                    <w:rPr>
                      <w:rFonts w:hint="default" w:ascii="Times New Roman" w:hAnsi="Times New Roman" w:cs="Times New Roman"/>
                      <w:color w:val="auto"/>
                      <w:lang w:val="en-US" w:eastAsia="zh-CN"/>
                    </w:rPr>
                    <w:t>37m</w:t>
                  </w:r>
                  <w:r>
                    <w:rPr>
                      <w:rFonts w:hint="default" w:ascii="Times New Roman" w:hAnsi="Times New Roman" w:cs="Times New Roman" w:eastAsiaTheme="minorEastAsia"/>
                      <w:color w:val="auto"/>
                      <w:lang w:val="en-US" w:eastAsia="zh-CN"/>
                    </w:rPr>
                    <w:t>，配套流量计</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9</w:t>
                  </w:r>
                  <w:r>
                    <w:rPr>
                      <w:rFonts w:hint="default" w:ascii="Times New Roman" w:hAnsi="Times New Roman" w:cs="Times New Roman" w:eastAsiaTheme="minorEastAsia"/>
                      <w:color w:val="auto"/>
                      <w:lang w:val="en-US" w:eastAsia="zh-CN"/>
                    </w:rPr>
                    <w:t>座、分水闸</w:t>
                  </w:r>
                  <w:r>
                    <w:rPr>
                      <w:rFonts w:hint="default" w:ascii="Times New Roman" w:hAnsi="Times New Roman" w:cs="Times New Roman"/>
                      <w:color w:val="auto"/>
                      <w:lang w:val="en-US" w:eastAsia="zh-CN"/>
                    </w:rPr>
                    <w:t>7</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color w:val="FF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烂田湾水库灌区</w:t>
                  </w:r>
                </w:p>
              </w:tc>
              <w:tc>
                <w:tcPr>
                  <w:tcW w:w="4847" w:type="dxa"/>
                  <w:vAlign w:val="center"/>
                </w:tcPr>
                <w:p>
                  <w:pPr>
                    <w:pStyle w:val="91"/>
                    <w:ind w:left="-105" w:leftChars="-50" w:right="-105" w:rightChars="-50"/>
                    <w:jc w:val="left"/>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526</w:t>
                  </w:r>
                  <w:r>
                    <w:rPr>
                      <w:rFonts w:hint="default" w:ascii="Times New Roman" w:hAnsi="Times New Roman" w:cs="Times New Roman" w:eastAsiaTheme="minorEastAsia"/>
                      <w:color w:val="auto"/>
                      <w:lang w:val="en-US" w:eastAsia="zh-CN"/>
                    </w:rPr>
                    <w:t>m，渠道改管及管道更换</w:t>
                  </w:r>
                  <w:r>
                    <w:rPr>
                      <w:rFonts w:hint="default" w:ascii="Times New Roman" w:hAnsi="Times New Roman" w:cs="Times New Roman"/>
                      <w:color w:val="auto"/>
                      <w:lang w:val="en-US" w:eastAsia="zh-CN"/>
                    </w:rPr>
                    <w:t>591</w:t>
                  </w:r>
                  <w:r>
                    <w:rPr>
                      <w:rFonts w:hint="default" w:ascii="Times New Roman" w:hAnsi="Times New Roman" w:cs="Times New Roman" w:eastAsiaTheme="minorEastAsia"/>
                      <w:color w:val="auto"/>
                      <w:lang w:val="en-US" w:eastAsia="zh-CN"/>
                    </w:rPr>
                    <w:t>m，配套流量计</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座、分水闸</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eastAsiaTheme="minorEastAsia"/>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后头湾水库灌区</w:t>
                  </w:r>
                </w:p>
              </w:tc>
              <w:tc>
                <w:tcPr>
                  <w:tcW w:w="4847" w:type="dxa"/>
                  <w:vAlign w:val="center"/>
                </w:tcPr>
                <w:p>
                  <w:pPr>
                    <w:pStyle w:val="91"/>
                    <w:ind w:left="-105" w:leftChars="-50" w:right="-105" w:rightChars="-50"/>
                    <w:jc w:val="left"/>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auto"/>
                      <w:lang w:val="en-US" w:eastAsia="zh-CN"/>
                    </w:rPr>
                    <w:t>渠道修复1337m，</w:t>
                  </w:r>
                  <w:r>
                    <w:rPr>
                      <w:rFonts w:hint="default" w:ascii="Times New Roman" w:hAnsi="Times New Roman" w:cs="Times New Roman" w:eastAsiaTheme="minorEastAsia"/>
                      <w:color w:val="auto"/>
                      <w:lang w:val="en-US" w:eastAsia="zh-CN"/>
                    </w:rPr>
                    <w:t>渠道改管及管道更换</w:t>
                  </w:r>
                  <w:r>
                    <w:rPr>
                      <w:rFonts w:hint="default" w:ascii="Times New Roman" w:hAnsi="Times New Roman" w:cs="Times New Roman"/>
                      <w:color w:val="auto"/>
                      <w:lang w:val="en-US" w:eastAsia="zh-CN"/>
                    </w:rPr>
                    <w:t>726</w:t>
                  </w:r>
                  <w:r>
                    <w:rPr>
                      <w:rFonts w:hint="default" w:ascii="Times New Roman" w:hAnsi="Times New Roman" w:cs="Times New Roman" w:eastAsiaTheme="minorEastAsia"/>
                      <w:color w:val="auto"/>
                      <w:lang w:val="en-US" w:eastAsia="zh-CN"/>
                    </w:rPr>
                    <w:t>m，配套流量计</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eastAsiaTheme="minorEastAsia"/>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长征水库灌区</w:t>
                  </w:r>
                </w:p>
              </w:tc>
              <w:tc>
                <w:tcPr>
                  <w:tcW w:w="4847" w:type="dxa"/>
                  <w:vAlign w:val="center"/>
                </w:tcPr>
                <w:p>
                  <w:pPr>
                    <w:pStyle w:val="42"/>
                    <w:jc w:val="both"/>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lang w:val="en-US" w:eastAsia="zh-CN"/>
                    </w:rPr>
                    <w:t>拆除重建渠道817m，渠道修复2156m，渠道改管及管道更换1747m，新建管道4224m，</w:t>
                  </w:r>
                  <w:r>
                    <w:rPr>
                      <w:rFonts w:hint="default" w:ascii="Times New Roman" w:hAnsi="Times New Roman" w:cs="Times New Roman"/>
                      <w:color w:val="auto"/>
                      <w:lang w:val="en-US" w:eastAsia="zh-CN"/>
                    </w:rPr>
                    <w:t>整治隧洞368m</w:t>
                  </w:r>
                  <w:r>
                    <w:rPr>
                      <w:rFonts w:hint="default" w:ascii="Times New Roman" w:hAnsi="Times New Roman" w:cs="Times New Roman" w:eastAsiaTheme="minorEastAsia"/>
                      <w:color w:val="auto"/>
                      <w:lang w:val="en-US" w:eastAsia="zh-CN"/>
                    </w:rPr>
                    <w:t>，修复渡槽1座16m，配套流量计4套、控制阀3座、压力前池2座、节制闸2座、分水闸1座。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南六水库灌区</w:t>
                  </w:r>
                </w:p>
              </w:tc>
              <w:tc>
                <w:tcPr>
                  <w:tcW w:w="4847" w:type="dxa"/>
                  <w:vAlign w:val="center"/>
                </w:tcPr>
                <w:p>
                  <w:pPr>
                    <w:pStyle w:val="91"/>
                    <w:ind w:left="-105" w:leftChars="-50" w:right="-105" w:rightChars="-50"/>
                    <w:jc w:val="left"/>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272</w:t>
                  </w:r>
                  <w:r>
                    <w:rPr>
                      <w:rFonts w:hint="default" w:ascii="Times New Roman" w:hAnsi="Times New Roman" w:cs="Times New Roman" w:eastAsiaTheme="minorEastAsia"/>
                      <w:color w:val="auto"/>
                      <w:lang w:val="en-US" w:eastAsia="zh-CN"/>
                    </w:rPr>
                    <w:t>m，渠道修复</w:t>
                  </w:r>
                  <w:r>
                    <w:rPr>
                      <w:rFonts w:hint="default" w:ascii="Times New Roman" w:hAnsi="Times New Roman" w:cs="Times New Roman"/>
                      <w:color w:val="auto"/>
                      <w:lang w:val="en-US" w:eastAsia="zh-CN"/>
                    </w:rPr>
                    <w:t>5339</w:t>
                  </w:r>
                  <w:r>
                    <w:rPr>
                      <w:rFonts w:hint="default" w:ascii="Times New Roman" w:hAnsi="Times New Roman" w:cs="Times New Roman" w:eastAsiaTheme="minorEastAsia"/>
                      <w:color w:val="auto"/>
                      <w:lang w:val="en-US" w:eastAsia="zh-CN"/>
                    </w:rPr>
                    <w:t>m，渠道改管及管道更换</w:t>
                  </w:r>
                  <w:r>
                    <w:rPr>
                      <w:rFonts w:hint="default" w:ascii="Times New Roman" w:hAnsi="Times New Roman" w:cs="Times New Roman"/>
                      <w:color w:val="auto"/>
                      <w:lang w:val="en-US" w:eastAsia="zh-CN"/>
                    </w:rPr>
                    <w:t>811</w:t>
                  </w:r>
                  <w:r>
                    <w:rPr>
                      <w:rFonts w:hint="default" w:ascii="Times New Roman" w:hAnsi="Times New Roman" w:cs="Times New Roman" w:eastAsiaTheme="minorEastAsia"/>
                      <w:color w:val="auto"/>
                      <w:lang w:val="en-US" w:eastAsia="zh-CN"/>
                    </w:rPr>
                    <w:t>m，</w:t>
                  </w:r>
                  <w:r>
                    <w:rPr>
                      <w:rFonts w:hint="default" w:ascii="Times New Roman" w:hAnsi="Times New Roman" w:cs="Times New Roman"/>
                      <w:color w:val="auto"/>
                      <w:lang w:val="en-US" w:eastAsia="zh-CN"/>
                    </w:rPr>
                    <w:t>整治隧洞45m</w:t>
                  </w:r>
                  <w:r>
                    <w:rPr>
                      <w:rFonts w:hint="default" w:ascii="Times New Roman" w:hAnsi="Times New Roman" w:cs="Times New Roman" w:eastAsiaTheme="minorEastAsia"/>
                      <w:color w:val="auto"/>
                      <w:lang w:val="en-US" w:eastAsia="zh-CN"/>
                    </w:rPr>
                    <w:t>，配套流量计</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4</w:t>
                  </w:r>
                  <w:r>
                    <w:rPr>
                      <w:rFonts w:hint="default" w:ascii="Times New Roman" w:hAnsi="Times New Roman" w:cs="Times New Roman" w:eastAsiaTheme="minorEastAsia"/>
                      <w:color w:val="auto"/>
                      <w:lang w:val="en-US" w:eastAsia="zh-CN"/>
                    </w:rPr>
                    <w:t>座、分水闸</w:t>
                  </w:r>
                  <w:r>
                    <w:rPr>
                      <w:rFonts w:hint="default" w:ascii="Times New Roman" w:hAnsi="Times New Roman" w:cs="Times New Roman"/>
                      <w:color w:val="auto"/>
                      <w:lang w:val="en-US" w:eastAsia="zh-CN"/>
                    </w:rPr>
                    <w:t>5</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九军坪水库灌区</w:t>
                  </w:r>
                </w:p>
              </w:tc>
              <w:tc>
                <w:tcPr>
                  <w:tcW w:w="4847" w:type="dxa"/>
                  <w:vAlign w:val="center"/>
                </w:tcPr>
                <w:p>
                  <w:pPr>
                    <w:pStyle w:val="91"/>
                    <w:ind w:left="-105" w:leftChars="-50" w:right="-105" w:rightChars="-50"/>
                    <w:jc w:val="left"/>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531</w:t>
                  </w:r>
                  <w:r>
                    <w:rPr>
                      <w:rFonts w:hint="default" w:ascii="Times New Roman" w:hAnsi="Times New Roman" w:cs="Times New Roman" w:eastAsiaTheme="minorEastAsia"/>
                      <w:color w:val="auto"/>
                      <w:lang w:val="en-US" w:eastAsia="zh-CN"/>
                    </w:rPr>
                    <w:t>m，渠道修复</w:t>
                  </w:r>
                  <w:r>
                    <w:rPr>
                      <w:rFonts w:hint="default" w:ascii="Times New Roman" w:hAnsi="Times New Roman" w:cs="Times New Roman"/>
                      <w:color w:val="auto"/>
                      <w:lang w:val="en-US" w:eastAsia="zh-CN"/>
                    </w:rPr>
                    <w:t>7400</w:t>
                  </w:r>
                  <w:r>
                    <w:rPr>
                      <w:rFonts w:hint="default" w:ascii="Times New Roman" w:hAnsi="Times New Roman" w:cs="Times New Roman" w:eastAsiaTheme="minorEastAsia"/>
                      <w:color w:val="auto"/>
                      <w:lang w:val="en-US" w:eastAsia="zh-CN"/>
                    </w:rPr>
                    <w:t>m，修复渡槽</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w:t>
                  </w:r>
                  <w:r>
                    <w:rPr>
                      <w:rFonts w:hint="default" w:ascii="Times New Roman" w:hAnsi="Times New Roman" w:cs="Times New Roman"/>
                      <w:color w:val="auto"/>
                      <w:lang w:val="en-US" w:eastAsia="zh-CN"/>
                    </w:rPr>
                    <w:t>202</w:t>
                  </w:r>
                  <w:r>
                    <w:rPr>
                      <w:rFonts w:hint="default" w:ascii="Times New Roman" w:hAnsi="Times New Roman" w:cs="Times New Roman" w:eastAsiaTheme="minorEastAsia"/>
                      <w:color w:val="auto"/>
                      <w:lang w:val="en-US" w:eastAsia="zh-CN"/>
                    </w:rPr>
                    <w:t>m，配套流量计</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套、节制闸</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老寨沟水库灌区</w:t>
                  </w:r>
                </w:p>
              </w:tc>
              <w:tc>
                <w:tcPr>
                  <w:tcW w:w="4847" w:type="dxa"/>
                  <w:vAlign w:val="center"/>
                </w:tcPr>
                <w:p>
                  <w:pPr>
                    <w:pStyle w:val="91"/>
                    <w:ind w:left="-105" w:leftChars="-50" w:right="-105" w:rightChars="-50"/>
                    <w:jc w:val="left"/>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lang w:val="en-US" w:eastAsia="zh-CN"/>
                    </w:rPr>
                    <w:t>渠道改管及管道更换</w:t>
                  </w:r>
                  <w:r>
                    <w:rPr>
                      <w:rFonts w:hint="default" w:ascii="Times New Roman" w:hAnsi="Times New Roman" w:cs="Times New Roman"/>
                      <w:color w:val="auto"/>
                      <w:lang w:val="en-US" w:eastAsia="zh-CN"/>
                    </w:rPr>
                    <w:t>766</w:t>
                  </w:r>
                  <w:r>
                    <w:rPr>
                      <w:rFonts w:hint="default" w:ascii="Times New Roman" w:hAnsi="Times New Roman" w:cs="Times New Roman" w:eastAsiaTheme="minorEastAsia"/>
                      <w:color w:val="auto"/>
                      <w:lang w:val="en-US" w:eastAsia="zh-CN"/>
                    </w:rPr>
                    <w:t>m，</w:t>
                  </w:r>
                  <w:r>
                    <w:rPr>
                      <w:rFonts w:hint="default" w:ascii="Times New Roman" w:hAnsi="Times New Roman" w:cs="Times New Roman"/>
                      <w:color w:val="auto"/>
                      <w:lang w:val="en-US" w:eastAsia="zh-CN"/>
                    </w:rPr>
                    <w:t>新建管道4566m</w:t>
                  </w:r>
                  <w:r>
                    <w:rPr>
                      <w:rFonts w:hint="default" w:ascii="Times New Roman" w:hAnsi="Times New Roman" w:cs="Times New Roman" w:eastAsiaTheme="minorEastAsia"/>
                      <w:color w:val="auto"/>
                      <w:lang w:val="en-US" w:eastAsia="zh-CN"/>
                    </w:rPr>
                    <w:t>，配套底栏栅坝</w:t>
                  </w:r>
                  <w:r>
                    <w:rPr>
                      <w:rFonts w:hint="default" w:ascii="Times New Roman" w:hAnsi="Times New Roman" w:cs="Times New Roman"/>
                      <w:color w:val="auto"/>
                      <w:lang w:val="en-US" w:eastAsia="zh-CN"/>
                    </w:rPr>
                    <w:t>1座、</w:t>
                  </w:r>
                  <w:r>
                    <w:rPr>
                      <w:rFonts w:hint="default" w:ascii="Times New Roman" w:hAnsi="Times New Roman" w:cs="Times New Roman" w:eastAsiaTheme="minorEastAsia"/>
                      <w:color w:val="auto"/>
                      <w:lang w:val="en-US" w:eastAsia="zh-CN"/>
                    </w:rPr>
                    <w:t>流量计</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utoSpaceDE w:val="0"/>
                    <w:autoSpaceDN w:val="0"/>
                    <w:adjustRightInd w:val="0"/>
                    <w:spacing w:line="240" w:lineRule="auto"/>
                    <w:ind w:firstLine="0" w:firstLineChars="0"/>
                    <w:jc w:val="center"/>
                    <w:rPr>
                      <w:rFonts w:hint="default" w:ascii="Times New Roman" w:hAnsi="Times New Roman" w:cs="Times New Roman" w:eastAsiaTheme="minorEastAsia"/>
                      <w:color w:val="000000" w:themeColor="text1"/>
                      <w:kern w:val="0"/>
                      <w:sz w:val="21"/>
                      <w:szCs w:val="22"/>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阴洞岩水库灌区</w:t>
                  </w:r>
                </w:p>
              </w:tc>
              <w:tc>
                <w:tcPr>
                  <w:tcW w:w="4847" w:type="dxa"/>
                  <w:vAlign w:val="center"/>
                </w:tcPr>
                <w:p>
                  <w:pPr>
                    <w:pStyle w:val="91"/>
                    <w:ind w:left="-105" w:leftChars="-50" w:right="-105" w:rightChars="-50"/>
                    <w:jc w:val="left"/>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auto"/>
                      <w:lang w:val="en-US" w:eastAsia="zh-CN"/>
                    </w:rPr>
                    <w:t>拆除重建渠道</w:t>
                  </w:r>
                  <w:r>
                    <w:rPr>
                      <w:rFonts w:hint="default" w:ascii="Times New Roman" w:hAnsi="Times New Roman" w:cs="Times New Roman"/>
                      <w:color w:val="auto"/>
                      <w:lang w:val="en-US" w:eastAsia="zh-CN"/>
                    </w:rPr>
                    <w:t>2522</w:t>
                  </w:r>
                  <w:r>
                    <w:rPr>
                      <w:rFonts w:hint="default" w:ascii="Times New Roman" w:hAnsi="Times New Roman" w:cs="Times New Roman" w:eastAsiaTheme="minorEastAsia"/>
                      <w:color w:val="auto"/>
                      <w:lang w:val="en-US" w:eastAsia="zh-CN"/>
                    </w:rPr>
                    <w:t>m，渠道修复</w:t>
                  </w:r>
                  <w:r>
                    <w:rPr>
                      <w:rFonts w:hint="default" w:ascii="Times New Roman" w:hAnsi="Times New Roman" w:cs="Times New Roman"/>
                      <w:color w:val="auto"/>
                      <w:lang w:val="en-US" w:eastAsia="zh-CN"/>
                    </w:rPr>
                    <w:t>2917</w:t>
                  </w:r>
                  <w:r>
                    <w:rPr>
                      <w:rFonts w:hint="default" w:ascii="Times New Roman" w:hAnsi="Times New Roman" w:cs="Times New Roman" w:eastAsiaTheme="minorEastAsia"/>
                      <w:color w:val="auto"/>
                      <w:lang w:val="en-US" w:eastAsia="zh-CN"/>
                    </w:rPr>
                    <w:t>m，渠道改管及管道更换</w:t>
                  </w:r>
                  <w:r>
                    <w:rPr>
                      <w:rFonts w:hint="default" w:ascii="Times New Roman" w:hAnsi="Times New Roman" w:cs="Times New Roman"/>
                      <w:color w:val="auto"/>
                      <w:lang w:val="en-US" w:eastAsia="zh-CN"/>
                    </w:rPr>
                    <w:t>517</w:t>
                  </w:r>
                  <w:r>
                    <w:rPr>
                      <w:rFonts w:hint="default" w:ascii="Times New Roman" w:hAnsi="Times New Roman" w:cs="Times New Roman" w:eastAsiaTheme="minorEastAsia"/>
                      <w:color w:val="auto"/>
                      <w:lang w:val="en-US" w:eastAsia="zh-CN"/>
                    </w:rPr>
                    <w:t>m，新建管道</w:t>
                  </w:r>
                  <w:r>
                    <w:rPr>
                      <w:rFonts w:hint="default" w:ascii="Times New Roman" w:hAnsi="Times New Roman" w:cs="Times New Roman"/>
                      <w:color w:val="auto"/>
                      <w:lang w:val="en-US" w:eastAsia="zh-CN"/>
                    </w:rPr>
                    <w:t>868</w:t>
                  </w:r>
                  <w:r>
                    <w:rPr>
                      <w:rFonts w:hint="default" w:ascii="Times New Roman" w:hAnsi="Times New Roman" w:cs="Times New Roman" w:eastAsiaTheme="minorEastAsia"/>
                      <w:color w:val="auto"/>
                      <w:lang w:val="en-US" w:eastAsia="zh-CN"/>
                    </w:rPr>
                    <w:t>m，</w:t>
                  </w:r>
                  <w:r>
                    <w:rPr>
                      <w:rFonts w:hint="default" w:ascii="Times New Roman" w:hAnsi="Times New Roman" w:cs="Times New Roman"/>
                      <w:color w:val="auto"/>
                      <w:lang w:val="en-US" w:eastAsia="zh-CN"/>
                    </w:rPr>
                    <w:t>整治隧洞119m</w:t>
                  </w:r>
                  <w:r>
                    <w:rPr>
                      <w:rFonts w:hint="default" w:ascii="Times New Roman" w:hAnsi="Times New Roman" w:cs="Times New Roman" w:eastAsiaTheme="minorEastAsia"/>
                      <w:color w:val="auto"/>
                      <w:lang w:val="en-US" w:eastAsia="zh-CN"/>
                    </w:rPr>
                    <w:t>，配套流量计</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套、控制阀</w:t>
                  </w:r>
                  <w:r>
                    <w:rPr>
                      <w:rFonts w:hint="default" w:ascii="Times New Roman" w:hAnsi="Times New Roman" w:cs="Times New Roman"/>
                      <w:color w:val="auto"/>
                      <w:lang w:val="en-US" w:eastAsia="zh-CN"/>
                    </w:rPr>
                    <w:t>1</w:t>
                  </w:r>
                  <w:r>
                    <w:rPr>
                      <w:rFonts w:hint="default" w:ascii="Times New Roman" w:hAnsi="Times New Roman" w:cs="Times New Roman" w:eastAsiaTheme="minorEastAsia"/>
                      <w:color w:val="auto"/>
                      <w:lang w:val="en-US" w:eastAsia="zh-CN"/>
                    </w:rPr>
                    <w:t>座、压力前池</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座、节制闸</w:t>
                  </w:r>
                  <w:r>
                    <w:rPr>
                      <w:rFonts w:hint="default" w:ascii="Times New Roman" w:hAnsi="Times New Roman" w:cs="Times New Roman"/>
                      <w:color w:val="auto"/>
                      <w:lang w:val="en-US" w:eastAsia="zh-CN"/>
                    </w:rPr>
                    <w:t>2</w:t>
                  </w:r>
                  <w:r>
                    <w:rPr>
                      <w:rFonts w:hint="default" w:ascii="Times New Roman" w:hAnsi="Times New Roman" w:cs="Times New Roman" w:eastAsiaTheme="minorEastAsia"/>
                      <w:color w:val="auto"/>
                      <w:lang w:val="en-US" w:eastAsia="zh-CN"/>
                    </w:rPr>
                    <w:t>座、分水闸</w:t>
                  </w:r>
                  <w:r>
                    <w:rPr>
                      <w:rFonts w:hint="default" w:ascii="Times New Roman" w:hAnsi="Times New Roman" w:cs="Times New Roman"/>
                      <w:color w:val="auto"/>
                      <w:lang w:val="en-US" w:eastAsia="zh-CN"/>
                    </w:rPr>
                    <w:t>5</w:t>
                  </w:r>
                  <w:r>
                    <w:rPr>
                      <w:rFonts w:hint="default" w:ascii="Times New Roman" w:hAnsi="Times New Roman" w:cs="Times New Roman" w:eastAsiaTheme="minorEastAsia"/>
                      <w:color w:val="auto"/>
                      <w:lang w:val="en-US" w:eastAsia="zh-CN"/>
                    </w:rPr>
                    <w:t>座。</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Merge w:val="continue"/>
                  <w:vAlign w:val="center"/>
                </w:tcPr>
                <w:p>
                  <w:pPr>
                    <w:adjustRightInd w:val="0"/>
                    <w:snapToGrid w:val="0"/>
                    <w:jc w:val="center"/>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rFonts w:hint="default" w:ascii="Times New Roman" w:hAnsi="Times New Roman" w:cs="Times New Roman"/>
                      <w:b/>
                      <w:szCs w:val="21"/>
                    </w:rPr>
                  </w:pPr>
                  <w:r>
                    <w:rPr>
                      <w:rFonts w:hint="default" w:ascii="Times New Roman" w:hAnsi="Times New Roman" w:cs="Times New Roman"/>
                      <w:b/>
                      <w:color w:val="000000" w:themeColor="text1"/>
                      <w:szCs w:val="21"/>
                      <w14:textFill>
                        <w14:solidFill>
                          <w14:schemeClr w14:val="tx1"/>
                        </w14:solidFill>
                      </w14:textFill>
                    </w:rPr>
                    <w:t>辅助工程</w:t>
                  </w:r>
                </w:p>
              </w:tc>
              <w:tc>
                <w:tcPr>
                  <w:tcW w:w="1123" w:type="dxa"/>
                  <w:gridSpan w:val="2"/>
                  <w:vAlign w:val="center"/>
                </w:tcPr>
                <w:p>
                  <w:pPr>
                    <w:pStyle w:val="42"/>
                    <w:jc w:val="center"/>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提灌站拆除重建</w:t>
                  </w:r>
                </w:p>
              </w:tc>
              <w:tc>
                <w:tcPr>
                  <w:tcW w:w="4847" w:type="dxa"/>
                  <w:vAlign w:val="center"/>
                </w:tcPr>
                <w:p>
                  <w:pPr>
                    <w:pStyle w:val="42"/>
                    <w:rPr>
                      <w:rFonts w:hint="default" w:ascii="Times New Roman" w:hAnsi="Times New Roman" w:cs="Times New Roman" w:eastAsiaTheme="minorEastAsia"/>
                      <w:color w:val="auto"/>
                      <w:lang w:val="en-US" w:eastAsia="zh-CN"/>
                    </w:rPr>
                  </w:pPr>
                  <w:r>
                    <w:rPr>
                      <w:rFonts w:hint="default" w:ascii="Times New Roman" w:hAnsi="Times New Roman" w:cs="Times New Roman"/>
                      <w:color w:val="000000" w:themeColor="text1"/>
                      <w:kern w:val="0"/>
                      <w:sz w:val="21"/>
                      <w:lang w:val="en-US" w:eastAsia="zh-CN"/>
                      <w14:textFill>
                        <w14:solidFill>
                          <w14:schemeClr w14:val="tx1"/>
                        </w14:solidFill>
                      </w14:textFill>
                    </w:rPr>
                    <w:t>秧田湾水库灌区</w:t>
                  </w:r>
                  <w:r>
                    <w:rPr>
                      <w:rFonts w:hint="default" w:ascii="Times New Roman" w:hAnsi="Times New Roman" w:cs="Times New Roman" w:eastAsiaTheme="minorEastAsia"/>
                      <w:color w:val="auto"/>
                      <w:lang w:val="en-US" w:eastAsia="zh-CN"/>
                    </w:rPr>
                    <w:t>原址拆除重建提灌站2座，最大提灌流量均为0.024m</w:t>
                  </w:r>
                  <w:r>
                    <w:rPr>
                      <w:rFonts w:hint="default" w:ascii="Times New Roman" w:hAnsi="Times New Roman" w:cs="Times New Roman" w:eastAsiaTheme="minorEastAsia"/>
                      <w:color w:val="auto"/>
                      <w:vertAlign w:val="superscript"/>
                      <w:lang w:val="en-US" w:eastAsia="zh-CN"/>
                    </w:rPr>
                    <w:t>3</w:t>
                  </w:r>
                  <w:r>
                    <w:rPr>
                      <w:rFonts w:hint="default" w:ascii="Times New Roman" w:hAnsi="Times New Roman" w:cs="Times New Roman" w:eastAsiaTheme="minorEastAsia"/>
                      <w:color w:val="auto"/>
                      <w:lang w:val="en-US" w:eastAsia="zh-CN"/>
                    </w:rPr>
                    <w:t>/s；</w:t>
                  </w:r>
                </w:p>
                <w:p>
                  <w:pPr>
                    <w:pStyle w:val="42"/>
                    <w:rPr>
                      <w:rFonts w:hint="default" w:ascii="Times New Roman" w:hAnsi="Times New Roman" w:cs="Times New Roman" w:eastAsiaTheme="minorEastAsia"/>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观音岩水库灌区</w:t>
                  </w:r>
                  <w:r>
                    <w:rPr>
                      <w:rFonts w:hint="default" w:ascii="Times New Roman" w:hAnsi="Times New Roman" w:cs="Times New Roman" w:eastAsiaTheme="minorEastAsia"/>
                      <w:color w:val="auto"/>
                      <w:lang w:val="en-US" w:eastAsia="zh-CN"/>
                    </w:rPr>
                    <w:t>原址拆除重建提灌站</w:t>
                  </w:r>
                  <w:r>
                    <w:rPr>
                      <w:rFonts w:hint="default" w:ascii="Times New Roman" w:hAnsi="Times New Roman" w:cs="Times New Roman"/>
                      <w:color w:val="auto"/>
                      <w:lang w:val="en-US" w:eastAsia="zh-CN"/>
                    </w:rPr>
                    <w:t>3</w:t>
                  </w:r>
                  <w:r>
                    <w:rPr>
                      <w:rFonts w:hint="default" w:ascii="Times New Roman" w:hAnsi="Times New Roman" w:cs="Times New Roman" w:eastAsiaTheme="minorEastAsia"/>
                      <w:color w:val="auto"/>
                      <w:lang w:val="en-US" w:eastAsia="zh-CN"/>
                    </w:rPr>
                    <w:t>座，一级最大提灌流量0.051m</w:t>
                  </w:r>
                  <w:r>
                    <w:rPr>
                      <w:rFonts w:hint="default" w:ascii="Times New Roman" w:hAnsi="Times New Roman" w:cs="Times New Roman" w:eastAsiaTheme="minorEastAsia"/>
                      <w:color w:val="auto"/>
                      <w:vertAlign w:val="superscript"/>
                      <w:lang w:val="en-US" w:eastAsia="zh-CN"/>
                    </w:rPr>
                    <w:t>3</w:t>
                  </w:r>
                  <w:r>
                    <w:rPr>
                      <w:rFonts w:hint="default" w:ascii="Times New Roman" w:hAnsi="Times New Roman" w:cs="Times New Roman" w:eastAsiaTheme="minorEastAsia"/>
                      <w:color w:val="auto"/>
                      <w:lang w:val="en-US" w:eastAsia="zh-CN"/>
                    </w:rPr>
                    <w:t>/s，二级最大提灌流量0.040m</w:t>
                  </w:r>
                  <w:r>
                    <w:rPr>
                      <w:rFonts w:hint="default" w:ascii="Times New Roman" w:hAnsi="Times New Roman" w:cs="Times New Roman" w:eastAsiaTheme="minorEastAsia"/>
                      <w:color w:val="auto"/>
                      <w:vertAlign w:val="superscript"/>
                      <w:lang w:val="en-US" w:eastAsia="zh-CN"/>
                    </w:rPr>
                    <w:t>3</w:t>
                  </w:r>
                  <w:r>
                    <w:rPr>
                      <w:rFonts w:hint="default" w:ascii="Times New Roman" w:hAnsi="Times New Roman" w:cs="Times New Roman" w:eastAsiaTheme="minorEastAsia"/>
                      <w:color w:val="auto"/>
                      <w:lang w:val="en-US" w:eastAsia="zh-CN"/>
                    </w:rPr>
                    <w:t>/s。</w:t>
                  </w:r>
                </w:p>
              </w:tc>
              <w:tc>
                <w:tcPr>
                  <w:tcW w:w="1263" w:type="dxa"/>
                  <w:vMerge w:val="continue"/>
                  <w:vAlign w:val="center"/>
                </w:tcPr>
                <w:p>
                  <w:pPr>
                    <w:adjustRightInd w:val="0"/>
                    <w:snapToGrid w:val="0"/>
                    <w:rPr>
                      <w:rFonts w:hint="default" w:ascii="Times New Roman" w:hAnsi="Times New Roman" w:cs="Times New Roman"/>
                      <w:color w:val="000000" w:themeColor="text1"/>
                      <w:szCs w:val="21"/>
                      <w14:textFill>
                        <w14:solidFill>
                          <w14:schemeClr w14:val="tx1"/>
                        </w14:solidFill>
                      </w14:textFill>
                    </w:rPr>
                  </w:pPr>
                </w:p>
              </w:tc>
              <w:tc>
                <w:tcPr>
                  <w:tcW w:w="1224" w:type="dxa"/>
                  <w:vAlign w:val="center"/>
                </w:tcPr>
                <w:p>
                  <w:pPr>
                    <w:adjustRightInd w:val="0"/>
                    <w:snapToGrid w:val="0"/>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color w:val="FF0000"/>
                      <w:szCs w:val="21"/>
                    </w:rPr>
                  </w:pPr>
                </w:p>
              </w:tc>
              <w:tc>
                <w:tcPr>
                  <w:tcW w:w="1123" w:type="dxa"/>
                  <w:gridSpan w:val="2"/>
                  <w:vAlign w:val="center"/>
                </w:tcPr>
                <w:p>
                  <w:pPr>
                    <w:pStyle w:val="42"/>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渠道清淤</w:t>
                  </w:r>
                </w:p>
              </w:tc>
              <w:tc>
                <w:tcPr>
                  <w:tcW w:w="4847" w:type="dxa"/>
                  <w:vAlign w:val="center"/>
                </w:tcPr>
                <w:p>
                  <w:pPr>
                    <w:pStyle w:val="42"/>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清淤规模较小，</w:t>
                  </w:r>
                  <w:r>
                    <w:rPr>
                      <w:rFonts w:hint="default" w:ascii="Times New Roman" w:hAnsi="Times New Roman" w:cs="Times New Roman"/>
                      <w:color w:val="000000" w:themeColor="text1"/>
                      <w:kern w:val="0"/>
                      <w:sz w:val="21"/>
                      <w:lang w:val="en-US" w:eastAsia="zh-CN"/>
                      <w14:textFill>
                        <w14:solidFill>
                          <w14:schemeClr w14:val="tx1"/>
                        </w14:solidFill>
                      </w14:textFill>
                    </w:rPr>
                    <w:t>秧田湾水库灌区清淤22m，观音岩水库灌区清淤176m，小沟河水库灌区清淤14m，漆树沟水库灌区清淤267m，长征水库灌区清淤121m，南六水库灌区清淤55m，阴洞岩水库灌区清淤131m，清淤淤泥量共计5298m</w:t>
                  </w:r>
                  <w:r>
                    <w:rPr>
                      <w:rFonts w:hint="default" w:ascii="Times New Roman" w:hAnsi="Times New Roman" w:cs="Times New Roman"/>
                      <w:color w:val="000000" w:themeColor="text1"/>
                      <w:kern w:val="0"/>
                      <w:sz w:val="21"/>
                      <w:vertAlign w:val="superscript"/>
                      <w:lang w:val="en-US" w:eastAsia="zh-CN"/>
                      <w14:textFill>
                        <w14:solidFill>
                          <w14:schemeClr w14:val="tx1"/>
                        </w14:solidFill>
                      </w14:textFill>
                    </w:rPr>
                    <w:t>3</w:t>
                  </w:r>
                  <w:r>
                    <w:rPr>
                      <w:rFonts w:hint="default" w:ascii="Times New Roman" w:hAnsi="Times New Roman" w:cs="Times New Roman"/>
                      <w:color w:val="000000" w:themeColor="text1"/>
                      <w:kern w:val="0"/>
                      <w:sz w:val="21"/>
                      <w:lang w:val="en-US" w:eastAsia="zh-CN"/>
                      <w14:textFill>
                        <w14:solidFill>
                          <w14:schemeClr w14:val="tx1"/>
                        </w14:solidFill>
                      </w14:textFill>
                    </w:rPr>
                    <w:t>。</w:t>
                  </w:r>
                </w:p>
              </w:tc>
              <w:tc>
                <w:tcPr>
                  <w:tcW w:w="1263" w:type="dxa"/>
                  <w:vMerge w:val="continue"/>
                  <w:vAlign w:val="center"/>
                </w:tcPr>
                <w:p>
                  <w:pPr>
                    <w:adjustRightInd w:val="0"/>
                    <w:snapToGrid w:val="0"/>
                    <w:rPr>
                      <w:rFonts w:hint="default" w:ascii="Times New Roman" w:hAnsi="Times New Roman" w:cs="Times New Roman"/>
                      <w:color w:val="FF0000"/>
                      <w:szCs w:val="21"/>
                    </w:rPr>
                  </w:pPr>
                </w:p>
              </w:tc>
              <w:tc>
                <w:tcPr>
                  <w:tcW w:w="1224" w:type="dxa"/>
                  <w:vAlign w:val="center"/>
                </w:tcPr>
                <w:p>
                  <w:pPr>
                    <w:adjustRightInd w:val="0"/>
                    <w:snapToGrid w:val="0"/>
                    <w:jc w:val="center"/>
                    <w:rPr>
                      <w:rFonts w:hint="default" w:ascii="Times New Roman" w:hAnsi="Times New Roman" w:cs="Times New Roman"/>
                      <w:lang w:val="en-US" w:eastAsia="zh-CN"/>
                    </w:rPr>
                  </w:pPr>
                  <w:r>
                    <w:rPr>
                      <w:rFonts w:hint="default" w:ascii="Times New Roman" w:hAnsi="Times New Roman" w:cs="Times New Roman"/>
                      <w:lang w:val="en-US" w:eastAsia="zh-CN"/>
                    </w:rPr>
                    <w:t>淤泥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color w:val="FF0000"/>
                      <w:szCs w:val="21"/>
                    </w:rPr>
                  </w:pPr>
                </w:p>
              </w:tc>
              <w:tc>
                <w:tcPr>
                  <w:tcW w:w="1123" w:type="dxa"/>
                  <w:gridSpan w:val="2"/>
                  <w:vAlign w:val="center"/>
                </w:tcPr>
                <w:p>
                  <w:pPr>
                    <w:pStyle w:val="42"/>
                    <w:jc w:val="center"/>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土石方工程</w:t>
                  </w:r>
                </w:p>
              </w:tc>
              <w:tc>
                <w:tcPr>
                  <w:tcW w:w="4847" w:type="dxa"/>
                  <w:vAlign w:val="center"/>
                </w:tcPr>
                <w:p>
                  <w:pPr>
                    <w:pStyle w:val="42"/>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本工程土方开挖49491m</w:t>
                  </w:r>
                  <w:r>
                    <w:rPr>
                      <w:rFonts w:hint="default" w:ascii="Times New Roman" w:hAnsi="Times New Roman" w:cs="Times New Roman" w:eastAsiaTheme="minorEastAsia"/>
                      <w:color w:val="000000" w:themeColor="text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，土方全部回填，石方开挖162m</w:t>
                  </w:r>
                  <w:r>
                    <w:rPr>
                      <w:rFonts w:hint="default" w:ascii="Times New Roman" w:hAnsi="Times New Roman" w:cs="Times New Roman" w:eastAsiaTheme="minorEastAsia"/>
                      <w:color w:val="000000" w:themeColor="text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，用于渠堤基础回填。</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40" w:type="dxa"/>
                  <w:vMerge w:val="restart"/>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r>
                    <w:rPr>
                      <w:rFonts w:hint="default" w:ascii="Times New Roman" w:hAnsi="Times New Roman" w:cs="Times New Roman"/>
                      <w:b/>
                      <w:color w:val="000000" w:themeColor="text1"/>
                      <w:szCs w:val="21"/>
                      <w14:textFill>
                        <w14:solidFill>
                          <w14:schemeClr w14:val="tx1"/>
                        </w14:solidFill>
                      </w14:textFill>
                    </w:rPr>
                    <w:t>依托工程</w:t>
                  </w:r>
                </w:p>
              </w:tc>
              <w:tc>
                <w:tcPr>
                  <w:tcW w:w="1123" w:type="dxa"/>
                  <w:gridSpan w:val="2"/>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供电</w:t>
                  </w:r>
                </w:p>
              </w:tc>
              <w:tc>
                <w:tcPr>
                  <w:tcW w:w="4847" w:type="dxa"/>
                  <w:vAlign w:val="center"/>
                </w:tcPr>
                <w:p>
                  <w:pPr>
                    <w:pStyle w:val="42"/>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设备</w:t>
                  </w:r>
                  <w:r>
                    <w:rPr>
                      <w:rFonts w:hint="default" w:ascii="Times New Roman" w:hAnsi="Times New Roman" w:cs="Times New Roman" w:eastAsiaTheme="minorEastAsia"/>
                      <w:color w:val="000000" w:themeColor="text1"/>
                      <w14:textFill>
                        <w14:solidFill>
                          <w14:schemeClr w14:val="tx1"/>
                        </w14:solidFill>
                      </w14:textFill>
                    </w:rPr>
                    <w:t>用电依托区域内国家电网</w:t>
                  </w:r>
                  <w:r>
                    <w:rPr>
                      <w:rFonts w:hint="default" w:ascii="Times New Roman" w:hAnsi="Times New Roman" w:cs="Times New Roman" w:eastAsiaTheme="minorEastAsia"/>
                      <w:color w:val="000000" w:themeColor="text1"/>
                      <w:lang w:eastAsia="zh-CN"/>
                      <w14:textFill>
                        <w14:solidFill>
                          <w14:schemeClr w14:val="tx1"/>
                        </w14:solidFill>
                      </w14:textFill>
                    </w:rPr>
                    <w:t>；</w:t>
                  </w:r>
                  <w:r>
                    <w:rPr>
                      <w:rFonts w:hint="default" w:ascii="Times New Roman" w:hAnsi="Times New Roman" w:cs="Times New Roman" w:eastAsiaTheme="minorEastAsia"/>
                      <w:color w:val="000000" w:themeColor="text1"/>
                      <w:lang w:val="en-US" w:eastAsia="zh-CN"/>
                      <w14:textFill>
                        <w14:solidFill>
                          <w14:schemeClr w14:val="tx1"/>
                        </w14:solidFill>
                      </w14:textFill>
                    </w:rPr>
                    <w:t>施工期部分区域设置柴油发电机。</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740" w:type="dxa"/>
                  <w:vMerge w:val="continue"/>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p>
              </w:tc>
              <w:tc>
                <w:tcPr>
                  <w:tcW w:w="1123" w:type="dxa"/>
                  <w:gridSpan w:val="2"/>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供水</w:t>
                  </w:r>
                </w:p>
              </w:tc>
              <w:tc>
                <w:tcPr>
                  <w:tcW w:w="4847" w:type="dxa"/>
                  <w:vAlign w:val="center"/>
                </w:tcPr>
                <w:p>
                  <w:pPr>
                    <w:pStyle w:val="42"/>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施工期渠道取水，营运期无用水环节，</w:t>
                  </w:r>
                  <w:r>
                    <w:rPr>
                      <w:rFonts w:hint="default" w:ascii="Times New Roman" w:hAnsi="Times New Roman" w:cs="Times New Roman" w:eastAsiaTheme="minorEastAsia"/>
                      <w:color w:val="000000" w:themeColor="text1"/>
                      <w:u w:val="single"/>
                      <w:lang w:val="en-US" w:eastAsia="zh-CN"/>
                      <w14:textFill>
                        <w14:solidFill>
                          <w14:schemeClr w14:val="tx1"/>
                        </w14:solidFill>
                      </w14:textFill>
                    </w:rPr>
                    <w:t>不设置人员驻场值班</w:t>
                  </w:r>
                  <w:r>
                    <w:rPr>
                      <w:rFonts w:hint="default" w:ascii="Times New Roman" w:hAnsi="Times New Roman" w:cs="Times New Roman" w:eastAsiaTheme="minorEastAsia"/>
                      <w:color w:val="000000" w:themeColor="text1"/>
                      <w:lang w:val="en-US" w:eastAsia="zh-CN"/>
                      <w14:textFill>
                        <w14:solidFill>
                          <w14:schemeClr w14:val="tx1"/>
                        </w14:solidFill>
                      </w14:textFill>
                    </w:rPr>
                    <w:t>。</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r>
                    <w:rPr>
                      <w:rFonts w:hint="default" w:ascii="Times New Roman" w:hAnsi="Times New Roman" w:cs="Times New Roman"/>
                      <w:b/>
                      <w:color w:val="000000" w:themeColor="text1"/>
                      <w:szCs w:val="21"/>
                      <w14:textFill>
                        <w14:solidFill>
                          <w14:schemeClr w14:val="tx1"/>
                        </w14:solidFill>
                      </w14:textFill>
                    </w:rPr>
                    <w:t>临时工程</w:t>
                  </w:r>
                </w:p>
              </w:tc>
              <w:tc>
                <w:tcPr>
                  <w:tcW w:w="1123" w:type="dxa"/>
                  <w:gridSpan w:val="2"/>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临时施工场地</w:t>
                  </w:r>
                </w:p>
              </w:tc>
              <w:tc>
                <w:tcPr>
                  <w:tcW w:w="4847" w:type="dxa"/>
                  <w:vAlign w:val="center"/>
                </w:tcPr>
                <w:p>
                  <w:pPr>
                    <w:adjustRightInd w:val="0"/>
                    <w:snapToGrid w:val="0"/>
                    <w:rPr>
                      <w:rFonts w:hint="default" w:ascii="Times New Roman" w:hAnsi="Times New Roman"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14个灌区工程分别设置1个，共计14个：</w:t>
                  </w:r>
                </w:p>
                <w:p>
                  <w:pPr>
                    <w:adjustRightInd w:val="0"/>
                    <w:snapToGrid w:val="0"/>
                    <w:rPr>
                      <w:rFonts w:hint="default" w:ascii="Times New Roman" w:hAnsi="Times New Roman" w:cs="Times New Roman"/>
                      <w:lang w:eastAsia="zh-CN"/>
                    </w:rPr>
                  </w:pPr>
                  <w:r>
                    <w:rPr>
                      <w:rFonts w:hint="default" w:ascii="Times New Roman" w:hAnsi="Times New Roman" w:cs="Times New Roman"/>
                      <w:color w:val="000000" w:themeColor="text1"/>
                      <w:szCs w:val="21"/>
                      <w:lang w:val="en-US" w:eastAsia="zh-CN"/>
                      <w14:textFill>
                        <w14:solidFill>
                          <w14:schemeClr w14:val="tx1"/>
                        </w14:solidFill>
                      </w14:textFill>
                    </w:rPr>
                    <w:t>在交通较为便利远且离集中居住区设置</w:t>
                  </w:r>
                  <w:r>
                    <w:rPr>
                      <w:rFonts w:hint="default" w:ascii="Times New Roman" w:hAnsi="Times New Roman" w:cs="Times New Roman"/>
                      <w:color w:val="000000" w:themeColor="text1"/>
                      <w:szCs w:val="21"/>
                      <w14:textFill>
                        <w14:solidFill>
                          <w14:schemeClr w14:val="tx1"/>
                        </w14:solidFill>
                      </w14:textFill>
                    </w:rPr>
                    <w:t>，占地面积</w:t>
                  </w:r>
                  <w:r>
                    <w:rPr>
                      <w:rFonts w:hint="default" w:ascii="Times New Roman" w:hAnsi="Times New Roman" w:cs="Times New Roman"/>
                      <w:color w:val="000000" w:themeColor="text1"/>
                      <w:szCs w:val="21"/>
                      <w:lang w:val="en-US" w:eastAsia="zh-CN"/>
                      <w14:textFill>
                        <w14:solidFill>
                          <w14:schemeClr w14:val="tx1"/>
                        </w14:solidFill>
                      </w14:textFill>
                    </w:rPr>
                    <w:t>各</w:t>
                  </w:r>
                  <w:r>
                    <w:rPr>
                      <w:rFonts w:hint="default" w:ascii="Times New Roman" w:hAnsi="Times New Roman" w:cs="Times New Roman"/>
                      <w:color w:val="000000" w:themeColor="text1"/>
                      <w:szCs w:val="21"/>
                      <w14:textFill>
                        <w14:solidFill>
                          <w14:schemeClr w14:val="tx1"/>
                        </w14:solidFill>
                      </w14:textFill>
                    </w:rPr>
                    <w:t>约</w:t>
                  </w:r>
                  <w:r>
                    <w:rPr>
                      <w:rFonts w:hint="default" w:ascii="Times New Roman" w:hAnsi="Times New Roman" w:cs="Times New Roman"/>
                      <w:color w:val="000000" w:themeColor="text1"/>
                      <w:szCs w:val="21"/>
                      <w:lang w:val="en-US" w:eastAsia="zh-CN"/>
                      <w14:textFill>
                        <w14:solidFill>
                          <w14:schemeClr w14:val="tx1"/>
                        </w14:solidFill>
                      </w14:textFill>
                    </w:rPr>
                    <w:t>6</w:t>
                  </w:r>
                  <w:r>
                    <w:rPr>
                      <w:rFonts w:hint="default" w:ascii="Times New Roman" w:hAnsi="Times New Roman" w:cs="Times New Roman"/>
                      <w:color w:val="000000" w:themeColor="text1"/>
                      <w:szCs w:val="21"/>
                      <w14:textFill>
                        <w14:solidFill>
                          <w14:schemeClr w14:val="tx1"/>
                        </w14:solidFill>
                      </w14:textFill>
                    </w:rPr>
                    <w:t>00m</w:t>
                  </w:r>
                  <w:r>
                    <w:rPr>
                      <w:rFonts w:hint="default" w:ascii="Times New Roman" w:hAnsi="Times New Roman" w:cs="Times New Roman"/>
                      <w:color w:val="000000" w:themeColor="text1"/>
                      <w:szCs w:val="21"/>
                      <w:vertAlign w:val="superscript"/>
                      <w14:textFill>
                        <w14:solidFill>
                          <w14:schemeClr w14:val="tx1"/>
                        </w14:solidFill>
                      </w14:textFill>
                    </w:rPr>
                    <w:t>2</w:t>
                  </w:r>
                  <w:r>
                    <w:rPr>
                      <w:rFonts w:hint="default" w:ascii="Times New Roman" w:hAnsi="Times New Roman" w:cs="Times New Roman"/>
                      <w:color w:val="000000" w:themeColor="text1"/>
                      <w:szCs w:val="21"/>
                      <w14:textFill>
                        <w14:solidFill>
                          <w14:schemeClr w14:val="tx1"/>
                        </w14:solidFill>
                      </w14:textFill>
                    </w:rPr>
                    <w:t>，主要功能为施工机械临时停放点、</w:t>
                  </w:r>
                  <w:r>
                    <w:rPr>
                      <w:rFonts w:hint="default" w:ascii="Times New Roman" w:hAnsi="Times New Roman" w:cs="Times New Roman"/>
                      <w:color w:val="000000" w:themeColor="text1"/>
                      <w:szCs w:val="21"/>
                      <w:lang w:val="en-US" w:eastAsia="zh-CN"/>
                      <w14:textFill>
                        <w14:solidFill>
                          <w14:schemeClr w14:val="tx1"/>
                        </w14:solidFill>
                      </w14:textFill>
                    </w:rPr>
                    <w:t>综合加工房</w:t>
                  </w:r>
                  <w:r>
                    <w:rPr>
                      <w:rFonts w:hint="default" w:ascii="Times New Roman" w:hAnsi="Times New Roman" w:cs="Times New Roman"/>
                      <w:color w:val="000000" w:themeColor="text1"/>
                      <w:szCs w:val="21"/>
                      <w14:textFill>
                        <w14:solidFill>
                          <w14:schemeClr w14:val="tx1"/>
                        </w14:solidFill>
                      </w14:textFill>
                    </w:rPr>
                    <w:t>、施工物料临时堆场等</w:t>
                  </w:r>
                  <w:r>
                    <w:rPr>
                      <w:rFonts w:hint="default" w:ascii="Times New Roman" w:hAnsi="Times New Roman" w:cs="Times New Roman"/>
                      <w:color w:val="000000" w:themeColor="text1"/>
                      <w:szCs w:val="21"/>
                      <w:lang w:eastAsia="zh-CN"/>
                      <w14:textFill>
                        <w14:solidFill>
                          <w14:schemeClr w14:val="tx1"/>
                        </w14:solidFill>
                      </w14:textFill>
                    </w:rPr>
                    <w:t>。</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p>
              </w:tc>
              <w:tc>
                <w:tcPr>
                  <w:tcW w:w="1123" w:type="dxa"/>
                  <w:gridSpan w:val="2"/>
                  <w:vAlign w:val="center"/>
                </w:tcPr>
                <w:p>
                  <w:pPr>
                    <w:jc w:val="center"/>
                    <w:rPr>
                      <w:rFonts w:hint="default" w:ascii="Times New Roman" w:hAnsi="Times New Roman" w:cs="Times New Roman"/>
                      <w:color w:val="FF0000"/>
                      <w:szCs w:val="21"/>
                    </w:rPr>
                  </w:pPr>
                  <w:r>
                    <w:rPr>
                      <w:rFonts w:hint="default" w:ascii="Times New Roman" w:hAnsi="Times New Roman" w:cs="Times New Roman"/>
                      <w:color w:val="000000" w:themeColor="text1"/>
                      <w:szCs w:val="21"/>
                      <w14:textFill>
                        <w14:solidFill>
                          <w14:schemeClr w14:val="tx1"/>
                        </w14:solidFill>
                      </w14:textFill>
                    </w:rPr>
                    <w:t>临时堆土场</w:t>
                  </w:r>
                </w:p>
              </w:tc>
              <w:tc>
                <w:tcPr>
                  <w:tcW w:w="4847" w:type="dxa"/>
                  <w:vAlign w:val="center"/>
                </w:tcPr>
                <w:p>
                  <w:pPr>
                    <w:adjustRightInd w:val="0"/>
                    <w:snapToGrid w:val="0"/>
                    <w:rPr>
                      <w:rFonts w:hint="default" w:ascii="Times New Roman" w:hAnsi="Times New Roman" w:cs="Times New Roman"/>
                      <w:b w:val="0"/>
                      <w:bCs w:val="0"/>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14个灌区工程分别设置1个，共计14个：</w:t>
                  </w:r>
                </w:p>
                <w:p>
                  <w:pPr>
                    <w:rPr>
                      <w:rFonts w:hint="default" w:ascii="Times New Roman" w:hAnsi="Times New Roman" w:cs="Times New Roman"/>
                      <w:lang w:val="en-US" w:eastAsia="zh-CN"/>
                    </w:rPr>
                  </w:pPr>
                  <w:r>
                    <w:rPr>
                      <w:rFonts w:hint="default" w:ascii="Times New Roman" w:hAnsi="Times New Roman" w:cs="Times New Roman"/>
                      <w:b w:val="0"/>
                      <w:bCs w:val="0"/>
                      <w:color w:val="000000" w:themeColor="text1"/>
                      <w:szCs w:val="21"/>
                      <w14:textFill>
                        <w14:solidFill>
                          <w14:schemeClr w14:val="tx1"/>
                        </w14:solidFill>
                      </w14:textFill>
                    </w:rPr>
                    <w:t>①设置情况：紧邻临时施工场地布置，占地面积</w:t>
                  </w:r>
                  <w:r>
                    <w:rPr>
                      <w:rFonts w:hint="default" w:ascii="Times New Roman" w:hAnsi="Times New Roman" w:cs="Times New Roman"/>
                      <w:b w:val="0"/>
                      <w:bCs w:val="0"/>
                      <w:color w:val="000000" w:themeColor="text1"/>
                      <w:szCs w:val="21"/>
                      <w:lang w:val="en-US" w:eastAsia="zh-CN"/>
                      <w14:textFill>
                        <w14:solidFill>
                          <w14:schemeClr w14:val="tx1"/>
                        </w14:solidFill>
                      </w14:textFill>
                    </w:rPr>
                    <w:t>各</w:t>
                  </w:r>
                  <w:r>
                    <w:rPr>
                      <w:rFonts w:hint="default" w:ascii="Times New Roman" w:hAnsi="Times New Roman" w:cs="Times New Roman"/>
                      <w:b w:val="0"/>
                      <w:bCs w:val="0"/>
                      <w:color w:val="000000" w:themeColor="text1"/>
                      <w:szCs w:val="21"/>
                      <w14:textFill>
                        <w14:solidFill>
                          <w14:schemeClr w14:val="tx1"/>
                        </w14:solidFill>
                      </w14:textFill>
                    </w:rPr>
                    <w:t>约</w:t>
                  </w:r>
                  <w:r>
                    <w:rPr>
                      <w:rFonts w:hint="default" w:ascii="Times New Roman" w:hAnsi="Times New Roman" w:cs="Times New Roman"/>
                      <w:b w:val="0"/>
                      <w:bCs w:val="0"/>
                      <w:color w:val="000000" w:themeColor="text1"/>
                      <w:szCs w:val="21"/>
                      <w:lang w:val="en-US" w:eastAsia="zh-CN"/>
                      <w14:textFill>
                        <w14:solidFill>
                          <w14:schemeClr w14:val="tx1"/>
                        </w14:solidFill>
                      </w14:textFill>
                    </w:rPr>
                    <w:t>2</w:t>
                  </w:r>
                  <w:r>
                    <w:rPr>
                      <w:rFonts w:hint="default" w:ascii="Times New Roman" w:hAnsi="Times New Roman" w:cs="Times New Roman"/>
                      <w:b w:val="0"/>
                      <w:bCs w:val="0"/>
                      <w:color w:val="000000" w:themeColor="text1"/>
                      <w:szCs w:val="21"/>
                      <w14:textFill>
                        <w14:solidFill>
                          <w14:schemeClr w14:val="tx1"/>
                        </w14:solidFill>
                      </w14:textFill>
                    </w:rPr>
                    <w:t>00m</w:t>
                  </w:r>
                  <w:r>
                    <w:rPr>
                      <w:rFonts w:hint="default" w:ascii="Times New Roman" w:hAnsi="Times New Roman" w:cs="Times New Roman"/>
                      <w:b w:val="0"/>
                      <w:bCs w:val="0"/>
                      <w:color w:val="000000" w:themeColor="text1"/>
                      <w:szCs w:val="21"/>
                      <w:vertAlign w:val="superscript"/>
                      <w14:textFill>
                        <w14:solidFill>
                          <w14:schemeClr w14:val="tx1"/>
                        </w14:solidFill>
                      </w14:textFill>
                    </w:rPr>
                    <w:t>2</w:t>
                  </w:r>
                  <w:r>
                    <w:rPr>
                      <w:rFonts w:hint="default" w:ascii="Times New Roman" w:hAnsi="Times New Roman" w:cs="Times New Roman"/>
                      <w:b w:val="0"/>
                      <w:bCs w:val="0"/>
                      <w:color w:val="000000" w:themeColor="text1"/>
                      <w:szCs w:val="21"/>
                      <w14:textFill>
                        <w14:solidFill>
                          <w14:schemeClr w14:val="tx1"/>
                        </w14:solidFill>
                      </w14:textFill>
                    </w:rPr>
                    <w:t>。主要包括环形排水沟</w:t>
                  </w:r>
                  <w:r>
                    <w:rPr>
                      <w:rFonts w:hint="default" w:ascii="Times New Roman" w:hAnsi="Times New Roman" w:cs="Times New Roman"/>
                      <w:b w:val="0"/>
                      <w:bCs w:val="0"/>
                      <w:color w:val="000000" w:themeColor="text1"/>
                      <w:szCs w:val="21"/>
                      <w:lang w:val="en-US" w:eastAsia="zh-CN"/>
                      <w14:textFill>
                        <w14:solidFill>
                          <w14:schemeClr w14:val="tx1"/>
                        </w14:solidFill>
                      </w14:textFill>
                    </w:rPr>
                    <w:t>40</w:t>
                  </w:r>
                  <w:r>
                    <w:rPr>
                      <w:rFonts w:hint="default" w:ascii="Times New Roman" w:hAnsi="Times New Roman" w:cs="Times New Roman"/>
                      <w:b w:val="0"/>
                      <w:bCs w:val="0"/>
                      <w:color w:val="000000" w:themeColor="text1"/>
                      <w:szCs w:val="21"/>
                      <w14:textFill>
                        <w14:solidFill>
                          <w14:schemeClr w14:val="tx1"/>
                        </w14:solidFill>
                      </w14:textFill>
                    </w:rPr>
                    <w:t>0m，沉砂池1口</w:t>
                  </w:r>
                  <w:r>
                    <w:rPr>
                      <w:rFonts w:hint="default" w:ascii="Times New Roman" w:hAnsi="Times New Roman" w:cs="Times New Roman"/>
                      <w:b w:val="0"/>
                      <w:bCs w:val="0"/>
                      <w:color w:val="000000" w:themeColor="text1"/>
                      <w:szCs w:val="21"/>
                      <w:lang w:val="en-US" w:eastAsia="zh-CN"/>
                      <w14:textFill>
                        <w14:solidFill>
                          <w14:schemeClr w14:val="tx1"/>
                        </w14:solidFill>
                      </w14:textFill>
                    </w:rPr>
                    <w:t>8</w:t>
                  </w:r>
                  <w:r>
                    <w:rPr>
                      <w:rFonts w:hint="default" w:ascii="Times New Roman" w:hAnsi="Times New Roman" w:cs="Times New Roman"/>
                      <w:b w:val="0"/>
                      <w:bCs w:val="0"/>
                      <w:color w:val="000000" w:themeColor="text1"/>
                      <w:szCs w:val="21"/>
                      <w14:textFill>
                        <w14:solidFill>
                          <w14:schemeClr w14:val="tx1"/>
                        </w14:solidFill>
                      </w14:textFill>
                    </w:rPr>
                    <w:t>m</w:t>
                  </w:r>
                  <w:r>
                    <w:rPr>
                      <w:rFonts w:hint="default" w:ascii="Times New Roman" w:hAnsi="Times New Roman" w:cs="Times New Roman"/>
                      <w:b w:val="0"/>
                      <w:bCs w:val="0"/>
                      <w:color w:val="000000" w:themeColor="text1"/>
                      <w:szCs w:val="21"/>
                      <w:vertAlign w:val="superscript"/>
                      <w14:textFill>
                        <w14:solidFill>
                          <w14:schemeClr w14:val="tx1"/>
                        </w14:solidFill>
                      </w14:textFill>
                    </w:rPr>
                    <w:t>3</w:t>
                  </w:r>
                  <w:r>
                    <w:rPr>
                      <w:rFonts w:hint="default" w:ascii="Times New Roman" w:hAnsi="Times New Roman" w:cs="Times New Roman"/>
                      <w:b w:val="0"/>
                      <w:bCs w:val="0"/>
                      <w:color w:val="000000" w:themeColor="text1"/>
                      <w:szCs w:val="21"/>
                      <w14:textFill>
                        <w14:solidFill>
                          <w14:schemeClr w14:val="tx1"/>
                        </w14:solidFill>
                      </w14:textFill>
                    </w:rPr>
                    <w:t>，</w:t>
                  </w:r>
                  <w:r>
                    <w:rPr>
                      <w:rFonts w:hint="default" w:ascii="Times New Roman" w:hAnsi="Times New Roman" w:cs="Times New Roman"/>
                      <w:b w:val="0"/>
                      <w:bCs w:val="0"/>
                      <w:color w:val="000000" w:themeColor="text1"/>
                      <w:szCs w:val="21"/>
                      <w:lang w:val="en-US" w:eastAsia="zh-CN"/>
                      <w14:textFill>
                        <w14:solidFill>
                          <w14:schemeClr w14:val="tx1"/>
                        </w14:solidFill>
                      </w14:textFill>
                    </w:rPr>
                    <w:t>隔油沉淀池1口2m</w:t>
                  </w:r>
                  <w:r>
                    <w:rPr>
                      <w:rFonts w:hint="default" w:ascii="Times New Roman" w:hAnsi="Times New Roman" w:cs="Times New Roman"/>
                      <w:b w:val="0"/>
                      <w:bCs w:val="0"/>
                      <w:color w:val="000000" w:themeColor="text1"/>
                      <w:szCs w:val="21"/>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Cs w:val="21"/>
                      <w:lang w:val="en-US" w:eastAsia="zh-CN"/>
                      <w14:textFill>
                        <w14:solidFill>
                          <w14:schemeClr w14:val="tx1"/>
                        </w14:solidFill>
                      </w14:textFill>
                    </w:rPr>
                    <w:t>，</w:t>
                  </w:r>
                  <w:r>
                    <w:rPr>
                      <w:rFonts w:hint="default" w:ascii="Times New Roman" w:hAnsi="Times New Roman" w:cs="Times New Roman"/>
                      <w:b w:val="0"/>
                      <w:bCs w:val="0"/>
                      <w:color w:val="000000" w:themeColor="text1"/>
                      <w:szCs w:val="21"/>
                      <w14:textFill>
                        <w14:solidFill>
                          <w14:schemeClr w14:val="tx1"/>
                        </w14:solidFill>
                      </w14:textFill>
                    </w:rPr>
                    <w:t>土袋拦挡180m，主要功能为</w:t>
                  </w:r>
                  <w:r>
                    <w:rPr>
                      <w:rFonts w:hint="default" w:ascii="Times New Roman" w:hAnsi="Times New Roman" w:cs="Times New Roman"/>
                      <w:b w:val="0"/>
                      <w:bCs w:val="0"/>
                      <w:color w:val="000000" w:themeColor="text1"/>
                      <w:szCs w:val="21"/>
                      <w:lang w:val="en-US" w:eastAsia="zh-CN"/>
                      <w14:textFill>
                        <w14:solidFill>
                          <w14:schemeClr w14:val="tx1"/>
                        </w14:solidFill>
                      </w14:textFill>
                    </w:rPr>
                    <w:t>渠道/管道</w:t>
                  </w:r>
                  <w:r>
                    <w:rPr>
                      <w:rFonts w:hint="default" w:ascii="Times New Roman" w:hAnsi="Times New Roman" w:cs="Times New Roman"/>
                      <w:b w:val="0"/>
                      <w:bCs w:val="0"/>
                      <w:color w:val="000000" w:themeColor="text1"/>
                      <w:szCs w:val="21"/>
                      <w14:textFill>
                        <w14:solidFill>
                          <w14:schemeClr w14:val="tx1"/>
                        </w14:solidFill>
                      </w14:textFill>
                    </w:rPr>
                    <w:t>开挖</w:t>
                  </w:r>
                  <w:r>
                    <w:rPr>
                      <w:rFonts w:hint="default" w:ascii="Times New Roman" w:hAnsi="Times New Roman" w:cs="Times New Roman"/>
                      <w:b w:val="0"/>
                      <w:bCs w:val="0"/>
                      <w:color w:val="000000" w:themeColor="text1"/>
                      <w:szCs w:val="21"/>
                      <w:lang w:eastAsia="zh-CN"/>
                      <w14:textFill>
                        <w14:solidFill>
                          <w14:schemeClr w14:val="tx1"/>
                        </w14:solidFill>
                      </w14:textFill>
                    </w:rPr>
                    <w:t>、</w:t>
                  </w:r>
                  <w:r>
                    <w:rPr>
                      <w:rFonts w:hint="default" w:ascii="Times New Roman" w:hAnsi="Times New Roman" w:cs="Times New Roman"/>
                      <w:b w:val="0"/>
                      <w:bCs w:val="0"/>
                      <w:color w:val="000000" w:themeColor="text1"/>
                      <w:szCs w:val="21"/>
                      <w:lang w:val="en-US" w:eastAsia="zh-CN"/>
                      <w14:textFill>
                        <w14:solidFill>
                          <w14:schemeClr w14:val="tx1"/>
                        </w14:solidFill>
                      </w14:textFill>
                    </w:rPr>
                    <w:t>旧渠道拆除清理产生的</w:t>
                  </w:r>
                  <w:r>
                    <w:rPr>
                      <w:rFonts w:hint="default" w:ascii="Times New Roman" w:hAnsi="Times New Roman" w:cs="Times New Roman"/>
                      <w:b w:val="0"/>
                      <w:bCs w:val="0"/>
                      <w:color w:val="000000" w:themeColor="text1"/>
                      <w:szCs w:val="21"/>
                      <w14:textFill>
                        <w14:solidFill>
                          <w14:schemeClr w14:val="tx1"/>
                        </w14:solidFill>
                      </w14:textFill>
                    </w:rPr>
                    <w:t>土石方</w:t>
                  </w:r>
                  <w:r>
                    <w:rPr>
                      <w:rFonts w:hint="default" w:ascii="Times New Roman" w:hAnsi="Times New Roman" w:cs="Times New Roman"/>
                      <w:b w:val="0"/>
                      <w:bCs w:val="0"/>
                      <w:color w:val="000000" w:themeColor="text1"/>
                      <w:szCs w:val="21"/>
                      <w:lang w:eastAsia="zh-CN"/>
                      <w14:textFill>
                        <w14:solidFill>
                          <w14:schemeClr w14:val="tx1"/>
                        </w14:solidFill>
                      </w14:textFill>
                    </w:rPr>
                    <w:t>（</w:t>
                  </w:r>
                  <w:r>
                    <w:rPr>
                      <w:rFonts w:hint="default" w:ascii="Times New Roman" w:hAnsi="Times New Roman" w:cs="Times New Roman"/>
                      <w:b w:val="0"/>
                      <w:bCs w:val="0"/>
                      <w:color w:val="000000" w:themeColor="text1"/>
                      <w:szCs w:val="21"/>
                      <w:lang w:val="en-US" w:eastAsia="zh-CN"/>
                      <w14:textFill>
                        <w14:solidFill>
                          <w14:schemeClr w14:val="tx1"/>
                        </w14:solidFill>
                      </w14:textFill>
                    </w:rPr>
                    <w:t>含剥离表土</w:t>
                  </w:r>
                  <w:r>
                    <w:rPr>
                      <w:rFonts w:hint="default" w:ascii="Times New Roman" w:hAnsi="Times New Roman" w:cs="Times New Roman"/>
                      <w:b w:val="0"/>
                      <w:bCs w:val="0"/>
                      <w:color w:val="000000" w:themeColor="text1"/>
                      <w:szCs w:val="21"/>
                      <w:lang w:eastAsia="zh-CN"/>
                      <w14:textFill>
                        <w14:solidFill>
                          <w14:schemeClr w14:val="tx1"/>
                        </w14:solidFill>
                      </w14:textFill>
                    </w:rPr>
                    <w:t>）</w:t>
                  </w:r>
                  <w:r>
                    <w:rPr>
                      <w:rFonts w:hint="default" w:ascii="Times New Roman" w:hAnsi="Times New Roman" w:cs="Times New Roman"/>
                      <w:b w:val="0"/>
                      <w:bCs w:val="0"/>
                      <w:color w:val="000000" w:themeColor="text1"/>
                      <w:szCs w:val="21"/>
                      <w14:textFill>
                        <w14:solidFill>
                          <w14:schemeClr w14:val="tx1"/>
                        </w14:solidFill>
                      </w14:textFill>
                    </w:rPr>
                    <w:t>暂存</w:t>
                  </w:r>
                  <w:r>
                    <w:rPr>
                      <w:rFonts w:hint="default" w:ascii="Times New Roman" w:hAnsi="Times New Roman" w:cs="Times New Roman"/>
                      <w:b w:val="0"/>
                      <w:bCs w:val="0"/>
                      <w:color w:val="000000" w:themeColor="text1"/>
                      <w:szCs w:val="21"/>
                      <w:lang w:eastAsia="zh-CN"/>
                      <w14:textFill>
                        <w14:solidFill>
                          <w14:schemeClr w14:val="tx1"/>
                        </w14:solidFill>
                      </w14:textFill>
                    </w:rPr>
                    <w:t>；</w:t>
                  </w:r>
                  <w:r>
                    <w:rPr>
                      <w:rFonts w:hint="default" w:ascii="Times New Roman" w:hAnsi="Times New Roman" w:cs="Times New Roman"/>
                      <w:lang w:val="en-US" w:eastAsia="zh-CN"/>
                    </w:rPr>
                    <w:t>②临时堆放情况：各堆土场堆土量在900~14000m</w:t>
                  </w:r>
                  <w:r>
                    <w:rPr>
                      <w:rFonts w:hint="default" w:ascii="Times New Roman" w:hAnsi="Times New Roman" w:cs="Times New Roman"/>
                      <w:vertAlign w:val="superscript"/>
                      <w:lang w:val="en-US" w:eastAsia="zh-CN"/>
                    </w:rPr>
                    <w:t>3</w:t>
                  </w:r>
                  <w:r>
                    <w:rPr>
                      <w:rFonts w:hint="default" w:ascii="Times New Roman" w:hAnsi="Times New Roman" w:cs="Times New Roman"/>
                      <w:vertAlign w:val="baseline"/>
                      <w:lang w:val="en-US" w:eastAsia="zh-CN"/>
                    </w:rPr>
                    <w:t>范围</w:t>
                  </w:r>
                  <w:r>
                    <w:rPr>
                      <w:rFonts w:hint="default" w:ascii="Times New Roman" w:hAnsi="Times New Roman" w:cs="Times New Roman"/>
                      <w:lang w:val="en-US" w:eastAsia="zh-CN"/>
                    </w:rPr>
                    <w:t>，仅观音岩水库灌区涉及石方堆存162m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，均综合利用。</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continue"/>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p>
              </w:tc>
              <w:tc>
                <w:tcPr>
                  <w:tcW w:w="1123" w:type="dxa"/>
                  <w:gridSpan w:val="2"/>
                  <w:vAlign w:val="center"/>
                </w:tcPr>
                <w:p>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淤泥堆放场</w:t>
                  </w:r>
                </w:p>
              </w:tc>
              <w:tc>
                <w:tcPr>
                  <w:tcW w:w="4847" w:type="dxa"/>
                  <w:vAlign w:val="center"/>
                </w:tcPr>
                <w:p>
                  <w:pPr>
                    <w:adjustRightInd w:val="0"/>
                    <w:snapToGrid w:val="0"/>
                    <w:rPr>
                      <w:rFonts w:hint="default" w:ascii="Times New Roman" w:hAnsi="Times New Roman" w:cs="Times New Roman"/>
                      <w:b w:val="0"/>
                      <w:bCs w:val="0"/>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11个灌区（3处灌区不清淤）工程分别设置1个，共计11个：</w:t>
                  </w:r>
                </w:p>
                <w:p>
                  <w:pPr>
                    <w:pStyle w:val="12"/>
                    <w:spacing w:line="240" w:lineRule="auto"/>
                    <w:rPr>
                      <w:rFonts w:hint="default" w:ascii="Times New Roman" w:hAnsi="Times New Roman" w:cs="Times New Roman" w:eastAsiaTheme="minorEastAsia"/>
                      <w:b w:val="0"/>
                      <w:bCs w:val="0"/>
                      <w:color w:val="000000" w:themeColor="text1"/>
                      <w:szCs w:val="21"/>
                      <w:lang w:val="en-US" w:eastAsia="zh-CN"/>
                      <w14:textFill>
                        <w14:solidFill>
                          <w14:schemeClr w14:val="tx1"/>
                        </w14:solidFill>
                      </w14:textFill>
                    </w:rPr>
                  </w:pPr>
                  <w:r>
                    <w:rPr>
                      <w:rFonts w:hint="default" w:ascii="Times New Roman" w:hAnsi="Times New Roman" w:cs="Times New Roman"/>
                      <w:b w:val="0"/>
                      <w:bCs w:val="0"/>
                      <w:color w:val="000000" w:themeColor="text1"/>
                      <w:szCs w:val="21"/>
                      <w14:textFill>
                        <w14:solidFill>
                          <w14:schemeClr w14:val="tx1"/>
                        </w14:solidFill>
                      </w14:textFill>
                    </w:rPr>
                    <w:t>①设置情况：紧邻</w:t>
                  </w:r>
                  <w:r>
                    <w:rPr>
                      <w:rFonts w:hint="default" w:ascii="Times New Roman" w:hAnsi="Times New Roman" w:cs="Times New Roman"/>
                      <w:b w:val="0"/>
                      <w:bCs w:val="0"/>
                      <w:color w:val="000000" w:themeColor="text1"/>
                      <w:szCs w:val="21"/>
                      <w:lang w:val="en-US" w:eastAsia="zh-CN"/>
                      <w14:textFill>
                        <w14:solidFill>
                          <w14:schemeClr w14:val="tx1"/>
                        </w14:solidFill>
                      </w14:textFill>
                    </w:rPr>
                    <w:t>各自临时施工场地</w:t>
                  </w:r>
                  <w:r>
                    <w:rPr>
                      <w:rFonts w:hint="default" w:ascii="Times New Roman" w:hAnsi="Times New Roman" w:cs="Times New Roman"/>
                      <w:b w:val="0"/>
                      <w:bCs w:val="0"/>
                      <w:color w:val="000000" w:themeColor="text1"/>
                      <w:szCs w:val="21"/>
                      <w14:textFill>
                        <w14:solidFill>
                          <w14:schemeClr w14:val="tx1"/>
                        </w14:solidFill>
                      </w14:textFill>
                    </w:rPr>
                    <w:t>布置，占地面积约</w:t>
                  </w:r>
                  <w:r>
                    <w:rPr>
                      <w:rFonts w:hint="default" w:ascii="Times New Roman" w:hAnsi="Times New Roman" w:cs="Times New Roman"/>
                      <w:b w:val="0"/>
                      <w:bCs w:val="0"/>
                      <w:color w:val="000000" w:themeColor="text1"/>
                      <w:szCs w:val="21"/>
                      <w:lang w:val="en-US" w:eastAsia="zh-CN"/>
                      <w14:textFill>
                        <w14:solidFill>
                          <w14:schemeClr w14:val="tx1"/>
                        </w14:solidFill>
                      </w14:textFill>
                    </w:rPr>
                    <w:t>2</w:t>
                  </w:r>
                  <w:r>
                    <w:rPr>
                      <w:rFonts w:hint="default" w:ascii="Times New Roman" w:hAnsi="Times New Roman" w:cs="Times New Roman"/>
                      <w:b w:val="0"/>
                      <w:bCs w:val="0"/>
                      <w:color w:val="000000" w:themeColor="text1"/>
                      <w:szCs w:val="21"/>
                      <w14:textFill>
                        <w14:solidFill>
                          <w14:schemeClr w14:val="tx1"/>
                        </w14:solidFill>
                      </w14:textFill>
                    </w:rPr>
                    <w:t>00m</w:t>
                  </w:r>
                  <w:r>
                    <w:rPr>
                      <w:rFonts w:hint="default" w:ascii="Times New Roman" w:hAnsi="Times New Roman" w:cs="Times New Roman"/>
                      <w:b w:val="0"/>
                      <w:bCs w:val="0"/>
                      <w:color w:val="000000" w:themeColor="text1"/>
                      <w:szCs w:val="21"/>
                      <w:vertAlign w:val="superscript"/>
                      <w14:textFill>
                        <w14:solidFill>
                          <w14:schemeClr w14:val="tx1"/>
                        </w14:solidFill>
                      </w14:textFill>
                    </w:rPr>
                    <w:t>2</w:t>
                  </w:r>
                  <w:r>
                    <w:rPr>
                      <w:rFonts w:hint="default" w:ascii="Times New Roman" w:hAnsi="Times New Roman" w:cs="Times New Roman"/>
                      <w:b w:val="0"/>
                      <w:bCs w:val="0"/>
                      <w:color w:val="000000" w:themeColor="text1"/>
                      <w:szCs w:val="21"/>
                      <w14:textFill>
                        <w14:solidFill>
                          <w14:schemeClr w14:val="tx1"/>
                        </w14:solidFill>
                      </w14:textFill>
                    </w:rPr>
                    <w:t>。</w:t>
                  </w:r>
                  <w:r>
                    <w:rPr>
                      <w:rFonts w:hint="default" w:ascii="Times New Roman" w:hAnsi="Times New Roman" w:cs="Times New Roman"/>
                      <w:b w:val="0"/>
                      <w:bCs w:val="0"/>
                      <w:color w:val="000000" w:themeColor="text1"/>
                      <w:szCs w:val="21"/>
                      <w:lang w:val="en-US" w:eastAsia="zh-CN"/>
                      <w14:textFill>
                        <w14:solidFill>
                          <w14:schemeClr w14:val="tx1"/>
                        </w14:solidFill>
                      </w14:textFill>
                    </w:rPr>
                    <w:t>每处场地</w:t>
                  </w:r>
                  <w:r>
                    <w:rPr>
                      <w:rFonts w:hint="default" w:ascii="Times New Roman" w:hAnsi="Times New Roman" w:cs="Times New Roman"/>
                      <w:b w:val="0"/>
                      <w:bCs w:val="0"/>
                      <w:color w:val="000000" w:themeColor="text1"/>
                      <w:szCs w:val="21"/>
                      <w14:textFill>
                        <w14:solidFill>
                          <w14:schemeClr w14:val="tx1"/>
                        </w14:solidFill>
                      </w14:textFill>
                    </w:rPr>
                    <w:t>主要包括环形排水沟</w:t>
                  </w:r>
                  <w:r>
                    <w:rPr>
                      <w:rFonts w:hint="default" w:ascii="Times New Roman" w:hAnsi="Times New Roman" w:cs="Times New Roman"/>
                      <w:b w:val="0"/>
                      <w:bCs w:val="0"/>
                      <w:color w:val="000000" w:themeColor="text1"/>
                      <w:szCs w:val="21"/>
                      <w:lang w:val="en-US" w:eastAsia="zh-CN"/>
                      <w14:textFill>
                        <w14:solidFill>
                          <w14:schemeClr w14:val="tx1"/>
                        </w14:solidFill>
                      </w14:textFill>
                    </w:rPr>
                    <w:t>40</w:t>
                  </w:r>
                  <w:r>
                    <w:rPr>
                      <w:rFonts w:hint="default" w:ascii="Times New Roman" w:hAnsi="Times New Roman" w:cs="Times New Roman"/>
                      <w:b w:val="0"/>
                      <w:bCs w:val="0"/>
                      <w:color w:val="000000" w:themeColor="text1"/>
                      <w:szCs w:val="21"/>
                      <w14:textFill>
                        <w14:solidFill>
                          <w14:schemeClr w14:val="tx1"/>
                        </w14:solidFill>
                      </w14:textFill>
                    </w:rPr>
                    <w:t>0m，</w:t>
                  </w:r>
                  <w:r>
                    <w:rPr>
                      <w:rFonts w:hint="default" w:ascii="Times New Roman" w:hAnsi="Times New Roman" w:cs="Times New Roman"/>
                      <w:b w:val="0"/>
                      <w:bCs w:val="0"/>
                      <w:color w:val="000000" w:themeColor="text1"/>
                      <w:kern w:val="0"/>
                      <w:szCs w:val="21"/>
                      <w14:textFill>
                        <w14:solidFill>
                          <w14:schemeClr w14:val="tx1"/>
                        </w14:solidFill>
                      </w14:textFill>
                    </w:rPr>
                    <w:t>淤泥沉淀池1口，</w:t>
                  </w:r>
                  <w:r>
                    <w:rPr>
                      <w:rFonts w:hint="default" w:ascii="Times New Roman" w:hAnsi="Times New Roman" w:cs="Times New Roman"/>
                      <w:b w:val="0"/>
                      <w:bCs w:val="0"/>
                      <w:color w:val="000000" w:themeColor="text1"/>
                      <w:kern w:val="0"/>
                      <w:szCs w:val="21"/>
                      <w:lang w:val="en-US" w:eastAsia="zh-CN"/>
                      <w14:textFill>
                        <w14:solidFill>
                          <w14:schemeClr w14:val="tx1"/>
                        </w14:solidFill>
                      </w14:textFill>
                    </w:rPr>
                    <w:t>2</w:t>
                  </w:r>
                  <w:r>
                    <w:rPr>
                      <w:rFonts w:hint="default" w:ascii="Times New Roman" w:hAnsi="Times New Roman" w:cs="Times New Roman"/>
                      <w:b w:val="0"/>
                      <w:bCs w:val="0"/>
                      <w:color w:val="000000" w:themeColor="text1"/>
                      <w:kern w:val="0"/>
                      <w:szCs w:val="21"/>
                      <w14:textFill>
                        <w14:solidFill>
                          <w14:schemeClr w14:val="tx1"/>
                        </w14:solidFill>
                      </w14:textFill>
                    </w:rPr>
                    <w:t>m</w:t>
                  </w:r>
                  <w:r>
                    <w:rPr>
                      <w:rFonts w:hint="default" w:ascii="Times New Roman" w:hAnsi="Times New Roman" w:cs="Times New Roman"/>
                      <w:b w:val="0"/>
                      <w:bCs w:val="0"/>
                      <w:color w:val="000000" w:themeColor="text1"/>
                      <w:kern w:val="0"/>
                      <w:szCs w:val="21"/>
                      <w:vertAlign w:val="superscript"/>
                      <w14:textFill>
                        <w14:solidFill>
                          <w14:schemeClr w14:val="tx1"/>
                        </w14:solidFill>
                      </w14:textFill>
                    </w:rPr>
                    <w:t>3</w:t>
                  </w:r>
                  <w:r>
                    <w:rPr>
                      <w:rFonts w:hint="default" w:ascii="Times New Roman" w:hAnsi="Times New Roman" w:cs="Times New Roman"/>
                      <w:b w:val="0"/>
                      <w:bCs w:val="0"/>
                      <w:color w:val="000000" w:themeColor="text1"/>
                      <w:kern w:val="0"/>
                      <w:szCs w:val="21"/>
                      <w14:textFill>
                        <w14:solidFill>
                          <w14:schemeClr w14:val="tx1"/>
                        </w14:solidFill>
                      </w14:textFill>
                    </w:rPr>
                    <w:t>，对</w:t>
                  </w:r>
                  <w:r>
                    <w:rPr>
                      <w:rFonts w:hint="default" w:ascii="Times New Roman" w:hAnsi="Times New Roman" w:cs="Times New Roman"/>
                      <w:b w:val="0"/>
                      <w:bCs w:val="0"/>
                      <w:color w:val="000000" w:themeColor="text1"/>
                      <w:kern w:val="0"/>
                      <w:szCs w:val="21"/>
                      <w:lang w:val="en-US" w:eastAsia="zh-CN"/>
                      <w14:textFill>
                        <w14:solidFill>
                          <w14:schemeClr w14:val="tx1"/>
                        </w14:solidFill>
                      </w14:textFill>
                    </w:rPr>
                    <w:t>渠道整治清理出的淤泥沉积物进行脱水干化后用于临时占地平整，不外排</w:t>
                  </w:r>
                  <w:r>
                    <w:rPr>
                      <w:rFonts w:hint="default" w:ascii="Times New Roman" w:hAnsi="Times New Roman" w:cs="Times New Roman"/>
                      <w:b w:val="0"/>
                      <w:bCs w:val="0"/>
                      <w:color w:val="000000" w:themeColor="text1"/>
                      <w:kern w:val="0"/>
                      <w:szCs w:val="21"/>
                      <w14:textFill>
                        <w14:solidFill>
                          <w14:schemeClr w14:val="tx1"/>
                        </w14:solidFill>
                      </w14:textFill>
                    </w:rPr>
                    <w:t>；</w:t>
                  </w:r>
                  <w:r>
                    <w:rPr>
                      <w:rFonts w:hint="default" w:ascii="Times New Roman" w:hAnsi="Times New Roman" w:cs="Times New Roman"/>
                      <w:b w:val="0"/>
                      <w:bCs w:val="0"/>
                      <w:color w:val="000000" w:themeColor="text1"/>
                      <w:kern w:val="0"/>
                      <w:szCs w:val="21"/>
                      <w14:textFill>
                        <w14:solidFill>
                          <w14:schemeClr w14:val="tx1"/>
                        </w14:solidFill>
                      </w14:textFill>
                    </w:rPr>
                    <w:br w:type="textWrapping"/>
                  </w:r>
                  <w:r>
                    <w:rPr>
                      <w:rFonts w:hint="default" w:ascii="Times New Roman" w:hAnsi="Times New Roman" w:cs="Times New Roman"/>
                      <w:b w:val="0"/>
                      <w:bCs w:val="0"/>
                      <w:color w:val="000000" w:themeColor="text1"/>
                      <w:kern w:val="0"/>
                      <w:szCs w:val="21"/>
                      <w14:textFill>
                        <w14:solidFill>
                          <w14:schemeClr w14:val="tx1"/>
                        </w14:solidFill>
                      </w14:textFill>
                    </w:rPr>
                    <w:t>②临时堆放情况：</w:t>
                  </w:r>
                  <w:r>
                    <w:rPr>
                      <w:rFonts w:hint="default" w:ascii="Times New Roman" w:hAnsi="Times New Roman" w:cs="Times New Roman"/>
                      <w:b w:val="0"/>
                      <w:bCs w:val="0"/>
                      <w:color w:val="000000" w:themeColor="text1"/>
                      <w:kern w:val="0"/>
                      <w:szCs w:val="21"/>
                      <w:lang w:val="en-US" w:eastAsia="zh-CN"/>
                      <w14:textFill>
                        <w14:solidFill>
                          <w14:schemeClr w14:val="tx1"/>
                        </w14:solidFill>
                      </w14:textFill>
                    </w:rPr>
                    <w:t>各灌区淤泥处理量在2~1785</w:t>
                  </w:r>
                  <w:r>
                    <w:rPr>
                      <w:rFonts w:hint="default" w:ascii="Times New Roman" w:hAnsi="Times New Roman" w:cs="Times New Roman"/>
                      <w:b w:val="0"/>
                      <w:bCs w:val="0"/>
                      <w:color w:val="000000" w:themeColor="text1"/>
                      <w:kern w:val="0"/>
                      <w:szCs w:val="21"/>
                      <w14:textFill>
                        <w14:solidFill>
                          <w14:schemeClr w14:val="tx1"/>
                        </w14:solidFill>
                      </w14:textFill>
                    </w:rPr>
                    <w:t>m</w:t>
                  </w:r>
                  <w:r>
                    <w:rPr>
                      <w:rFonts w:hint="default" w:ascii="Times New Roman" w:hAnsi="Times New Roman" w:cs="Times New Roman"/>
                      <w:b w:val="0"/>
                      <w:bCs w:val="0"/>
                      <w:color w:val="000000" w:themeColor="text1"/>
                      <w:kern w:val="0"/>
                      <w:szCs w:val="21"/>
                      <w:vertAlign w:val="superscript"/>
                      <w14:textFill>
                        <w14:solidFill>
                          <w14:schemeClr w14:val="tx1"/>
                        </w14:solidFill>
                      </w14:textFill>
                    </w:rPr>
                    <w:t>3</w:t>
                  </w:r>
                  <w:r>
                    <w:rPr>
                      <w:rFonts w:hint="default" w:ascii="Times New Roman" w:hAnsi="Times New Roman" w:cs="Times New Roman"/>
                      <w:b w:val="0"/>
                      <w:bCs w:val="0"/>
                      <w:color w:val="000000" w:themeColor="text1"/>
                      <w:kern w:val="0"/>
                      <w:szCs w:val="21"/>
                      <w:vertAlign w:val="baseline"/>
                      <w:lang w:val="en-US" w:eastAsia="zh-CN"/>
                      <w14:textFill>
                        <w14:solidFill>
                          <w14:schemeClr w14:val="tx1"/>
                        </w14:solidFill>
                      </w14:textFill>
                    </w:rPr>
                    <w:t>范围</w:t>
                  </w:r>
                  <w:r>
                    <w:rPr>
                      <w:rFonts w:hint="default" w:ascii="Times New Roman" w:hAnsi="Times New Roman" w:cs="Times New Roman"/>
                      <w:b w:val="0"/>
                      <w:bCs w:val="0"/>
                      <w:color w:val="000000" w:themeColor="text1"/>
                      <w:kern w:val="0"/>
                      <w:szCs w:val="21"/>
                      <w:vertAlign w:val="baseline"/>
                      <w:lang w:eastAsia="zh-CN"/>
                      <w14:textFill>
                        <w14:solidFill>
                          <w14:schemeClr w14:val="tx1"/>
                        </w14:solidFill>
                      </w14:textFill>
                    </w:rPr>
                    <w:t>，</w:t>
                  </w:r>
                  <w:r>
                    <w:rPr>
                      <w:rFonts w:hint="default" w:ascii="Times New Roman" w:hAnsi="Times New Roman" w:cs="Times New Roman"/>
                      <w:b w:val="0"/>
                      <w:bCs w:val="0"/>
                      <w:color w:val="000000" w:themeColor="text1"/>
                      <w:kern w:val="0"/>
                      <w:szCs w:val="21"/>
                      <w:lang w:val="en-US" w:eastAsia="zh-CN"/>
                      <w14:textFill>
                        <w14:solidFill>
                          <w14:schemeClr w14:val="tx1"/>
                        </w14:solidFill>
                      </w14:textFill>
                    </w:rPr>
                    <w:t>脱水干化添加干土砂石后用于平整场地，不外运</w:t>
                  </w:r>
                  <w:r>
                    <w:rPr>
                      <w:rFonts w:hint="default" w:ascii="Times New Roman" w:hAnsi="Times New Roman" w:cs="Times New Roman"/>
                      <w:b w:val="0"/>
                      <w:bCs w:val="0"/>
                      <w:color w:val="000000" w:themeColor="text1"/>
                      <w:kern w:val="0"/>
                      <w:szCs w:val="21"/>
                      <w:lang w:eastAsia="zh-CN"/>
                      <w14:textFill>
                        <w14:solidFill>
                          <w14:schemeClr w14:val="tx1"/>
                        </w14:solidFill>
                      </w14:textFill>
                    </w:rPr>
                    <w:t>。</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恶臭气体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djustRightInd w:val="0"/>
                    <w:snapToGrid w:val="0"/>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施工便道</w:t>
                  </w:r>
                </w:p>
              </w:tc>
              <w:tc>
                <w:tcPr>
                  <w:tcW w:w="4847" w:type="dxa"/>
                  <w:vAlign w:val="center"/>
                </w:tcPr>
                <w:p>
                  <w:pPr>
                    <w:adjustRightInd w:val="0"/>
                    <w:snapToGrid w:val="0"/>
                    <w:rPr>
                      <w:rFonts w:hint="default" w:ascii="Times New Roman" w:hAnsi="Times New Roman" w:cs="Times New Roman" w:eastAsiaTheme="minorEastAsia"/>
                      <w:szCs w:val="21"/>
                      <w:lang w:eastAsia="zh-CN"/>
                    </w:rPr>
                  </w:pPr>
                  <w:r>
                    <w:rPr>
                      <w:rFonts w:hint="default" w:ascii="Times New Roman" w:hAnsi="Times New Roman" w:cs="Times New Roman"/>
                      <w:szCs w:val="21"/>
                    </w:rPr>
                    <w:t>利用现</w:t>
                  </w:r>
                  <w:r>
                    <w:rPr>
                      <w:rFonts w:hint="default" w:ascii="Times New Roman" w:hAnsi="Times New Roman" w:cs="Times New Roman"/>
                      <w:szCs w:val="21"/>
                      <w:lang w:val="en-US" w:eastAsia="zh-CN"/>
                    </w:rPr>
                    <w:t>周边既有</w:t>
                  </w:r>
                  <w:r>
                    <w:rPr>
                      <w:rFonts w:hint="default" w:ascii="Times New Roman" w:hAnsi="Times New Roman" w:cs="Times New Roman"/>
                      <w:szCs w:val="21"/>
                    </w:rPr>
                    <w:t>道路及巡渠道路，同时整治维修部分机耕道并利用渠堤和对外连通道路，整治维修道路</w:t>
                  </w:r>
                  <w:r>
                    <w:rPr>
                      <w:rFonts w:hint="default" w:ascii="Times New Roman" w:hAnsi="Times New Roman" w:cs="Times New Roman"/>
                      <w:szCs w:val="21"/>
                      <w:lang w:val="en-US" w:eastAsia="zh-CN"/>
                    </w:rPr>
                    <w:t>约808m</w:t>
                  </w:r>
                  <w:r>
                    <w:rPr>
                      <w:rFonts w:hint="default" w:ascii="Times New Roman" w:hAnsi="Times New Roman" w:cs="Times New Roman"/>
                      <w:szCs w:val="21"/>
                    </w:rPr>
                    <w:t>，宽</w:t>
                  </w:r>
                  <w:r>
                    <w:rPr>
                      <w:rFonts w:hint="default" w:ascii="Times New Roman" w:hAnsi="Times New Roman" w:cs="Times New Roman"/>
                      <w:szCs w:val="21"/>
                      <w:lang w:val="en-US" w:eastAsia="zh-CN"/>
                    </w:rPr>
                    <w:t>2~3</w:t>
                  </w:r>
                  <w:r>
                    <w:rPr>
                      <w:rFonts w:hint="default" w:ascii="Times New Roman" w:hAnsi="Times New Roman" w:cs="Times New Roman"/>
                      <w:szCs w:val="21"/>
                    </w:rPr>
                    <w:t>m</w:t>
                  </w:r>
                  <w:r>
                    <w:rPr>
                      <w:rFonts w:hint="default" w:ascii="Times New Roman" w:hAnsi="Times New Roman" w:cs="Times New Roman"/>
                      <w:szCs w:val="21"/>
                      <w:lang w:eastAsia="zh-CN"/>
                    </w:rPr>
                    <w:t>。</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施工营地</w:t>
                  </w:r>
                </w:p>
              </w:tc>
              <w:tc>
                <w:tcPr>
                  <w:tcW w:w="4847" w:type="dxa"/>
                  <w:vAlign w:val="center"/>
                </w:tcPr>
                <w:p>
                  <w:pPr>
                    <w:adjustRightInd w:val="0"/>
                    <w:snapToGrid w:val="0"/>
                    <w:rPr>
                      <w:rFonts w:hint="default" w:ascii="Times New Roman" w:hAnsi="Times New Roman" w:cs="Times New Roman" w:eastAsiaTheme="minorEastAsia"/>
                      <w:szCs w:val="21"/>
                      <w:lang w:val="en-US" w:eastAsia="zh-CN"/>
                    </w:rPr>
                  </w:pPr>
                  <w:r>
                    <w:rPr>
                      <w:rFonts w:hint="default" w:ascii="Times New Roman" w:hAnsi="Times New Roman" w:cs="Times New Roman"/>
                      <w:szCs w:val="21"/>
                    </w:rPr>
                    <w:t>本项目不设施工营地，施工</w:t>
                  </w:r>
                  <w:r>
                    <w:rPr>
                      <w:rFonts w:hint="default" w:ascii="Times New Roman" w:hAnsi="Times New Roman" w:cs="Times New Roman"/>
                      <w:szCs w:val="21"/>
                      <w:lang w:val="en-US" w:eastAsia="zh-CN"/>
                    </w:rPr>
                    <w:t>生活</w:t>
                  </w:r>
                  <w:r>
                    <w:rPr>
                      <w:rFonts w:hint="default" w:ascii="Times New Roman" w:hAnsi="Times New Roman" w:cs="Times New Roman"/>
                      <w:szCs w:val="21"/>
                    </w:rPr>
                    <w:t>房屋租用</w:t>
                  </w:r>
                  <w:r>
                    <w:rPr>
                      <w:rFonts w:hint="default" w:ascii="Times New Roman" w:hAnsi="Times New Roman" w:cs="Times New Roman"/>
                      <w:szCs w:val="21"/>
                      <w:lang w:val="en-US" w:eastAsia="zh-CN"/>
                    </w:rPr>
                    <w:t>渠道周边场镇</w:t>
                  </w:r>
                  <w:r>
                    <w:rPr>
                      <w:rFonts w:hint="default" w:ascii="Times New Roman" w:hAnsi="Times New Roman" w:cs="Times New Roman"/>
                      <w:szCs w:val="21"/>
                    </w:rPr>
                    <w:t>民居</w:t>
                  </w:r>
                  <w:r>
                    <w:rPr>
                      <w:rFonts w:hint="default" w:ascii="Times New Roman" w:hAnsi="Times New Roman" w:cs="Times New Roman"/>
                      <w:szCs w:val="21"/>
                      <w:lang w:val="en-US" w:eastAsia="zh-CN"/>
                    </w:rPr>
                    <w:t>房屋。</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740" w:type="dxa"/>
                  <w:vMerge w:val="restart"/>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r>
                    <w:rPr>
                      <w:rFonts w:hint="default" w:ascii="Times New Roman" w:hAnsi="Times New Roman" w:cs="Times New Roman"/>
                      <w:b/>
                      <w:color w:val="000000" w:themeColor="text1"/>
                      <w:szCs w:val="21"/>
                      <w14:textFill>
                        <w14:solidFill>
                          <w14:schemeClr w14:val="tx1"/>
                        </w14:solidFill>
                      </w14:textFill>
                    </w:rPr>
                    <w:t>环保工程</w:t>
                  </w:r>
                </w:p>
              </w:tc>
              <w:tc>
                <w:tcPr>
                  <w:tcW w:w="381" w:type="dxa"/>
                  <w:vMerge w:val="restart"/>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施工期</w:t>
                  </w:r>
                </w:p>
              </w:tc>
              <w:tc>
                <w:tcPr>
                  <w:tcW w:w="742" w:type="dxa"/>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废水</w:t>
                  </w:r>
                </w:p>
              </w:tc>
              <w:tc>
                <w:tcPr>
                  <w:tcW w:w="4847" w:type="dxa"/>
                  <w:vAlign w:val="center"/>
                </w:tcPr>
                <w:p>
                  <w:pPr>
                    <w:pStyle w:val="42"/>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临时</w:t>
                  </w:r>
                  <w:r>
                    <w:rPr>
                      <w:rFonts w:hint="default" w:ascii="Times New Roman" w:hAnsi="Times New Roman" w:cs="Times New Roman" w:eastAsiaTheme="minorEastAsia"/>
                      <w:color w:val="000000" w:themeColor="text1"/>
                      <w14:textFill>
                        <w14:solidFill>
                          <w14:schemeClr w14:val="tx1"/>
                        </w14:solidFill>
                      </w14:textFill>
                    </w:rPr>
                    <w:t>施工场地</w:t>
                  </w:r>
                  <w:r>
                    <w:rPr>
                      <w:rFonts w:hint="default" w:ascii="Times New Roman" w:hAnsi="Times New Roman" w:cs="Times New Roman" w:eastAsiaTheme="minorEastAsia"/>
                      <w:color w:val="000000" w:themeColor="text1"/>
                      <w:lang w:val="en-US" w:eastAsia="zh-CN"/>
                      <w14:textFill>
                        <w14:solidFill>
                          <w14:schemeClr w14:val="tx1"/>
                        </w14:solidFill>
                      </w14:textFill>
                    </w:rPr>
                    <w:t>产生的</w:t>
                  </w:r>
                  <w:r>
                    <w:rPr>
                      <w:rFonts w:hint="default" w:ascii="Times New Roman" w:hAnsi="Times New Roman" w:cs="Times New Roman" w:eastAsiaTheme="minorEastAsia"/>
                      <w:color w:val="000000" w:themeColor="text1"/>
                      <w14:textFill>
                        <w14:solidFill>
                          <w14:schemeClr w14:val="tx1"/>
                        </w14:solidFill>
                      </w14:textFill>
                    </w:rPr>
                    <w:t>生活污水租用民房生活污水</w:t>
                  </w:r>
                  <w:r>
                    <w:rPr>
                      <w:rFonts w:hint="default" w:ascii="Times New Roman" w:hAnsi="Times New Roman" w:cs="Times New Roman" w:eastAsiaTheme="minorEastAsia"/>
                      <w:color w:val="000000" w:themeColor="text1"/>
                      <w:lang w:val="en-US" w:eastAsia="zh-CN"/>
                      <w14:textFill>
                        <w14:solidFill>
                          <w14:schemeClr w14:val="tx1"/>
                        </w14:solidFill>
                      </w14:textFill>
                    </w:rPr>
                    <w:t>既有</w:t>
                  </w:r>
                  <w:r>
                    <w:rPr>
                      <w:rFonts w:hint="default" w:ascii="Times New Roman" w:hAnsi="Times New Roman" w:cs="Times New Roman" w:eastAsiaTheme="minorEastAsia"/>
                      <w:color w:val="000000" w:themeColor="text1"/>
                      <w14:textFill>
                        <w14:solidFill>
                          <w14:schemeClr w14:val="tx1"/>
                        </w14:solidFill>
                      </w14:textFill>
                    </w:rPr>
                    <w:t>污水处理设施；施工场地废水经临时隔油沉淀池</w:t>
                  </w:r>
                  <w:r>
                    <w:rPr>
                      <w:rFonts w:hint="default" w:ascii="Times New Roman" w:hAnsi="Times New Roman" w:cs="Times New Roman" w:eastAsiaTheme="minorEastAsia"/>
                      <w:color w:val="000000" w:themeColor="text1"/>
                      <w:lang w:eastAsia="zh-CN"/>
                      <w14:textFill>
                        <w14:solidFill>
                          <w14:schemeClr w14:val="tx1"/>
                        </w14:solidFill>
                      </w14:textFill>
                    </w:rPr>
                    <w:t>（</w:t>
                  </w:r>
                  <w:r>
                    <w:rPr>
                      <w:rFonts w:hint="default" w:ascii="Times New Roman" w:hAnsi="Times New Roman" w:cs="Times New Roman" w:eastAsiaTheme="minorEastAsia"/>
                      <w:color w:val="000000" w:themeColor="text1"/>
                      <w:lang w:val="en-US" w:eastAsia="zh-CN"/>
                      <w14:textFill>
                        <w14:solidFill>
                          <w14:schemeClr w14:val="tx1"/>
                        </w14:solidFill>
                      </w14:textFill>
                    </w:rPr>
                    <w:t>各临时施工场地均设置1口，1.5m</w:t>
                  </w:r>
                  <w:r>
                    <w:rPr>
                      <w:rFonts w:hint="default" w:ascii="Times New Roman" w:hAnsi="Times New Roman" w:cs="Times New Roman" w:eastAsiaTheme="minorEastAsia"/>
                      <w:color w:val="000000" w:themeColor="text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vertAlign w:val="baseline"/>
                      <w:lang w:val="en-US" w:eastAsia="zh-CN"/>
                      <w14:textFill>
                        <w14:solidFill>
                          <w14:schemeClr w14:val="tx1"/>
                        </w14:solidFill>
                      </w14:textFill>
                    </w:rPr>
                    <w:t>，共计14口</w:t>
                  </w:r>
                  <w:r>
                    <w:rPr>
                      <w:rFonts w:hint="default" w:ascii="Times New Roman" w:hAnsi="Times New Roman" w:cs="Times New Roman" w:eastAsiaTheme="minorEastAsia"/>
                      <w:color w:val="000000" w:themeColor="text1"/>
                      <w:lang w:eastAsia="zh-CN"/>
                      <w14:textFill>
                        <w14:solidFill>
                          <w14:schemeClr w14:val="tx1"/>
                        </w14:solidFill>
                      </w14:textFill>
                    </w:rPr>
                    <w:t>）</w:t>
                  </w:r>
                  <w:r>
                    <w:rPr>
                      <w:rFonts w:hint="default" w:ascii="Times New Roman" w:hAnsi="Times New Roman" w:cs="Times New Roman" w:eastAsiaTheme="minorEastAsia"/>
                      <w:color w:val="000000" w:themeColor="text1"/>
                      <w14:textFill>
                        <w14:solidFill>
                          <w14:schemeClr w14:val="tx1"/>
                        </w14:solidFill>
                      </w14:textFill>
                    </w:rPr>
                    <w:t>收集处理后回用于洒水降尘，不外排；基坑废水及</w:t>
                  </w:r>
                  <w:r>
                    <w:rPr>
                      <w:rFonts w:hint="default" w:ascii="Times New Roman" w:hAnsi="Times New Roman" w:cs="Times New Roman" w:eastAsiaTheme="minorEastAsia"/>
                      <w:color w:val="000000" w:themeColor="text1"/>
                      <w:lang w:val="en-US" w:eastAsia="zh-CN"/>
                      <w14:textFill>
                        <w14:solidFill>
                          <w14:schemeClr w14:val="tx1"/>
                        </w14:solidFill>
                      </w14:textFill>
                    </w:rPr>
                    <w:t>初期</w:t>
                  </w:r>
                  <w:r>
                    <w:rPr>
                      <w:rFonts w:hint="default" w:ascii="Times New Roman" w:hAnsi="Times New Roman" w:cs="Times New Roman" w:eastAsiaTheme="minorEastAsia"/>
                      <w:color w:val="000000" w:themeColor="text1"/>
                      <w14:textFill>
                        <w14:solidFill>
                          <w14:schemeClr w14:val="tx1"/>
                        </w14:solidFill>
                      </w14:textFill>
                    </w:rPr>
                    <w:t>雨水经临时沉淀池收集处理后回用于洒水降尘，不外排</w:t>
                  </w:r>
                  <w:r>
                    <w:rPr>
                      <w:rFonts w:hint="default" w:ascii="Times New Roman" w:hAnsi="Times New Roman" w:cs="Times New Roman" w:eastAsiaTheme="minorEastAsia"/>
                      <w:color w:val="000000" w:themeColor="text1"/>
                      <w:lang w:eastAsia="zh-CN"/>
                      <w14:textFill>
                        <w14:solidFill>
                          <w14:schemeClr w14:val="tx1"/>
                        </w14:solidFill>
                      </w14:textFill>
                    </w:rPr>
                    <w:t>；</w:t>
                  </w:r>
                  <w:r>
                    <w:rPr>
                      <w:rFonts w:hint="default" w:ascii="Times New Roman" w:hAnsi="Times New Roman" w:cs="Times New Roman" w:eastAsiaTheme="minorEastAsia"/>
                      <w:color w:val="000000" w:themeColor="text1"/>
                      <w:lang w:eastAsia="zh-CN"/>
                      <w14:textFill>
                        <w14:solidFill>
                          <w14:schemeClr w14:val="tx1"/>
                        </w14:solidFill>
                      </w14:textFill>
                    </w:rPr>
                    <w:br w:type="textWrapping"/>
                  </w:r>
                  <w:r>
                    <w:rPr>
                      <w:rFonts w:hint="default" w:ascii="Times New Roman" w:hAnsi="Times New Roman" w:cs="Times New Roman" w:eastAsiaTheme="minorEastAsia"/>
                      <w:color w:val="000000" w:themeColor="text1"/>
                      <w:lang w:val="en-US" w:eastAsia="zh-CN"/>
                      <w14:textFill>
                        <w14:solidFill>
                          <w14:schemeClr w14:val="tx1"/>
                        </w14:solidFill>
                      </w14:textFill>
                    </w:rPr>
                    <w:t>混凝土拌合冲洗废水经沉淀后洒水降尘，不外排。</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740" w:type="dxa"/>
                  <w:vMerge w:val="continue"/>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p>
              </w:tc>
              <w:tc>
                <w:tcPr>
                  <w:tcW w:w="381" w:type="dxa"/>
                  <w:vMerge w:val="continue"/>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p>
              </w:tc>
              <w:tc>
                <w:tcPr>
                  <w:tcW w:w="742" w:type="dxa"/>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废气</w:t>
                  </w:r>
                </w:p>
              </w:tc>
              <w:tc>
                <w:tcPr>
                  <w:tcW w:w="4847" w:type="dxa"/>
                  <w:vAlign w:val="center"/>
                </w:tcPr>
                <w:p>
                  <w:pPr>
                    <w:widowControl/>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加强洒水降尘、</w:t>
                  </w:r>
                  <w:r>
                    <w:rPr>
                      <w:rFonts w:hint="default" w:ascii="Times New Roman" w:hAnsi="Times New Roman" w:cs="Times New Roman"/>
                      <w:color w:val="000000" w:themeColor="text1"/>
                      <w:szCs w:val="21"/>
                      <w:lang w:val="en-US" w:eastAsia="zh-CN"/>
                      <w14:textFill>
                        <w14:solidFill>
                          <w14:schemeClr w14:val="tx1"/>
                        </w14:solidFill>
                      </w14:textFill>
                    </w:rPr>
                    <w:t>水泥拌合点设置喷雾降尘装置</w:t>
                  </w:r>
                  <w:r>
                    <w:rPr>
                      <w:rFonts w:hint="default" w:ascii="Times New Roman" w:hAnsi="Times New Roman" w:cs="Times New Roman"/>
                      <w:color w:val="000000" w:themeColor="text1"/>
                      <w:szCs w:val="21"/>
                      <w14:textFill>
                        <w14:solidFill>
                          <w14:schemeClr w14:val="tx1"/>
                        </w14:solidFill>
                      </w14:textFill>
                    </w:rPr>
                    <w:t>，</w:t>
                  </w:r>
                  <w:r>
                    <w:rPr>
                      <w:rFonts w:hint="default" w:ascii="Times New Roman" w:hAnsi="Times New Roman" w:cs="Times New Roman"/>
                      <w:color w:val="000000" w:themeColor="text1"/>
                      <w:szCs w:val="21"/>
                      <w:lang w:val="en-US" w:eastAsia="zh-CN"/>
                      <w14:textFill>
                        <w14:solidFill>
                          <w14:schemeClr w14:val="tx1"/>
                        </w14:solidFill>
                      </w14:textFill>
                    </w:rPr>
                    <w:t>避免在大风天气施工，</w:t>
                  </w:r>
                  <w:r>
                    <w:rPr>
                      <w:rFonts w:hint="default" w:ascii="Times New Roman" w:hAnsi="Times New Roman" w:cs="Times New Roman"/>
                      <w:color w:val="000000" w:themeColor="text1"/>
                      <w:szCs w:val="21"/>
                      <w14:textFill>
                        <w14:solidFill>
                          <w14:schemeClr w14:val="tx1"/>
                        </w14:solidFill>
                      </w14:textFill>
                    </w:rPr>
                    <w:t>开挖土石方、表土进行遮盖抑尘</w:t>
                  </w:r>
                  <w:r>
                    <w:rPr>
                      <w:rFonts w:hint="default" w:ascii="Times New Roman" w:hAnsi="Times New Roman" w:cs="Times New Roman"/>
                      <w:color w:val="000000" w:themeColor="text1"/>
                      <w:szCs w:val="21"/>
                      <w:lang w:eastAsia="zh-CN"/>
                      <w14:textFill>
                        <w14:solidFill>
                          <w14:schemeClr w14:val="tx1"/>
                        </w14:solidFill>
                      </w14:textFill>
                    </w:rPr>
                    <w:t>；</w:t>
                  </w:r>
                  <w:r>
                    <w:rPr>
                      <w:rFonts w:hint="default" w:ascii="Times New Roman" w:hAnsi="Times New Roman" w:cs="Times New Roman"/>
                      <w:color w:val="000000" w:themeColor="text1"/>
                      <w:szCs w:val="21"/>
                      <w:lang w:val="en-US" w:eastAsia="zh-CN"/>
                      <w14:textFill>
                        <w14:solidFill>
                          <w14:schemeClr w14:val="tx1"/>
                        </w14:solidFill>
                      </w14:textFill>
                    </w:rPr>
                    <w:t>柴油发电机使用优质柴油。</w:t>
                  </w:r>
                </w:p>
              </w:tc>
              <w:tc>
                <w:tcPr>
                  <w:tcW w:w="1263" w:type="dxa"/>
                  <w:vMerge w:val="continue"/>
                  <w:vAlign w:val="center"/>
                </w:tcPr>
                <w:p>
                  <w:pPr>
                    <w:adjustRightInd w:val="0"/>
                    <w:snapToGrid w:val="0"/>
                    <w:jc w:val="center"/>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40" w:type="dxa"/>
                  <w:vMerge w:val="continue"/>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p>
              </w:tc>
              <w:tc>
                <w:tcPr>
                  <w:tcW w:w="381" w:type="dxa"/>
                  <w:vMerge w:val="continue"/>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p>
              </w:tc>
              <w:tc>
                <w:tcPr>
                  <w:tcW w:w="742" w:type="dxa"/>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噪声</w:t>
                  </w:r>
                </w:p>
              </w:tc>
              <w:tc>
                <w:tcPr>
                  <w:tcW w:w="4847" w:type="dxa"/>
                  <w:vAlign w:val="center"/>
                </w:tcPr>
                <w:p>
                  <w:pPr>
                    <w:pStyle w:val="42"/>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14:textFill>
                        <w14:solidFill>
                          <w14:schemeClr w14:val="tx1"/>
                        </w14:solidFill>
                      </w14:textFill>
                    </w:rPr>
                    <w:t>采用先进低噪声设备；加强对施工运输车辆的管理；合理安排施工时间，合理布局施工场地；夜间（22：00-6：00）禁止施工；针对各个施工段的特点设置施工围挡等，避免噪声扰民</w:t>
                  </w:r>
                  <w:r>
                    <w:rPr>
                      <w:rFonts w:hint="default" w:ascii="Times New Roman" w:hAnsi="Times New Roman" w:cs="Times New Roman" w:eastAsiaTheme="minorEastAsia"/>
                      <w:color w:val="000000" w:themeColor="text1"/>
                      <w:lang w:eastAsia="zh-CN"/>
                      <w14:textFill>
                        <w14:solidFill>
                          <w14:schemeClr w14:val="tx1"/>
                        </w14:solidFill>
                      </w14:textFill>
                    </w:rPr>
                    <w:t>；</w:t>
                  </w:r>
                  <w:r>
                    <w:rPr>
                      <w:rFonts w:hint="default" w:ascii="Times New Roman" w:hAnsi="Times New Roman" w:cs="Times New Roman" w:eastAsiaTheme="minorEastAsia"/>
                      <w:color w:val="000000" w:themeColor="text1"/>
                      <w:lang w:val="en-US" w:eastAsia="zh-CN"/>
                      <w14:textFill>
                        <w14:solidFill>
                          <w14:schemeClr w14:val="tx1"/>
                        </w14:solidFill>
                      </w14:textFill>
                    </w:rPr>
                    <w:t>公示项目噪声防治措施。</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40" w:type="dxa"/>
                  <w:vMerge w:val="continue"/>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p>
              </w:tc>
              <w:tc>
                <w:tcPr>
                  <w:tcW w:w="381" w:type="dxa"/>
                  <w:vMerge w:val="continue"/>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p>
              </w:tc>
              <w:tc>
                <w:tcPr>
                  <w:tcW w:w="742" w:type="dxa"/>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固废</w:t>
                  </w:r>
                </w:p>
              </w:tc>
              <w:tc>
                <w:tcPr>
                  <w:tcW w:w="4847" w:type="dxa"/>
                  <w:vAlign w:val="center"/>
                </w:tcPr>
                <w:p>
                  <w:pPr>
                    <w:pStyle w:val="42"/>
                    <w:rPr>
                      <w:rFonts w:hint="default" w:ascii="Times New Roman" w:hAnsi="Times New Roman" w:cs="Times New Roman" w:eastAsiaTheme="minorEastAsia"/>
                      <w:color w:val="000000" w:themeColor="text1"/>
                      <w:lang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现有渠道清掏污泥经小车密闭转运至</w:t>
                  </w:r>
                  <w:r>
                    <w:rPr>
                      <w:rFonts w:hint="default" w:ascii="Times New Roman" w:hAnsi="Times New Roman" w:cs="Times New Roman"/>
                      <w:color w:val="000000" w:themeColor="text1"/>
                      <w:szCs w:val="21"/>
                      <w:lang w:val="en-US" w:eastAsia="zh-CN"/>
                      <w14:textFill>
                        <w14:solidFill>
                          <w14:schemeClr w14:val="tx1"/>
                        </w14:solidFill>
                      </w14:textFill>
                    </w:rPr>
                    <w:t>淤泥堆放场经淤泥沉淀池脱水后添加</w:t>
                  </w:r>
                  <w:r>
                    <w:rPr>
                      <w:rFonts w:hint="default" w:ascii="Times New Roman" w:hAnsi="Times New Roman" w:cs="Times New Roman"/>
                      <w:b w:val="0"/>
                      <w:bCs w:val="0"/>
                      <w:color w:val="000000" w:themeColor="text1"/>
                      <w:kern w:val="0"/>
                      <w:szCs w:val="21"/>
                      <w:lang w:val="en-US" w:eastAsia="zh-CN"/>
                      <w14:textFill>
                        <w14:solidFill>
                          <w14:schemeClr w14:val="tx1"/>
                        </w14:solidFill>
                      </w14:textFill>
                    </w:rPr>
                    <w:t>干土砂石后用于平整场地，不外运；施工人员生活垃圾、渠道清理出的生活垃圾交由环卫部门处理；</w:t>
                  </w:r>
                  <w:r>
                    <w:rPr>
                      <w:rFonts w:hint="default" w:ascii="Times New Roman" w:hAnsi="Times New Roman" w:cs="Times New Roman" w:eastAsiaTheme="minorEastAsia"/>
                      <w:color w:val="000000" w:themeColor="text1"/>
                      <w14:textFill>
                        <w14:solidFill>
                          <w14:schemeClr w14:val="tx1"/>
                        </w14:solidFill>
                      </w14:textFill>
                    </w:rPr>
                    <w:t>建筑垃圾清运至指定建渣堆放场；开挖的土石方及时回填</w:t>
                  </w:r>
                  <w:r>
                    <w:rPr>
                      <w:rFonts w:hint="default" w:ascii="Times New Roman" w:hAnsi="Times New Roman" w:cs="Times New Roman" w:eastAsiaTheme="minorEastAsia"/>
                      <w:color w:val="000000" w:themeColor="text1"/>
                      <w:lang w:val="en-US" w:eastAsia="zh-CN"/>
                      <w14:textFill>
                        <w14:solidFill>
                          <w14:schemeClr w14:val="tx1"/>
                        </w14:solidFill>
                      </w14:textFill>
                    </w:rPr>
                    <w:t>和综合利用</w:t>
                  </w:r>
                  <w:r>
                    <w:rPr>
                      <w:rFonts w:hint="default" w:ascii="Times New Roman" w:hAnsi="Times New Roman" w:cs="Times New Roman" w:eastAsiaTheme="minorEastAsia"/>
                      <w:color w:val="000000" w:themeColor="text1"/>
                      <w14:textFill>
                        <w14:solidFill>
                          <w14:schemeClr w14:val="tx1"/>
                        </w14:solidFill>
                      </w14:textFill>
                    </w:rPr>
                    <w:t>，无弃方产生</w:t>
                  </w:r>
                  <w:r>
                    <w:rPr>
                      <w:rFonts w:hint="default" w:ascii="Times New Roman" w:hAnsi="Times New Roman" w:cs="Times New Roman" w:eastAsiaTheme="minorEastAsia"/>
                      <w:color w:val="000000" w:themeColor="text1"/>
                      <w:lang w:eastAsia="zh-CN"/>
                      <w14:textFill>
                        <w14:solidFill>
                          <w14:schemeClr w14:val="tx1"/>
                        </w14:solidFill>
                      </w14:textFill>
                    </w:rPr>
                    <w:t>。</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7" w:hRule="atLeast"/>
                <w:jc w:val="center"/>
              </w:trPr>
              <w:tc>
                <w:tcPr>
                  <w:tcW w:w="740" w:type="dxa"/>
                  <w:vMerge w:val="continue"/>
                  <w:vAlign w:val="center"/>
                </w:tcPr>
                <w:p>
                  <w:pPr>
                    <w:adjustRightInd w:val="0"/>
                    <w:snapToGrid w:val="0"/>
                    <w:jc w:val="center"/>
                    <w:rPr>
                      <w:rFonts w:hint="default" w:ascii="Times New Roman" w:hAnsi="Times New Roman" w:cs="Times New Roman"/>
                      <w:b/>
                      <w:color w:val="000000" w:themeColor="text1"/>
                      <w:szCs w:val="21"/>
                      <w14:textFill>
                        <w14:solidFill>
                          <w14:schemeClr w14:val="tx1"/>
                        </w14:solidFill>
                      </w14:textFill>
                    </w:rPr>
                  </w:pPr>
                </w:p>
              </w:tc>
              <w:tc>
                <w:tcPr>
                  <w:tcW w:w="381" w:type="dxa"/>
                  <w:vMerge w:val="continue"/>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p>
              </w:tc>
              <w:tc>
                <w:tcPr>
                  <w:tcW w:w="742" w:type="dxa"/>
                  <w:vAlign w:val="center"/>
                </w:tcPr>
                <w:p>
                  <w:pPr>
                    <w:adjustRightInd w:val="0"/>
                    <w:snapToGrid w:val="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生态保护与修复工程</w:t>
                  </w:r>
                </w:p>
              </w:tc>
              <w:tc>
                <w:tcPr>
                  <w:tcW w:w="4847" w:type="dxa"/>
                  <w:vAlign w:val="center"/>
                </w:tcPr>
                <w:p>
                  <w:pPr>
                    <w:pStyle w:val="42"/>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①表土分层开挖、分层堆放、分层反序回填；临时土石堆采用苫布遮盖；外边坡土袋围挡；裸土地面草垫覆盖；</w:t>
                  </w:r>
                </w:p>
                <w:p>
                  <w:pPr>
                    <w:pStyle w:val="42"/>
                    <w:rPr>
                      <w:rFonts w:hint="default" w:ascii="Times New Roman" w:hAnsi="Times New Roman" w:cs="Times New Roman"/>
                      <w:color w:val="000000" w:themeColor="text1"/>
                      <w:kern w:val="0"/>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②控制施工作业范围，</w:t>
                  </w:r>
                  <w:r>
                    <w:rPr>
                      <w:rFonts w:hint="default" w:ascii="Times New Roman" w:hAnsi="Times New Roman" w:cs="Times New Roman"/>
                      <w:color w:val="000000" w:themeColor="text1"/>
                      <w:kern w:val="0"/>
                      <w:lang w:val="en-US" w:eastAsia="zh-CN"/>
                      <w14:textFill>
                        <w14:solidFill>
                          <w14:schemeClr w14:val="tx1"/>
                        </w14:solidFill>
                      </w14:textFill>
                    </w:rPr>
                    <w:t>严格禁止随意踩踏耕地，</w:t>
                  </w:r>
                  <w:r>
                    <w:rPr>
                      <w:rFonts w:hint="default" w:ascii="Times New Roman" w:hAnsi="Times New Roman" w:cs="Times New Roman"/>
                      <w:color w:val="000000" w:themeColor="text1"/>
                      <w:kern w:val="0"/>
                      <w14:textFill>
                        <w14:solidFill>
                          <w14:schemeClr w14:val="tx1"/>
                        </w14:solidFill>
                      </w14:textFill>
                    </w:rPr>
                    <w:t>加强施工人员环保教育，避免施工作业带外的生态破坏；</w:t>
                  </w:r>
                </w:p>
                <w:p>
                  <w:pPr>
                    <w:pStyle w:val="42"/>
                    <w:rPr>
                      <w:rFonts w:hint="default" w:ascii="Times New Roman" w:hAnsi="Times New Roman" w:eastAsia="宋体" w:cs="Times New Roman"/>
                      <w:color w:val="000000" w:themeColor="text1"/>
                      <w:kern w:val="0"/>
                      <w:lang w:val="en-US" w:eastAsia="zh-CN"/>
                      <w14:textFill>
                        <w14:solidFill>
                          <w14:schemeClr w14:val="tx1"/>
                        </w14:solidFill>
                      </w14:textFill>
                    </w:rPr>
                  </w:pPr>
                  <w:r>
                    <w:rPr>
                      <w:rFonts w:hint="default" w:ascii="Times New Roman" w:hAnsi="Times New Roman" w:cs="Times New Roman"/>
                      <w:color w:val="000000" w:themeColor="text1"/>
                      <w:kern w:val="0"/>
                      <w14:textFill>
                        <w14:solidFill>
                          <w14:schemeClr w14:val="tx1"/>
                        </w14:solidFill>
                      </w14:textFill>
                    </w:rPr>
                    <w:t>③施工结束临时工程拆除，进行迹地恢复，栽种植被，并注重与周边的景观协调性；</w:t>
                  </w:r>
                  <w:r>
                    <w:rPr>
                      <w:rFonts w:hint="default" w:ascii="Times New Roman" w:hAnsi="Times New Roman" w:cs="Times New Roman"/>
                      <w:color w:val="000000" w:themeColor="text1"/>
                      <w:kern w:val="0"/>
                      <w14:textFill>
                        <w14:solidFill>
                          <w14:schemeClr w14:val="tx1"/>
                        </w14:solidFill>
                      </w14:textFill>
                    </w:rPr>
                    <w:br w:type="textWrapping"/>
                  </w:r>
                  <w:r>
                    <w:rPr>
                      <w:rFonts w:hint="default" w:ascii="Times New Roman" w:hAnsi="Times New Roman" w:cs="Times New Roman"/>
                      <w:color w:val="000000" w:themeColor="text1"/>
                      <w:kern w:val="0"/>
                      <w14:textFill>
                        <w14:solidFill>
                          <w14:schemeClr w14:val="tx1"/>
                        </w14:solidFill>
                      </w14:textFill>
                    </w:rPr>
                    <w:t>④</w:t>
                  </w:r>
                  <w:r>
                    <w:rPr>
                      <w:rFonts w:hint="default" w:ascii="Times New Roman" w:hAnsi="Times New Roman" w:cs="Times New Roman"/>
                      <w:color w:val="000000" w:themeColor="text1"/>
                      <w:kern w:val="0"/>
                      <w:lang w:val="en-US" w:eastAsia="zh-CN"/>
                      <w14:textFill>
                        <w14:solidFill>
                          <w14:schemeClr w14:val="tx1"/>
                        </w14:solidFill>
                      </w14:textFill>
                    </w:rPr>
                    <w:t>选择非农忙、秋收季节施工，不得随意采摘农作物，不得向耕地内倾倒建渣、污泥等固废；</w:t>
                  </w:r>
                </w:p>
                <w:p>
                  <w:pPr>
                    <w:pStyle w:val="42"/>
                    <w:rPr>
                      <w:rFonts w:hint="default" w:ascii="Times New Roman" w:hAnsi="Times New Roman" w:eastAsia="宋体" w:cs="Times New Roman"/>
                      <w:color w:val="000000" w:themeColor="text1"/>
                      <w:kern w:val="0"/>
                      <w:lang w:eastAsia="zh-CN"/>
                      <w14:textFill>
                        <w14:solidFill>
                          <w14:schemeClr w14:val="tx1"/>
                        </w14:solidFill>
                      </w14:textFill>
                    </w:rPr>
                  </w:pPr>
                  <w:r>
                    <w:rPr>
                      <w:rFonts w:hint="default" w:ascii="Times New Roman" w:hAnsi="Times New Roman" w:cs="Times New Roman"/>
                      <w:color w:val="000000" w:themeColor="text1"/>
                      <w:kern w:val="0"/>
                      <w:lang w:val="en-US" w:eastAsia="zh-CN"/>
                      <w14:textFill>
                        <w14:solidFill>
                          <w14:schemeClr w14:val="tx1"/>
                        </w14:solidFill>
                      </w14:textFill>
                    </w:rPr>
                    <w:t>⑤</w:t>
                  </w:r>
                  <w:r>
                    <w:rPr>
                      <w:rFonts w:hint="default" w:ascii="Times New Roman" w:hAnsi="Times New Roman" w:cs="Times New Roman"/>
                      <w:color w:val="000000" w:themeColor="text1"/>
                      <w:kern w:val="0"/>
                      <w14:textFill>
                        <w14:solidFill>
                          <w14:schemeClr w14:val="tx1"/>
                        </w14:solidFill>
                      </w14:textFill>
                    </w:rPr>
                    <w:t>按照设计要求选择当地景观植被</w:t>
                  </w:r>
                  <w:r>
                    <w:rPr>
                      <w:rFonts w:hint="default" w:ascii="Times New Roman" w:hAnsi="Times New Roman" w:cs="Times New Roman"/>
                      <w:color w:val="000000" w:themeColor="text1"/>
                      <w:kern w:val="0"/>
                      <w:lang w:val="en-US" w:eastAsia="zh-CN"/>
                      <w14:textFill>
                        <w14:solidFill>
                          <w14:schemeClr w14:val="tx1"/>
                        </w14:solidFill>
                      </w14:textFill>
                    </w:rPr>
                    <w:t>或农作物</w:t>
                  </w:r>
                  <w:r>
                    <w:rPr>
                      <w:rFonts w:hint="default" w:ascii="Times New Roman" w:hAnsi="Times New Roman" w:cs="Times New Roman"/>
                      <w:color w:val="000000" w:themeColor="text1"/>
                      <w:kern w:val="0"/>
                      <w14:textFill>
                        <w14:solidFill>
                          <w14:schemeClr w14:val="tx1"/>
                        </w14:solidFill>
                      </w14:textFill>
                    </w:rPr>
                    <w:t>对</w:t>
                  </w:r>
                  <w:r>
                    <w:rPr>
                      <w:rFonts w:hint="default" w:ascii="Times New Roman" w:hAnsi="Times New Roman" w:cs="Times New Roman"/>
                      <w:color w:val="000000" w:themeColor="text1"/>
                      <w:kern w:val="0"/>
                      <w:lang w:val="en-US" w:eastAsia="zh-CN"/>
                      <w14:textFill>
                        <w14:solidFill>
                          <w14:schemeClr w14:val="tx1"/>
                        </w14:solidFill>
                      </w14:textFill>
                    </w:rPr>
                    <w:t>渠道坡岸</w:t>
                  </w:r>
                  <w:r>
                    <w:rPr>
                      <w:rFonts w:hint="default" w:ascii="Times New Roman" w:hAnsi="Times New Roman" w:cs="Times New Roman"/>
                      <w:color w:val="000000" w:themeColor="text1"/>
                      <w:kern w:val="0"/>
                      <w14:textFill>
                        <w14:solidFill>
                          <w14:schemeClr w14:val="tx1"/>
                        </w14:solidFill>
                      </w14:textFill>
                    </w:rPr>
                    <w:t>进行生态打造，提升生态环境质量</w:t>
                  </w:r>
                  <w:r>
                    <w:rPr>
                      <w:rFonts w:hint="default" w:ascii="Times New Roman" w:hAnsi="Times New Roman" w:cs="Times New Roman"/>
                      <w:color w:val="000000" w:themeColor="text1"/>
                      <w:kern w:val="0"/>
                      <w:lang w:eastAsia="zh-CN"/>
                      <w14:textFill>
                        <w14:solidFill>
                          <w14:schemeClr w14:val="tx1"/>
                        </w14:solidFill>
                      </w14:textFill>
                    </w:rPr>
                    <w:t>。</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740" w:type="dxa"/>
                  <w:vMerge w:val="continue"/>
                  <w:vAlign w:val="center"/>
                </w:tcPr>
                <w:p>
                  <w:pPr>
                    <w:adjustRightInd w:val="0"/>
                    <w:snapToGrid w:val="0"/>
                    <w:jc w:val="center"/>
                    <w:rPr>
                      <w:rFonts w:hint="default" w:ascii="Times New Roman" w:hAnsi="Times New Roman" w:cs="Times New Roman"/>
                      <w:b/>
                      <w:szCs w:val="21"/>
                    </w:rPr>
                  </w:pPr>
                </w:p>
              </w:tc>
              <w:tc>
                <w:tcPr>
                  <w:tcW w:w="1123" w:type="dxa"/>
                  <w:gridSpan w:val="2"/>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营运期</w:t>
                  </w:r>
                </w:p>
              </w:tc>
              <w:tc>
                <w:tcPr>
                  <w:tcW w:w="4847" w:type="dxa"/>
                  <w:vAlign w:val="center"/>
                </w:tcPr>
                <w:p>
                  <w:pPr>
                    <w:jc w:val="left"/>
                    <w:rPr>
                      <w:rFonts w:hint="default" w:ascii="Times New Roman" w:hAnsi="Times New Roman" w:cs="Times New Roman" w:eastAsiaTheme="minorEastAsia"/>
                      <w:kern w:val="0"/>
                      <w:szCs w:val="21"/>
                      <w:lang w:val="en-US" w:eastAsia="zh-CN"/>
                    </w:rPr>
                  </w:pPr>
                  <w:r>
                    <w:rPr>
                      <w:rFonts w:hint="default" w:ascii="Times New Roman" w:hAnsi="Times New Roman" w:cs="Times New Roman"/>
                      <w:kern w:val="0"/>
                      <w:szCs w:val="21"/>
                      <w:lang w:val="en-US" w:eastAsia="zh-CN"/>
                    </w:rPr>
                    <w:t>加强对各类闸门、提灌站的检修维护，避免机械噪声扰民；渠道内生活垃圾定期打捞，交由环卫部门处置。</w:t>
                  </w:r>
                </w:p>
              </w:tc>
              <w:tc>
                <w:tcPr>
                  <w:tcW w:w="1263" w:type="dxa"/>
                  <w:vMerge w:val="continue"/>
                  <w:vAlign w:val="center"/>
                </w:tcPr>
                <w:p>
                  <w:pPr>
                    <w:adjustRightInd w:val="0"/>
                    <w:snapToGrid w:val="0"/>
                    <w:rPr>
                      <w:rFonts w:hint="default" w:ascii="Times New Roman" w:hAnsi="Times New Roman" w:cs="Times New Roman"/>
                      <w:szCs w:val="21"/>
                    </w:rPr>
                  </w:pPr>
                </w:p>
              </w:tc>
              <w:tc>
                <w:tcPr>
                  <w:tcW w:w="1224"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w:t>
                  </w:r>
                </w:p>
              </w:tc>
            </w:tr>
          </w:tbl>
          <w:p>
            <w:pPr>
              <w:autoSpaceDE w:val="0"/>
              <w:autoSpaceDN w:val="0"/>
              <w:adjustRightInd w:val="0"/>
              <w:snapToGrid w:val="0"/>
              <w:spacing w:line="360" w:lineRule="auto"/>
              <w:ind w:firstLine="482" w:firstLineChars="200"/>
              <w:rPr>
                <w:rFonts w:hint="eastAsia" w:ascii="Times New Roman" w:hAnsi="Times New Roman" w:cs="Times New Roman"/>
                <w:b/>
                <w:kern w:val="0"/>
                <w:sz w:val="24"/>
                <w:szCs w:val="24"/>
                <w:lang w:eastAsia="zh-CN"/>
              </w:rPr>
            </w:pPr>
          </w:p>
          <w:p>
            <w:pPr>
              <w:autoSpaceDE w:val="0"/>
              <w:autoSpaceDN w:val="0"/>
              <w:adjustRightInd w:val="0"/>
              <w:snapToGrid w:val="0"/>
              <w:spacing w:line="360" w:lineRule="auto"/>
              <w:rPr>
                <w:rFonts w:ascii="Times New Roman" w:hAnsi="Times New Roman" w:cs="Times New Roman"/>
                <w:b/>
                <w:kern w:val="0"/>
                <w:sz w:val="24"/>
                <w:szCs w:val="24"/>
              </w:rPr>
            </w:pPr>
            <w:r>
              <w:rPr>
                <w:rFonts w:hint="eastAsia" w:ascii="Times New Roman" w:hAnsi="Times New Roman" w:cs="Times New Roman"/>
                <w:b/>
                <w:kern w:val="0"/>
                <w:sz w:val="24"/>
                <w:szCs w:val="24"/>
                <w:lang w:val="en-US" w:eastAsia="zh-CN"/>
              </w:rPr>
              <w:t>四</w:t>
            </w:r>
            <w:r>
              <w:rPr>
                <w:rFonts w:ascii="Times New Roman" w:hAnsi="Times New Roman" w:cs="Times New Roman"/>
                <w:b/>
                <w:kern w:val="0"/>
                <w:sz w:val="24"/>
                <w:szCs w:val="24"/>
              </w:rPr>
              <w:t>、工程内容及规模</w:t>
            </w:r>
          </w:p>
          <w:p>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kern w:val="0"/>
                <w:sz w:val="24"/>
                <w:szCs w:val="24"/>
                <w:lang w:val="en-US" w:eastAsia="zh-CN"/>
              </w:rPr>
            </w:pPr>
            <w:r>
              <w:rPr>
                <w:rFonts w:hint="eastAsia" w:ascii="Times New Roman" w:hAnsi="Times New Roman" w:cs="Times New Roman"/>
                <w:b/>
                <w:bCs/>
                <w:kern w:val="0"/>
                <w:sz w:val="24"/>
                <w:szCs w:val="24"/>
                <w:lang w:eastAsia="zh-CN"/>
              </w:rPr>
              <w:t>（</w:t>
            </w:r>
            <w:r>
              <w:rPr>
                <w:rFonts w:hint="eastAsia" w:ascii="Times New Roman" w:hAnsi="Times New Roman" w:cs="Times New Roman"/>
                <w:b/>
                <w:bCs/>
                <w:kern w:val="0"/>
                <w:sz w:val="24"/>
                <w:szCs w:val="24"/>
                <w:lang w:val="en-US" w:eastAsia="zh-CN"/>
              </w:rPr>
              <w:t>一</w:t>
            </w:r>
            <w:r>
              <w:rPr>
                <w:rFonts w:hint="eastAsia" w:ascii="Times New Roman" w:hAnsi="Times New Roman" w:cs="Times New Roman"/>
                <w:b/>
                <w:bCs/>
                <w:kern w:val="0"/>
                <w:sz w:val="24"/>
                <w:szCs w:val="24"/>
                <w:lang w:eastAsia="zh-CN"/>
              </w:rPr>
              <w:t>）</w:t>
            </w:r>
            <w:r>
              <w:rPr>
                <w:rFonts w:hint="eastAsia" w:ascii="Times New Roman" w:hAnsi="Times New Roman" w:cs="Times New Roman"/>
                <w:b/>
                <w:bCs/>
                <w:kern w:val="0"/>
                <w:sz w:val="24"/>
                <w:szCs w:val="24"/>
                <w:lang w:val="en-US" w:eastAsia="zh-CN"/>
              </w:rPr>
              <w:t>工程等级与标准</w:t>
            </w:r>
          </w:p>
          <w:p>
            <w:pPr>
              <w:autoSpaceDE w:val="0"/>
              <w:autoSpaceDN w:val="0"/>
              <w:adjustRightInd w:val="0"/>
              <w:snapToGrid w:val="0"/>
              <w:spacing w:line="360" w:lineRule="auto"/>
              <w:ind w:firstLine="482" w:firstLineChars="200"/>
              <w:rPr>
                <w:rFonts w:hint="eastAsia" w:ascii="Times New Roman" w:hAnsi="Times New Roman" w:cs="Times New Roman" w:eastAsiaTheme="minorEastAsia"/>
                <w:b/>
                <w:bCs/>
                <w:kern w:val="0"/>
                <w:sz w:val="24"/>
                <w:szCs w:val="24"/>
                <w:lang w:eastAsia="zh-CN"/>
              </w:rPr>
            </w:pPr>
            <w:r>
              <w:rPr>
                <w:rFonts w:ascii="Times New Roman" w:hAnsi="Times New Roman" w:cs="Times New Roman"/>
                <w:b/>
                <w:bCs/>
                <w:kern w:val="0"/>
                <w:sz w:val="24"/>
                <w:szCs w:val="24"/>
              </w:rPr>
              <w:t>1、</w:t>
            </w:r>
            <w:r>
              <w:rPr>
                <w:rFonts w:hint="eastAsia" w:ascii="Times New Roman" w:hAnsi="Times New Roman" w:cs="Times New Roman"/>
                <w:b/>
                <w:bCs/>
                <w:kern w:val="0"/>
                <w:sz w:val="24"/>
                <w:szCs w:val="24"/>
                <w:lang w:val="en-US" w:eastAsia="zh-CN"/>
              </w:rPr>
              <w:t>工程等级及建筑物级别和标准</w:t>
            </w:r>
          </w:p>
          <w:p>
            <w:pPr>
              <w:autoSpaceDE w:val="0"/>
              <w:autoSpaceDN w:val="0"/>
              <w:adjustRightInd w:val="0"/>
              <w:snapToGrid w:val="0"/>
              <w:spacing w:line="360" w:lineRule="auto"/>
              <w:ind w:firstLine="480" w:firstLineChars="200"/>
              <w:rPr>
                <w:rFonts w:hint="default"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根据《灌溉与排水工程设计标准》GB50288-2018）及《防洪标准》GB50201-2014）规定，灌区渠（管）道引水流量0.001-0.036m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lang w:val="en-US" w:eastAsia="zh-CN"/>
              </w:rPr>
              <w:t>/s，渠道加大流量0.010-0.083m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lang w:val="en-US" w:eastAsia="zh-CN"/>
              </w:rPr>
              <w:t>/s小于5m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lang w:val="en-US" w:eastAsia="zh-CN"/>
              </w:rPr>
              <w:t>/s，水闸过水流量0.001-0.064m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lang w:val="en-US" w:eastAsia="zh-CN"/>
              </w:rPr>
              <w:t>/s小于5m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lang w:val="en-US" w:eastAsia="zh-CN"/>
              </w:rPr>
              <w:t>/s，因此，项目区灌溉渠（管）道为5级，渠（管）道上的水闸等建筑</w:t>
            </w:r>
            <w:r>
              <w:rPr>
                <w:rFonts w:hint="default" w:ascii="Times New Roman" w:hAnsi="Times New Roman" w:cs="Times New Roman"/>
                <w:kern w:val="0"/>
                <w:sz w:val="24"/>
                <w:szCs w:val="24"/>
                <w:lang w:val="en-US" w:eastAsia="zh-CN"/>
              </w:rPr>
              <w:t>物为5级，排洪渠建筑物级别为5级，其他次要建筑物级别为5级；输水工程沿途坡面洪水重现期采用10年，不作校核。</w:t>
            </w:r>
          </w:p>
          <w:p>
            <w:pPr>
              <w:numPr>
                <w:ilvl w:val="0"/>
                <w:numId w:val="0"/>
              </w:numPr>
              <w:autoSpaceDE w:val="0"/>
              <w:autoSpaceDN w:val="0"/>
              <w:adjustRightInd w:val="0"/>
              <w:snapToGrid w:val="0"/>
              <w:spacing w:line="360" w:lineRule="auto"/>
              <w:ind w:firstLine="482" w:firstLineChars="200"/>
              <w:rPr>
                <w:rFonts w:hint="default" w:ascii="Times New Roman" w:hAnsi="Times New Roman" w:cs="Times New Roman"/>
                <w:b/>
                <w:bCs/>
                <w:kern w:val="0"/>
                <w:sz w:val="24"/>
                <w:lang w:val="en-US" w:eastAsia="zh-CN"/>
              </w:rPr>
            </w:pPr>
            <w:r>
              <w:rPr>
                <w:rFonts w:hint="default" w:ascii="Times New Roman" w:hAnsi="Times New Roman" w:cs="Times New Roman"/>
                <w:b/>
                <w:bCs/>
                <w:kern w:val="0"/>
                <w:sz w:val="24"/>
                <w:lang w:val="en-US" w:eastAsia="zh-CN"/>
              </w:rPr>
              <w:t>2、建筑物使用年限</w:t>
            </w:r>
          </w:p>
          <w:p>
            <w:pPr>
              <w:autoSpaceDE w:val="0"/>
              <w:autoSpaceDN w:val="0"/>
              <w:adjustRightInd w:val="0"/>
              <w:snapToGrid w:val="0"/>
              <w:spacing w:line="360" w:lineRule="auto"/>
              <w:ind w:firstLine="480" w:firstLineChars="200"/>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根据《水利水电工程合理使用年限及耐久性设计规范》（SL654-2014），本工程为灌区工程，工程等别Ⅳ等小（1）型工程，工程合理使用年限为30年，灌排建筑物合理使用年限为30年，灌溉渠（管）道合理使用年限为20年。</w:t>
            </w:r>
          </w:p>
          <w:p>
            <w:pPr>
              <w:numPr>
                <w:ilvl w:val="0"/>
                <w:numId w:val="0"/>
              </w:numPr>
              <w:autoSpaceDE w:val="0"/>
              <w:autoSpaceDN w:val="0"/>
              <w:adjustRightInd w:val="0"/>
              <w:snapToGrid w:val="0"/>
              <w:spacing w:line="360" w:lineRule="auto"/>
              <w:ind w:leftChars="228"/>
              <w:rPr>
                <w:rFonts w:hint="default" w:ascii="Times New Roman" w:hAnsi="Times New Roman" w:cs="Times New Roman"/>
                <w:b/>
                <w:bCs/>
                <w:kern w:val="0"/>
                <w:sz w:val="24"/>
                <w:lang w:eastAsia="zh-CN"/>
              </w:rPr>
            </w:pPr>
            <w:r>
              <w:rPr>
                <w:rFonts w:hint="eastAsia" w:ascii="Times New Roman" w:hAnsi="Times New Roman" w:cs="Times New Roman"/>
                <w:b/>
                <w:bCs/>
                <w:kern w:val="0"/>
                <w:sz w:val="24"/>
                <w:lang w:val="en-US" w:eastAsia="zh-CN"/>
              </w:rPr>
              <w:t>3</w:t>
            </w:r>
            <w:r>
              <w:rPr>
                <w:rFonts w:hint="default" w:ascii="Times New Roman" w:hAnsi="Times New Roman" w:cs="Times New Roman"/>
                <w:b/>
                <w:bCs/>
                <w:kern w:val="0"/>
                <w:sz w:val="24"/>
                <w:lang w:val="en-US" w:eastAsia="zh-CN"/>
              </w:rPr>
              <w:t>、</w:t>
            </w:r>
            <w:r>
              <w:rPr>
                <w:rFonts w:hint="default" w:ascii="Times New Roman" w:hAnsi="Times New Roman" w:cs="Times New Roman"/>
                <w:b/>
                <w:bCs/>
                <w:kern w:val="0"/>
                <w:sz w:val="24"/>
                <w:lang w:eastAsia="zh-CN"/>
              </w:rPr>
              <w:t>抗震设计标准</w:t>
            </w:r>
          </w:p>
          <w:p>
            <w:pPr>
              <w:numPr>
                <w:ilvl w:val="0"/>
                <w:numId w:val="0"/>
              </w:numPr>
              <w:autoSpaceDE w:val="0"/>
              <w:autoSpaceDN w:val="0"/>
              <w:adjustRightInd w:val="0"/>
              <w:snapToGrid w:val="0"/>
              <w:spacing w:line="360" w:lineRule="auto"/>
              <w:ind w:firstLine="480" w:firstLineChars="200"/>
              <w:rPr>
                <w:rFonts w:hint="default" w:ascii="Times New Roman" w:hAnsi="Times New Roman" w:cs="Times New Roman"/>
                <w:kern w:val="0"/>
                <w:sz w:val="24"/>
                <w:lang w:eastAsia="zh-CN"/>
              </w:rPr>
            </w:pPr>
            <w:r>
              <w:rPr>
                <w:rFonts w:hint="default" w:ascii="Times New Roman" w:hAnsi="Times New Roman" w:cs="Times New Roman"/>
                <w:kern w:val="0"/>
                <w:sz w:val="24"/>
                <w:lang w:eastAsia="zh-CN"/>
              </w:rPr>
              <w:t>据《中国地震动参数区划图》（GB18306-2015），工程区50年超越概率10%的地震动峰值加速度为0.05g，动反应谱特征周期为0.35s，地震基本烈度为Ⅵ度。工程场址未来50年区域构造稳定性好。根据建筑物等级和《水工建筑物抗震设计规范》要求，不做抗震设计。</w:t>
            </w:r>
          </w:p>
          <w:p>
            <w:pPr>
              <w:numPr>
                <w:ilvl w:val="0"/>
                <w:numId w:val="0"/>
              </w:numPr>
              <w:autoSpaceDE w:val="0"/>
              <w:autoSpaceDN w:val="0"/>
              <w:adjustRightInd w:val="0"/>
              <w:snapToGrid w:val="0"/>
              <w:spacing w:line="360" w:lineRule="auto"/>
              <w:ind w:left="479" w:leftChars="228" w:firstLine="0" w:firstLineChars="0"/>
              <w:rPr>
                <w:rFonts w:hint="default" w:ascii="Times New Roman" w:hAnsi="Times New Roman" w:cs="Times New Roman"/>
                <w:kern w:val="0"/>
                <w:sz w:val="24"/>
                <w:lang w:val="en-US" w:eastAsia="zh-CN"/>
              </w:rPr>
            </w:pPr>
            <w:r>
              <w:rPr>
                <w:rFonts w:hint="default" w:ascii="Times New Roman" w:hAnsi="Times New Roman" w:cs="Times New Roman"/>
                <w:b/>
                <w:bCs/>
                <w:kern w:val="0"/>
                <w:sz w:val="24"/>
                <w:lang w:eastAsia="zh-CN"/>
              </w:rPr>
              <w:t>4、抗冻、抗渗设计标准</w:t>
            </w:r>
            <w:r>
              <w:rPr>
                <w:rFonts w:hint="default" w:ascii="Times New Roman" w:hAnsi="Times New Roman" w:cs="Times New Roman"/>
                <w:kern w:val="0"/>
                <w:sz w:val="24"/>
                <w:lang w:eastAsia="zh-CN"/>
              </w:rPr>
              <w:br w:type="textWrapping"/>
            </w:r>
            <w:r>
              <w:rPr>
                <w:rFonts w:hint="default" w:ascii="Times New Roman" w:hAnsi="Times New Roman" w:cs="Times New Roman"/>
                <w:kern w:val="0"/>
                <w:sz w:val="24"/>
                <w:lang w:val="en-US" w:eastAsia="zh-CN"/>
              </w:rPr>
              <w:t>根据《水工建筑物抗冰冻设计规范》SL211-2006、《渠道防渗衬砌工程技术标准》</w:t>
            </w:r>
          </w:p>
          <w:p>
            <w:pPr>
              <w:numPr>
                <w:ilvl w:val="0"/>
                <w:numId w:val="0"/>
              </w:numPr>
              <w:autoSpaceDE w:val="0"/>
              <w:autoSpaceDN w:val="0"/>
              <w:adjustRightInd w:val="0"/>
              <w:snapToGrid w:val="0"/>
              <w:spacing w:line="360" w:lineRule="auto"/>
              <w:rPr>
                <w:rFonts w:hint="default" w:ascii="Times New Roman" w:hAnsi="Times New Roman" w:cs="Times New Roman"/>
                <w:kern w:val="0"/>
                <w:sz w:val="24"/>
                <w:lang w:eastAsia="zh-CN"/>
              </w:rPr>
            </w:pPr>
            <w:r>
              <w:rPr>
                <w:rFonts w:hint="default" w:ascii="Times New Roman" w:hAnsi="Times New Roman" w:cs="Times New Roman"/>
                <w:kern w:val="0"/>
                <w:sz w:val="24"/>
                <w:lang w:val="en-US" w:eastAsia="zh-CN"/>
              </w:rPr>
              <w:t>GB/T50600-2020的规定，该地区最低温度约-5℃，属于温和地区，因此其水工结构及构件砼抗冻等级为F100（如水闸），次要水工结构及构件砼抗冻等级为F100。渠道衬砌材料为砼，渡槽材料为钢筋砼，地质条件为粘土、泥岩、砂岩，因此防渗等级为W6。</w:t>
            </w:r>
          </w:p>
          <w:p>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kern w:val="0"/>
                <w:sz w:val="24"/>
                <w:szCs w:val="24"/>
                <w:lang w:val="en-US" w:eastAsia="zh-CN"/>
              </w:rPr>
            </w:pPr>
            <w:r>
              <w:rPr>
                <w:rFonts w:hint="eastAsia" w:ascii="Times New Roman" w:hAnsi="Times New Roman" w:cs="Times New Roman"/>
                <w:b/>
                <w:bCs/>
                <w:kern w:val="0"/>
                <w:sz w:val="24"/>
                <w:szCs w:val="24"/>
                <w:lang w:eastAsia="zh-CN"/>
              </w:rPr>
              <w:t>（</w:t>
            </w:r>
            <w:r>
              <w:rPr>
                <w:rFonts w:hint="eastAsia" w:ascii="Times New Roman" w:hAnsi="Times New Roman" w:cs="Times New Roman"/>
                <w:b/>
                <w:bCs/>
                <w:kern w:val="0"/>
                <w:sz w:val="24"/>
                <w:szCs w:val="24"/>
                <w:lang w:val="en-US" w:eastAsia="zh-CN"/>
              </w:rPr>
              <w:t>二</w:t>
            </w:r>
            <w:r>
              <w:rPr>
                <w:rFonts w:hint="eastAsia" w:ascii="Times New Roman" w:hAnsi="Times New Roman" w:cs="Times New Roman"/>
                <w:b/>
                <w:bCs/>
                <w:kern w:val="0"/>
                <w:sz w:val="24"/>
                <w:szCs w:val="24"/>
                <w:lang w:eastAsia="zh-CN"/>
              </w:rPr>
              <w:t>）主体工程设计</w:t>
            </w:r>
          </w:p>
          <w:p>
            <w:pPr>
              <w:autoSpaceDE w:val="0"/>
              <w:autoSpaceDN w:val="0"/>
              <w:adjustRightInd w:val="0"/>
              <w:snapToGrid w:val="0"/>
              <w:spacing w:line="360" w:lineRule="auto"/>
              <w:ind w:firstLine="435"/>
              <w:rPr>
                <w:rFonts w:hint="default"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lang w:val="en-US" w:eastAsia="zh-CN"/>
              </w:rPr>
              <w:t>根据设计方案，本次渠道损毁修复总长度63213m，其中干渠24条，损毁修复总长度34562m，支渠37条，损毁修复总长度28650m。具体设计如下：</w:t>
            </w:r>
          </w:p>
          <w:p>
            <w:pPr>
              <w:autoSpaceDE w:val="0"/>
              <w:autoSpaceDN w:val="0"/>
              <w:adjustRightInd w:val="0"/>
              <w:snapToGrid w:val="0"/>
              <w:spacing w:line="360" w:lineRule="auto"/>
              <w:ind w:firstLine="435"/>
              <w:rPr>
                <w:rFonts w:hint="default" w:ascii="Times New Roman" w:hAnsi="Times New Roman" w:cs="Times New Roman"/>
                <w:b/>
                <w:bCs/>
                <w:kern w:val="0"/>
                <w:sz w:val="24"/>
                <w:szCs w:val="24"/>
                <w:lang w:val="en-US" w:eastAsia="zh-CN"/>
              </w:rPr>
            </w:pPr>
            <w:r>
              <w:rPr>
                <w:rFonts w:hint="eastAsia" w:ascii="Times New Roman" w:hAnsi="Times New Roman" w:cs="Times New Roman"/>
                <w:b/>
                <w:bCs/>
                <w:kern w:val="0"/>
                <w:sz w:val="24"/>
                <w:szCs w:val="24"/>
                <w:lang w:val="en-US" w:eastAsia="zh-CN"/>
              </w:rPr>
              <w:t>1、渠道工程</w:t>
            </w:r>
          </w:p>
          <w:p>
            <w:pPr>
              <w:autoSpaceDE w:val="0"/>
              <w:autoSpaceDN w:val="0"/>
              <w:adjustRightInd w:val="0"/>
              <w:snapToGrid w:val="0"/>
              <w:spacing w:line="360" w:lineRule="auto"/>
              <w:ind w:firstLine="435"/>
              <w:rPr>
                <w:rFonts w:hint="eastAsia" w:ascii="Times New Roman" w:hAnsi="Times New Roman" w:cs="Times New Roman"/>
                <w:b/>
                <w:bCs/>
                <w:kern w:val="0"/>
                <w:sz w:val="21"/>
                <w:szCs w:val="21"/>
                <w:lang w:val="en-US" w:eastAsia="zh-CN"/>
              </w:rPr>
            </w:pPr>
            <w:r>
              <w:rPr>
                <w:rFonts w:hint="eastAsia" w:ascii="Times New Roman" w:hAnsi="Times New Roman" w:cs="Times New Roman"/>
                <w:kern w:val="0"/>
                <w:sz w:val="24"/>
                <w:szCs w:val="24"/>
                <w:lang w:val="en-US" w:eastAsia="zh-CN"/>
              </w:rPr>
              <w:t>（1）渠道修复设计</w:t>
            </w:r>
          </w:p>
          <w:p>
            <w:pPr>
              <w:autoSpaceDE w:val="0"/>
              <w:autoSpaceDN w:val="0"/>
              <w:adjustRightInd w:val="0"/>
              <w:snapToGrid w:val="0"/>
              <w:spacing w:line="240" w:lineRule="auto"/>
              <w:jc w:val="center"/>
              <w:rPr>
                <w:rFonts w:hint="default" w:ascii="Times New Roman" w:hAnsi="Times New Roman" w:cs="Times New Roman"/>
                <w:b/>
                <w:bCs/>
                <w:kern w:val="0"/>
                <w:sz w:val="21"/>
                <w:szCs w:val="21"/>
                <w:lang w:val="en-US" w:eastAsia="zh-CN"/>
              </w:rPr>
            </w:pPr>
            <w:r>
              <w:rPr>
                <w:rFonts w:hint="eastAsia" w:ascii="Times New Roman" w:hAnsi="Times New Roman" w:cs="Times New Roman"/>
                <w:b/>
                <w:bCs/>
                <w:kern w:val="0"/>
                <w:sz w:val="21"/>
                <w:szCs w:val="21"/>
                <w:lang w:val="en-US" w:eastAsia="zh-CN"/>
              </w:rPr>
              <w:t>表2-3  本项目各灌区渠道整治内容表</w:t>
            </w:r>
          </w:p>
          <w:tbl>
            <w:tblPr>
              <w:tblStyle w:val="26"/>
              <w:tblW w:w="4878"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shd w:val="clear" w:color="auto" w:fill="auto"/>
              <w:tblLayout w:type="fixed"/>
              <w:tblCellMar>
                <w:top w:w="0" w:type="dxa"/>
                <w:left w:w="108" w:type="dxa"/>
                <w:bottom w:w="0" w:type="dxa"/>
                <w:right w:w="108" w:type="dxa"/>
              </w:tblCellMar>
            </w:tblPr>
            <w:tblGrid>
              <w:gridCol w:w="670"/>
              <w:gridCol w:w="578"/>
              <w:gridCol w:w="6"/>
              <w:gridCol w:w="1668"/>
              <w:gridCol w:w="1550"/>
              <w:gridCol w:w="673"/>
              <w:gridCol w:w="712"/>
              <w:gridCol w:w="775"/>
              <w:gridCol w:w="2425"/>
            </w:tblGrid>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shd w:val="clear" w:color="auto" w:fill="auto"/>
                <w:tblCellMar>
                  <w:top w:w="0" w:type="dxa"/>
                  <w:left w:w="108" w:type="dxa"/>
                  <w:bottom w:w="0" w:type="dxa"/>
                  <w:right w:w="108" w:type="dxa"/>
                </w:tblCellMar>
              </w:tblPrEx>
              <w:trPr>
                <w:trHeight w:val="291" w:hRule="atLeast"/>
                <w:tblHeader/>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灌区名称</w:t>
                  </w: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渠道名称</w:t>
                  </w:r>
                </w:p>
              </w:tc>
              <w:tc>
                <w:tcPr>
                  <w:tcW w:w="92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桩号</w:t>
                  </w:r>
                </w:p>
              </w:tc>
              <w:tc>
                <w:tcPr>
                  <w:tcW w:w="855"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桩号</w:t>
                  </w:r>
                </w:p>
              </w:tc>
              <w:tc>
                <w:tcPr>
                  <w:tcW w:w="371"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长度</w:t>
                  </w:r>
                </w:p>
              </w:tc>
              <w:tc>
                <w:tcPr>
                  <w:tcW w:w="820"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尺寸</w:t>
                  </w:r>
                </w:p>
              </w:tc>
              <w:tc>
                <w:tcPr>
                  <w:tcW w:w="1338"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整治内容</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tblHeader/>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855"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71"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宽（m）</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14:textFill>
                        <w14:solidFill>
                          <w14:schemeClr w14:val="tx1"/>
                        </w14:solidFill>
                      </w14:textFill>
                    </w:rPr>
                    <w:t>高（m）</w:t>
                  </w:r>
                </w:p>
              </w:tc>
              <w:tc>
                <w:tcPr>
                  <w:tcW w:w="1338"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秧田湾水库灌区</w:t>
                  </w: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右干0+098.15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右干0+098.15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右干0+706.65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609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82"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右干0+706.65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右干0+747.15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右干0+747.15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右干1+073.03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326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右干1+073.03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右干1+079.89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82"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右干1+079.89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右干1+085.58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右干1+085.58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右干1+191.07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82"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右干1+191.07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右干1+217.48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右干1+217.48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右干1+224.49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右干1+224.49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右干1+238.18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右干1+238.18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右干1+257.92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右干1+257.92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右干1+650.60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393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82"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右干1+650.60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右干1+660.90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右干1+660.90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右干1+807.70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147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右干1+807.70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右干1+826.19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右干1+826.19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右干1+907.88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82"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右干1+907.88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右干1+930.17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右干1+930.17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右干2+124.05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194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restar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右4支0+018.10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右4支0+018.10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右4支0+043.22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渡槽内侧挂网抹面，玻璃钢格栅盖板封闭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右4支0+043.22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右4支0+692.50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649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右4支0+692.50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右4支0+964.15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272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0.125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0.125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新建DN125倒虹吸管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右4支0+964.15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右4支1+411.91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448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右4支1+411.91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右4支1+485.98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左干0+270.85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271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restar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提灌渠道</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泵渠0+359.01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359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82"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泵渠0+359.01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泵渠0+362.84</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泵渠0+362.84</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泵渠0+565.12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202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82"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泵渠0+565.12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泵渠0+570.73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泵渠0+570.73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泵渠1+868.42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1298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泵渠1+868.42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泵渠1+948.00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渡槽内侧挂网抹面，玻璃钢格栅盖板封闭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泵渠1+948.00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泵渠2+948.56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1001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398"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泵渠2+948.56</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泵渠3+052.75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渡槽内侧挂网抹面，玻璃钢格栅盖板封闭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泵渠3+052.75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泵渠3+380.05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327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库尾渠道</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尾渠0+000.00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尾渠0+200.00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200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尾渠0+200.00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尾渠0+514.19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314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观音岩水库灌区</w:t>
                  </w: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右干0+062.00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右干0+062.00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右干0+069.50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右干0+069.00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右干0+443.00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374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右干0+443.00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右干0+445.00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池内侧挂网抹面，玻璃钢盖板封闭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右干0+445.00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右干0+535.00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0.9</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0.9</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右干0+535.00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右干1+078.00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543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右干1+078.00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右干1+082.50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新建倒虹吸进水井，并增设控制设施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右干1+082.50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右干1+234.50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152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0.273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0.273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恢复重建DN273倒虹吸管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右干1+234.50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右干1+240.00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新建倒虹吸进水井，并增设控制设施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右干1+240.00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右干1+305.00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右干1+305.00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右干1+342.00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右干1+342.00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右干1+472.00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右干1+472.00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右干1+479.00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右干1+479.00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右干1+743.00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264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右干1+743.00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右干1+748.00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右干1+748.00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右干1+871.00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右支0+407.00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407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右支0+407.00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右支0+446.00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右支0+446.00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右支2+125.00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1679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右支2+125.00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右支2+155.00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恢复重建DN219倒虹吸管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右支2+155.00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右支2+201.00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右支2+201.00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右支2+241.00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恢复重建渡槽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右支2+241.00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右支2+605.00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364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右支2+605.00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右支2+653.00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右支2+653.00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右支2+723.00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恢复重建DN219倒虹吸管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右支2+723.00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右支2+860.00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右支2+860.00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右支2+908.00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恢复重建DN219倒虹吸管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右支2+908.00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右支2+970.00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右支2+970.00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右支2+976.00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右支2+976.00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右支3+144.00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168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李家咀提灌渠道</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提二0+064.00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提二0+064.00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提二0+075.00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提二0+075.00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提二0+082.00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提二0+082.00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提二0+126.00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渡槽内侧挂网抹面，玻璃钢格栅盖板封闭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提二0+126.00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提二0+148.00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提二0+148.00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提二0+183.00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提二0+183.00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提二0+197.00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新建沉砂池，后接新建DN219管道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提二0+197.00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提二0+228.00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新建DN219管道95m，接入已建山坪塘</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提二0+228.00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提二0+279.00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0.219</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新建DN219管道95m，接入已建山坪塘</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二级提灌渠道</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提三0+003.00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1.2</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池内挂网抹面，玻璃格栅盖板封闭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提三0+003.00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提三0+371.00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368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提三0+371.00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提三0+421.00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恢复重建渡槽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提三0+421.00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提三0+535.00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114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提三0+535.00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提三0+681.00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146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提三0+681.00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提三0+681.70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池内挂网抹面，玻璃格栅盖板封闭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提三0+681.70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提三0+747.70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云顶水库灌区</w:t>
                  </w: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主干0+360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360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现状1#渠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渠①0+000.00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渠①0+564.86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565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C25砼衬砌</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现状2#渠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渠②0+000.00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渠②0+242.83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243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C25砼衬砌</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现状3#渠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渠③0+000.00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渠③0+362.86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363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C25砼衬砌</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现状4#渠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渠④0+000.00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渠④0+330.65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331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C25砼衬砌</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现状5#渠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渠⑤0+000.00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渠⑤0+732.28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732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C25砼衬砌</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小沟河水库灌区</w:t>
                  </w: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左干0+765.69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766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左干0+765.69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左干0+773.17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穿路涵清淤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左干0+773.17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左干1+179.37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406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海棠溪干渠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HT干0+000.00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右干0+094.99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br w:type="textWrapping"/>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前段渠道废弃，新建底格栏栅坝右岸引水管道接入</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HT干0+094.99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HT干0+650.65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556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马家溪干渠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MJ干0+000.00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MJ干0+051.83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前段渠道废弃，新建底格栏栅坝</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MJ干0+051.83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MJ干0+139.16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恢复重建C25砼渠道，新建底格栏栅坝左岸引水管道接入</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MJ干0+139.16</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MJ干0+542.57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403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马1支渠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M①支0+000.00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M①支0+030.70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M①支0+030.70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M①支0+037.68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穿路涵清淤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M①支0+037.68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M①支0+283.74</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246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马2支渠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M②支0+015.10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M②支0+015.10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M②支0+101.11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25钢筋砼重建渡槽，玻璃钢格栅盖板封闭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M②支0+101.11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M②支0+247.57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146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br w:type="textWrapping"/>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末端新建沉砂池，连接新建管道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M②支0+247.57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M②支0+298.34</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该段渠道废弃，改建管道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M②支0+298.34</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M②支0+358.72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该段渠道废弃，改建管道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M②支0+358.72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M②支0+434.68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该段渠道废弃，改建管道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M②支0+434.68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M②支0+492.15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该段渠道废弃，改建管道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M②支0+492.15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M②支0+559.70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该段渠道废弃，改建管道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M②支0+559.70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M②支0+571.51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该段渠道废弃，改建管道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M②支0+571.51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M②支0+576.87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该段渠道废弃，改建管道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M②支0+576.87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M②支0+679.45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现状渡槽废弃，改建管道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M②支0+679.45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M②支0+744.95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该段渠道废弃，改建管道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M②支0+744.95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M②支0+847.83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M②支0+847.83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M②支0+851.81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M②支0+851.81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M②支1+018.17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166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M②支1+018.17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M②支1+027.51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M②支1+027.51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M②支1+115.25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M②支1+115.25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M②支1+127.18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恢复重建C25砼渠道连接原渠道和渡槽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M②支1+127.18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M②支1+322.08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195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曹家沟水库灌区</w:t>
                  </w: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主干0+078.12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主干0+078.12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主干0+103.32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主干0+103.32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主干0+139.83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70"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主干0+139.83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主干0+410.22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270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主干0+410.22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主干0+556.83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147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现状隧洞运行良好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主干0+556.83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主干0+612.23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主干0+612.23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主干0+631.48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0.8</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支②0+000.00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支②0+077.99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支③0+000.00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支③0+294.79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295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漆树沟水库灌区</w:t>
                  </w: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主干1+097.64</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1098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主干1+097.64</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主干1+119.28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主干1+119.28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主干1+227.41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主干1+227.41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主干1+256.35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主干1+256.35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主干1+285.37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主干1+285.37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主干1+334.38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主干1+334.38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主干1+381.69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主干1+381.69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主干1+397.08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主干1+397.08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主干1+528.08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主干1+528.08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主干1+661.69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主干1+661.69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主干1+708.06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主干1+708.06</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主干1+728.83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主干1+728.83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主干1+865.87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主干1+865.87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主干1+869.91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主干1+869.91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主干1+880.79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主干1+880.79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主干2+075.32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195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主干2+075.32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主干2+831.11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756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主干2+831.11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主干2+837.26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主干2+837.26</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主干3+277.62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440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支②0+000.00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支②0+043.01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1"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支②0+043.01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支②0+470.40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427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支⑤0+000.00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支⑤0+245.88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246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刘家坪水库灌区</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主干0+035.40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左干0+709.52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710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左干0+709.52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左干0+715.07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左干0+715.07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左干0+717.69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70"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左干0+717.69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左干0+821.50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左干0+821.50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左干1+592.79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771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779"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左1支渠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左1支0+000.00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左1支0+242.16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242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左2支0+314.78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315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左2支0+314.78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左2支0+321.02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左2支0+321.02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左2支0+441.79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左2支0+441.79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左2支0+447.22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左2支0+447.22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左2支1+159.29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712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左3支0+536.38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536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左3支0+536.38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左3支0+945.68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409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左4支2+736.10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2736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左4支2+736.10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左4支2+741.63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左4支2+741.63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左4支2+753.46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左3支①渠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左3支①0+000.00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左3支①0+210.79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211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左3支①0+210.79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左3支①0+225.46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左3支①0+225.46</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左3支①0+420.40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195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71"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左3支②渠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左3支②0+000.00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左3支②0+391.51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392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71"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左3支③渠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左3支③0+000.00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左3支③0+255.37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255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右干0+195.22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195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右干0+195.22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右干0+228.72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右干0+228.72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右干0+240.92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右干0+240.92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右干1+023.81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783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右干1+023.81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右干1+029.65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右干1+029.65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右干1+342.22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313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右干1+342.22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右干1+354.08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右干1+354.08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右干1+364.23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右干1+364.23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右干1+729.71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365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40"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右干1+729.71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右干1+742.38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现状渡槽结构完好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右干1+742.38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右干1+754.09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右干1+754.09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右干1+886.42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右干1+886.42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右干1+985.33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右干1+985.33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右干2+007.41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右1支0+021.88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右1支0+021.88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右1支0+026.99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右1支0+026.99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右1支0+501.61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475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右1支0+501.61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右1支0+506.31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右1支0+506.31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右1支0+638.93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右3支0+283.55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284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右3支0+283.55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右3支0+289.63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右3支0+289.63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右3支0+971.58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682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右6支渠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右6支0+000.00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右6支0+448.02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448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右6支0+448.02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右6支0+455.69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右6支0+455.69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右6支4+125.19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3670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烂田湾水库灌区</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左干0+442.17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442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左一支渠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左一支0+000.00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左一支0+083.42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拆除重建C25砼渠道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后头湾水库灌区</w:t>
                  </w: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干0+170.73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171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渠道挂网抹面，末端位置预留分水口</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干0+170.73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干0+265.18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干0+265.18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干0+270.58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干0+270.58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干0+537.31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267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干0+537.31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干0+565.52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干0+565.52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干0+880.55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315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渠道挂网抹面，末端位置预留分水口</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干0+880.55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干1+424.40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544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渠道挂网抹面，末端位置预留分水口</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干1+424.40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干1+736.95</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313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干1+736.95</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干2+255.24</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518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新建管道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长征水库灌区</w:t>
                  </w: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右干0+164.00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164</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右干0+164.00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右干0+177.00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13</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右干0+177.00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右干0+433.00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256</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31"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右干0+433.00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右干0+680.00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247</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牵引管道连接两岸渠道，渠道连接管道处设沉砂池，末端接渠道处封闭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右干0+680.00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右干2+012.00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1332</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左干0+067.00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67</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左干0+067.00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左干0+083.00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16</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渡槽内侧挂网抹面，玻璃钢格栅盖板封闭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左干0+083.00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左干0+420.00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337</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左干0+420.00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左干0+541.00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121</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现状隧洞清淤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右支渠</w:t>
                  </w:r>
                </w:p>
              </w:tc>
              <w:tc>
                <w:tcPr>
                  <w:tcW w:w="924"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右支0+817.00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817</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南六水库灌区</w:t>
                  </w: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左干0+017.50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17.5</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左干0+017.50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左干0+237.50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220</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沿村道外沿新建C25砼渠道，玻璃钢格栅盖板封闭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左干0+237.50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左干0+284.00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46.5</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左干0+284.00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左干0+574.00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290</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左干0+574.00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左干0+619.00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45</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现状隧洞清淤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左干0+619.00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左干1+368.00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749</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左干1+368.00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左干1+407.00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39</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左干1+407.00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左干3+037.00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1630</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左干3+037.00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左干3+047.00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10</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现状穿路涵清淤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左干3+047.00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左干3+097.00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50</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左1支渠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左1支0+000.00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左1支1+106.00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1106</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左2支0+384.00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384</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左2支0+384.00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左2支0+391.00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7</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左2支0+391.00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左2支0+443.00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52</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改线，新建C25砼渠道</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左3支0+401.00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401</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左4支0+344.00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344</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左5支渠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左5支0+000.00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左5支0+282.00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282</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696"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九军坪水库灌区</w:t>
                  </w: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主干0+107.00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107</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1.2</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1.2</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现状渠道完好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右干3+151.00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3151</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右干3+151.00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右干3+221.00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70</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渡槽内侧挂网抹面，玻璃钢格栅盖板封闭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右干3+221.00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右干3+382.00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161</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右干3+382.00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右干3+386.00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4</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渡槽内侧挂网抹面，玻璃钢格栅盖板封闭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右干3+386.00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右干3+459.00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73</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右干3+459.00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右干3+587.00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128</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在原渡槽基础上恢复重建C25砼渡槽槽身</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右干3+587.00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右干3+881.00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294</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左干0+030.00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30</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左干0+030.00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左干0+068.00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38</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左干0+068.00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左干3+652.00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3584</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左干3+652.00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左干3+658.00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6</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左干3+658.00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左干4+189.00</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531</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阴洞岩水库灌区</w:t>
                  </w: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右干0+070.94</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71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0.3</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更换闸阀井内设施</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右干0+070.94</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右干0+073.33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沉砂池清淤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右干0+073.33</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右干0+145.87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现状暗渠清淤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右干0+145.87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右干0+184.68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现状隧洞清淤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右干0+184.68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右干0+372.07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187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右干0+372.07</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右干0+452.42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80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清除滑坡体，设牵引管</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右干0+452.42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右干1+379.71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927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右干1+379.71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右干1+412.37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右1#支渠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右一支0+000.00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右一支0+237.68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238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2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右三支0+425.22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425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0.7</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右3-1#支渠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右三'支0+132.18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132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右三'支0+132.18</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右三'支0+145.22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13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右三'支0+145.22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右三'支1+062.11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917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右三'支1+062.11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右三'支1+071.46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新建穿路涵</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右三'支1+071.46</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右三'支1+430.58</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359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右3-2#支渠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右三''支0+068.59</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右三''支0+068.59</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右三''支0+078.81</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右三''支0+078.81</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右三''支0+697.53</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619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0.6</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931"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右4#支渠</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右四0+000.00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右四0+740.26</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740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0.5</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恢复重建C25砼渠道，玻璃钢格栅盖板封闭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66"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冲沟</w:t>
                  </w: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冲0+000.00</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冲0+553.74</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554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渠道挂网抹面，玻璃钢格栅盖板封闭</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23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冲0+553.74</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冲0+570.82</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17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现状穿路涵清淤</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108" w:type="dxa"/>
                  <w:bottom w:w="0" w:type="dxa"/>
                  <w:right w:w="108" w:type="dxa"/>
                </w:tblCellMar>
              </w:tblPrEx>
              <w:trPr>
                <w:trHeight w:val="475" w:hRule="atLeast"/>
                <w:jc w:val="center"/>
              </w:trPr>
              <w:tc>
                <w:tcPr>
                  <w:tcW w:w="369"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322" w:type="pct"/>
                  <w:gridSpan w:val="2"/>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p>
              </w:tc>
              <w:tc>
                <w:tcPr>
                  <w:tcW w:w="92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冲0+570.82</w:t>
                  </w:r>
                </w:p>
              </w:tc>
              <w:tc>
                <w:tcPr>
                  <w:tcW w:w="8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冲0+845.67</w:t>
                  </w:r>
                </w:p>
              </w:tc>
              <w:tc>
                <w:tcPr>
                  <w:tcW w:w="37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 xml:space="preserve">275 </w:t>
                  </w:r>
                </w:p>
              </w:tc>
              <w:tc>
                <w:tcPr>
                  <w:tcW w:w="39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42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0.4</w:t>
                  </w:r>
                </w:p>
              </w:tc>
              <w:tc>
                <w:tcPr>
                  <w:tcW w:w="133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改线，新建C25砼渠道，玻璃钢格栅盖板封闭</w:t>
                  </w:r>
                </w:p>
              </w:tc>
            </w:tr>
          </w:tbl>
          <w:p>
            <w:pPr>
              <w:autoSpaceDE w:val="0"/>
              <w:autoSpaceDN w:val="0"/>
              <w:adjustRightInd w:val="0"/>
              <w:snapToGrid w:val="0"/>
              <w:spacing w:line="240" w:lineRule="auto"/>
              <w:jc w:val="center"/>
              <w:rPr>
                <w:rFonts w:hint="default" w:ascii="Times New Roman" w:hAnsi="Times New Roman" w:cs="Times New Roman"/>
                <w:b/>
                <w:bCs/>
                <w:kern w:val="0"/>
                <w:sz w:val="21"/>
                <w:szCs w:val="21"/>
                <w:lang w:val="en-US" w:eastAsia="zh-CN"/>
              </w:rPr>
            </w:pPr>
          </w:p>
          <w:p>
            <w:pPr>
              <w:autoSpaceDE w:val="0"/>
              <w:autoSpaceDN w:val="0"/>
              <w:adjustRightInd w:val="0"/>
              <w:snapToGrid w:val="0"/>
              <w:spacing w:line="360" w:lineRule="auto"/>
              <w:ind w:firstLine="435"/>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（2）边坡系数</w:t>
            </w:r>
          </w:p>
          <w:p>
            <w:pPr>
              <w:autoSpaceDE w:val="0"/>
              <w:autoSpaceDN w:val="0"/>
              <w:adjustRightInd w:val="0"/>
              <w:snapToGrid w:val="0"/>
              <w:spacing w:line="360" w:lineRule="auto"/>
              <w:ind w:firstLine="435"/>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参照运行多年渠道稳定的边坡系数情况确定渠道设计边坡系数。根据地质条件、坡比线状、渠道深度拟定本项目渠道为傍山渠道，总体来说靠山侧为岩质边坡，边坡稳定性较好，部分渠段需半挖半填。根据渠道地质条件，对傍山一侧的渠段，内边坡系数取1：0.75~1：1开挖。对另一侧的渠段，内边坡系数取1：0.50~1：0.75开挖。对渠边路需要培土加高的采用外侧边坡1：1.5坡比。</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（3）渠道边坡、底板衬砌损毁</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部分渠道经过多年运行，受到洪灾影响，导致渠道护坡、底板衬砌垮塌、断裂，部分渠道从未衬砌边坡或渠底，对该种情况，清淤后，按原过水断面进行恢复，恢复渠道采用10cm厚C25砼底板，边墙采用C25砼结构，厚20cm。渠道边墙和渠道底板按5米分缝，缝宽2.0cm，并以沥青杉板嵌缝。</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（4）渠道边墙（挡墙）修复</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部分渠道高边坡护坡、底板衬砌垮塌、断裂，或是山体局部垮塌后淤堵，对渠道护坡、底板衬砌造成损坏。对该种情况，清淤后，采用10cm厚C25砼对渠道底板进行恢复，高边坡边墙采用仰斜式护岸恢复，根据不同渠道尺寸和地形条件内边坡采用1:0.3，外边坡采用1:0.5，顶宽0.6m、0.5、0.3m，采用C25砼结构。渠道底板按5米分缝，缝宽2.0cm，并以沥青杉板嵌缝。</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渠道明渠变暗渠采用玻璃钢格栅盖板封闭。</w:t>
            </w:r>
          </w:p>
          <w:p>
            <w:pPr>
              <w:numPr>
                <w:ilvl w:val="0"/>
                <w:numId w:val="0"/>
              </w:numPr>
              <w:autoSpaceDE w:val="0"/>
              <w:autoSpaceDN w:val="0"/>
              <w:adjustRightInd w:val="0"/>
              <w:snapToGrid w:val="0"/>
              <w:spacing w:line="360" w:lineRule="auto"/>
              <w:jc w:val="center"/>
              <w:rPr>
                <w:rFonts w:hint="eastAsia" w:eastAsiaTheme="minorEastAsia"/>
                <w:lang w:eastAsia="zh-CN"/>
              </w:rPr>
            </w:pPr>
            <w:r>
              <w:rPr>
                <w:rFonts w:hint="eastAsia" w:eastAsiaTheme="minorEastAsia"/>
                <w:lang w:eastAsia="zh-CN"/>
              </w:rPr>
              <w:drawing>
                <wp:inline distT="0" distB="0" distL="114300" distR="114300">
                  <wp:extent cx="3645535" cy="2478405"/>
                  <wp:effectExtent l="0" t="0" r="12065" b="17145"/>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42"/>
                          <a:stretch>
                            <a:fillRect/>
                          </a:stretch>
                        </pic:blipFill>
                        <pic:spPr>
                          <a:xfrm>
                            <a:off x="0" y="0"/>
                            <a:ext cx="3645535" cy="2478405"/>
                          </a:xfrm>
                          <a:prstGeom prst="rect">
                            <a:avLst/>
                          </a:prstGeom>
                        </pic:spPr>
                      </pic:pic>
                    </a:graphicData>
                  </a:graphic>
                </wp:inline>
              </w:drawing>
            </w:r>
          </w:p>
          <w:p>
            <w:pPr>
              <w:numPr>
                <w:ilvl w:val="0"/>
                <w:numId w:val="0"/>
              </w:numPr>
              <w:autoSpaceDE w:val="0"/>
              <w:autoSpaceDN w:val="0"/>
              <w:adjustRightInd w:val="0"/>
              <w:snapToGrid w:val="0"/>
              <w:spacing w:line="360" w:lineRule="auto"/>
              <w:jc w:val="center"/>
              <w:rPr>
                <w:rFonts w:hint="eastAsia" w:ascii="Times New Roman" w:hAnsi="Times New Roman" w:cs="Times New Roman"/>
                <w:kern w:val="0"/>
                <w:sz w:val="24"/>
                <w:szCs w:val="24"/>
                <w:lang w:val="en-US" w:eastAsia="zh-CN"/>
              </w:rPr>
            </w:pPr>
            <w:r>
              <w:rPr>
                <w:rFonts w:hint="default" w:ascii="Times New Roman" w:hAnsi="Times New Roman" w:eastAsia="宋体" w:cs="Times New Roman"/>
                <w:b/>
                <w:bCs/>
                <w:lang w:val="en-US" w:eastAsia="zh-CN"/>
              </w:rPr>
              <w:t xml:space="preserve">图2-1  </w:t>
            </w:r>
            <w:r>
              <w:rPr>
                <w:rFonts w:hint="eastAsia" w:ascii="Times New Roman" w:hAnsi="Times New Roman" w:eastAsia="宋体" w:cs="Times New Roman"/>
                <w:b/>
                <w:bCs/>
                <w:lang w:val="en-US" w:eastAsia="zh-CN"/>
              </w:rPr>
              <w:t>渠道修复典型</w:t>
            </w:r>
            <w:r>
              <w:rPr>
                <w:rFonts w:hint="default" w:ascii="Times New Roman" w:hAnsi="Times New Roman" w:eastAsia="宋体" w:cs="Times New Roman"/>
                <w:b/>
                <w:bCs/>
                <w:lang w:val="en-US" w:eastAsia="zh-CN"/>
              </w:rPr>
              <w:t>断面图</w:t>
            </w:r>
          </w:p>
          <w:p>
            <w:pPr>
              <w:numPr>
                <w:ilvl w:val="0"/>
                <w:numId w:val="0"/>
              </w:numPr>
              <w:autoSpaceDE w:val="0"/>
              <w:autoSpaceDN w:val="0"/>
              <w:adjustRightInd w:val="0"/>
              <w:snapToGrid w:val="0"/>
              <w:spacing w:line="360" w:lineRule="auto"/>
              <w:jc w:val="center"/>
            </w:pPr>
            <w:r>
              <w:drawing>
                <wp:inline distT="0" distB="0" distL="114300" distR="114300">
                  <wp:extent cx="3999865" cy="3145790"/>
                  <wp:effectExtent l="0" t="0" r="635" b="1651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43"/>
                          <a:stretch>
                            <a:fillRect/>
                          </a:stretch>
                        </pic:blipFill>
                        <pic:spPr>
                          <a:xfrm>
                            <a:off x="0" y="0"/>
                            <a:ext cx="3999865" cy="3145790"/>
                          </a:xfrm>
                          <a:prstGeom prst="rect">
                            <a:avLst/>
                          </a:prstGeom>
                          <a:noFill/>
                          <a:ln>
                            <a:noFill/>
                          </a:ln>
                        </pic:spPr>
                      </pic:pic>
                    </a:graphicData>
                  </a:graphic>
                </wp:inline>
              </w:drawing>
            </w:r>
          </w:p>
          <w:p>
            <w:pPr>
              <w:numPr>
                <w:ilvl w:val="0"/>
                <w:numId w:val="0"/>
              </w:numPr>
              <w:autoSpaceDE w:val="0"/>
              <w:autoSpaceDN w:val="0"/>
              <w:adjustRightInd w:val="0"/>
              <w:snapToGrid w:val="0"/>
              <w:spacing w:line="360" w:lineRule="auto"/>
              <w:jc w:val="center"/>
              <w:rPr>
                <w:rFonts w:hint="eastAsia" w:ascii="Times New Roman" w:hAnsi="Times New Roman" w:cs="Times New Roman"/>
                <w:kern w:val="0"/>
                <w:sz w:val="24"/>
                <w:szCs w:val="24"/>
                <w:lang w:val="en-US" w:eastAsia="zh-CN"/>
              </w:rPr>
            </w:pPr>
            <w:r>
              <w:rPr>
                <w:rFonts w:hint="default" w:ascii="Times New Roman" w:hAnsi="Times New Roman" w:eastAsia="宋体" w:cs="Times New Roman"/>
                <w:b/>
                <w:bCs/>
                <w:lang w:val="en-US" w:eastAsia="zh-CN"/>
              </w:rPr>
              <w:t>图2-</w:t>
            </w:r>
            <w:r>
              <w:rPr>
                <w:rFonts w:hint="eastAsia" w:ascii="Times New Roman" w:hAnsi="Times New Roman" w:eastAsia="宋体" w:cs="Times New Roman"/>
                <w:b/>
                <w:bCs/>
                <w:lang w:val="en-US" w:eastAsia="zh-CN"/>
              </w:rPr>
              <w:t>2</w:t>
            </w:r>
            <w:r>
              <w:rPr>
                <w:rFonts w:hint="default" w:ascii="Times New Roman" w:hAnsi="Times New Roman" w:eastAsia="宋体" w:cs="Times New Roman"/>
                <w:b/>
                <w:bCs/>
                <w:lang w:val="en-US" w:eastAsia="zh-CN"/>
              </w:rPr>
              <w:t xml:space="preserve">  </w:t>
            </w:r>
            <w:r>
              <w:rPr>
                <w:rFonts w:hint="eastAsia" w:ascii="Times New Roman" w:hAnsi="Times New Roman" w:eastAsia="宋体" w:cs="Times New Roman"/>
                <w:b/>
                <w:bCs/>
                <w:lang w:val="en-US" w:eastAsia="zh-CN"/>
              </w:rPr>
              <w:t>穿路箱涵典型断面</w:t>
            </w:r>
            <w:r>
              <w:rPr>
                <w:rFonts w:hint="default" w:ascii="Times New Roman" w:hAnsi="Times New Roman" w:eastAsia="宋体" w:cs="Times New Roman"/>
                <w:b/>
                <w:bCs/>
                <w:lang w:val="en-US" w:eastAsia="zh-CN"/>
              </w:rPr>
              <w:t>图</w:t>
            </w:r>
          </w:p>
          <w:p>
            <w:pPr>
              <w:numPr>
                <w:ilvl w:val="0"/>
                <w:numId w:val="0"/>
              </w:numPr>
              <w:autoSpaceDE w:val="0"/>
              <w:autoSpaceDN w:val="0"/>
              <w:adjustRightInd w:val="0"/>
              <w:snapToGrid w:val="0"/>
              <w:spacing w:line="360" w:lineRule="auto"/>
              <w:ind w:firstLine="482" w:firstLineChars="200"/>
              <w:rPr>
                <w:rFonts w:hint="default" w:ascii="Times New Roman" w:hAnsi="Times New Roman" w:cs="Times New Roman"/>
                <w:b/>
                <w:bCs/>
                <w:kern w:val="0"/>
                <w:sz w:val="24"/>
                <w:lang w:val="en-US" w:eastAsia="zh-CN"/>
              </w:rPr>
            </w:pPr>
            <w:r>
              <w:rPr>
                <w:rFonts w:hint="eastAsia" w:ascii="Times New Roman" w:hAnsi="Times New Roman" w:cs="Times New Roman"/>
                <w:b/>
                <w:bCs/>
                <w:kern w:val="0"/>
                <w:sz w:val="24"/>
                <w:lang w:val="en-US" w:eastAsia="zh-CN"/>
              </w:rPr>
              <w:t>2、管道化改造工程</w:t>
            </w:r>
          </w:p>
          <w:p>
            <w:pPr>
              <w:numPr>
                <w:ilvl w:val="0"/>
                <w:numId w:val="0"/>
              </w:numPr>
              <w:autoSpaceDE w:val="0"/>
              <w:autoSpaceDN w:val="0"/>
              <w:adjustRightInd w:val="0"/>
              <w:snapToGrid w:val="0"/>
              <w:spacing w:line="360" w:lineRule="auto"/>
              <w:ind w:firstLine="480" w:firstLineChars="200"/>
              <w:rPr>
                <w:rFonts w:hint="default" w:ascii="Times New Roman" w:hAnsi="Times New Roman" w:cs="Times New Roman"/>
                <w:kern w:val="0"/>
                <w:sz w:val="24"/>
                <w:lang w:val="en-US" w:eastAsia="zh-CN"/>
              </w:rPr>
            </w:pPr>
            <w:r>
              <w:rPr>
                <w:rFonts w:hint="eastAsia" w:ascii="Times New Roman" w:hAnsi="Times New Roman" w:cs="Times New Roman"/>
                <w:kern w:val="0"/>
                <w:sz w:val="24"/>
                <w:lang w:val="en-US" w:eastAsia="zh-CN"/>
              </w:rPr>
              <w:t>（1）工程设计</w:t>
            </w:r>
          </w:p>
          <w:p>
            <w:pPr>
              <w:numPr>
                <w:ilvl w:val="0"/>
                <w:numId w:val="0"/>
              </w:numPr>
              <w:autoSpaceDE w:val="0"/>
              <w:autoSpaceDN w:val="0"/>
              <w:adjustRightInd w:val="0"/>
              <w:snapToGrid w:val="0"/>
              <w:spacing w:line="360" w:lineRule="auto"/>
              <w:ind w:firstLine="480" w:firstLineChars="200"/>
              <w:rPr>
                <w:rFonts w:hint="default"/>
                <w:sz w:val="24"/>
                <w:szCs w:val="24"/>
                <w:lang w:val="en-US" w:eastAsia="zh-CN"/>
              </w:rPr>
            </w:pPr>
            <w:r>
              <w:rPr>
                <w:rFonts w:hint="eastAsia" w:ascii="Times New Roman" w:hAnsi="Times New Roman" w:cs="Times New Roman"/>
                <w:kern w:val="0"/>
                <w:sz w:val="24"/>
                <w:lang w:val="en-US" w:eastAsia="zh-CN"/>
              </w:rPr>
              <w:t>根据设计方案，对土渠、完好率低的云顶水库灌区干渠、烂田湾水库灌区右干渠、南六水库灌区右干渠、老寨沟水库灌区干渠均采用有压管道重力输水方式，将原渠道改造为管道或新建管道，减少输水过程中的渗漏和蒸发损失，提高灌溉水利用效率；同时对原渠系未覆盖的新增灌面新建干支管；并在干、支渠（管）上预留斗管接口，以便于下一步田间工程相衔接。</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bCs/>
                <w:kern w:val="0"/>
                <w:sz w:val="21"/>
                <w:szCs w:val="21"/>
                <w:lang w:val="en-US" w:eastAsia="zh-CN"/>
              </w:rPr>
            </w:pPr>
            <w:r>
              <w:rPr>
                <w:rFonts w:hint="eastAsia" w:ascii="Times New Roman" w:hAnsi="Times New Roman" w:cs="Times New Roman"/>
                <w:b w:val="0"/>
                <w:bCs w:val="0"/>
                <w:kern w:val="0"/>
                <w:sz w:val="24"/>
                <w:lang w:val="en-US" w:eastAsia="zh-CN"/>
              </w:rPr>
              <w:t>本项目涉及管道化改造设计如下：</w:t>
            </w:r>
          </w:p>
          <w:p>
            <w:pPr>
              <w:autoSpaceDE w:val="0"/>
              <w:autoSpaceDN w:val="0"/>
              <w:adjustRightInd w:val="0"/>
              <w:snapToGrid w:val="0"/>
              <w:spacing w:line="240" w:lineRule="auto"/>
              <w:jc w:val="center"/>
              <w:rPr>
                <w:rFonts w:hint="default" w:ascii="Times New Roman" w:hAnsi="Times New Roman" w:cs="Times New Roman"/>
                <w:b/>
                <w:bCs/>
                <w:kern w:val="0"/>
                <w:sz w:val="21"/>
                <w:szCs w:val="21"/>
                <w:lang w:val="en-US" w:eastAsia="zh-CN"/>
              </w:rPr>
            </w:pPr>
            <w:r>
              <w:rPr>
                <w:rFonts w:hint="eastAsia" w:ascii="Times New Roman" w:hAnsi="Times New Roman" w:cs="Times New Roman"/>
                <w:b/>
                <w:bCs/>
                <w:kern w:val="0"/>
                <w:sz w:val="21"/>
                <w:szCs w:val="21"/>
                <w:lang w:val="en-US" w:eastAsia="zh-CN"/>
              </w:rPr>
              <w:t>表2-4  本项目各灌区管道化改造内容表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shd w:val="clear" w:color="auto" w:fill="auto"/>
              <w:tblLayout w:type="fixed"/>
              <w:tblCellMar>
                <w:top w:w="0" w:type="dxa"/>
                <w:left w:w="108" w:type="dxa"/>
                <w:bottom w:w="0" w:type="dxa"/>
                <w:right w:w="108" w:type="dxa"/>
              </w:tblCellMar>
            </w:tblPr>
            <w:tblGrid>
              <w:gridCol w:w="726"/>
              <w:gridCol w:w="1282"/>
              <w:gridCol w:w="1711"/>
              <w:gridCol w:w="1788"/>
              <w:gridCol w:w="593"/>
              <w:gridCol w:w="2425"/>
              <w:gridCol w:w="756"/>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525" w:hRule="atLeast"/>
                <w:tblHeader/>
                <w:jc w:val="center"/>
              </w:trPr>
              <w:tc>
                <w:tcPr>
                  <w:tcW w:w="39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b/>
                      <w:bCs/>
                      <w:color w:val="000000" w:themeColor="text1"/>
                      <w:kern w:val="0"/>
                      <w:sz w:val="21"/>
                      <w:lang w:val="en-US" w:eastAsia="zh-CN"/>
                      <w14:textFill>
                        <w14:solidFill>
                          <w14:schemeClr w14:val="tx1"/>
                        </w14:solidFill>
                      </w14:textFill>
                    </w:rPr>
                  </w:pPr>
                  <w:r>
                    <w:rPr>
                      <w:rFonts w:hint="eastAsia" w:ascii="Times New Roman" w:hAnsi="Times New Roman" w:cs="Times New Roman"/>
                      <w:b/>
                      <w:bCs/>
                      <w:color w:val="000000" w:themeColor="text1"/>
                      <w:kern w:val="0"/>
                      <w:sz w:val="21"/>
                      <w:lang w:val="en-US" w:eastAsia="zh-CN"/>
                      <w14:textFill>
                        <w14:solidFill>
                          <w14:schemeClr w14:val="tx1"/>
                        </w14:solidFill>
                      </w14:textFill>
                    </w:rPr>
                    <w:t>灌区名称</w:t>
                  </w:r>
                </w:p>
              </w:tc>
              <w:tc>
                <w:tcPr>
                  <w:tcW w:w="690" w:type="pct"/>
                  <w:tcBorders>
                    <w:tl2br w:val="nil"/>
                    <w:tr2bl w:val="nil"/>
                  </w:tcBorders>
                  <w:shd w:val="clear" w:color="auto" w:fill="auto"/>
                  <w:vAlign w:val="center"/>
                </w:tcPr>
                <w:p>
                  <w:pPr>
                    <w:widowControl/>
                    <w:spacing w:line="240" w:lineRule="exact"/>
                    <w:ind w:firstLine="0" w:firstLineChars="0"/>
                    <w:jc w:val="center"/>
                    <w:rPr>
                      <w:rFonts w:hint="eastAsia" w:ascii="Times New Roman" w:hAnsi="Times New Roman" w:cs="Times New Roman"/>
                      <w:b/>
                      <w:bCs/>
                      <w:color w:val="000000" w:themeColor="text1"/>
                      <w:kern w:val="0"/>
                      <w:sz w:val="21"/>
                      <w:lang w:val="en-US" w:eastAsia="zh-CN"/>
                      <w14:textFill>
                        <w14:solidFill>
                          <w14:schemeClr w14:val="tx1"/>
                        </w14:solidFill>
                      </w14:textFill>
                    </w:rPr>
                  </w:pPr>
                  <w:r>
                    <w:rPr>
                      <w:rFonts w:hint="eastAsia" w:ascii="Times New Roman" w:hAnsi="Times New Roman" w:cs="Times New Roman"/>
                      <w:b/>
                      <w:bCs/>
                      <w:color w:val="000000" w:themeColor="text1"/>
                      <w:kern w:val="0"/>
                      <w:sz w:val="21"/>
                      <w:lang w:val="en-US" w:eastAsia="zh-CN"/>
                      <w14:textFill>
                        <w14:solidFill>
                          <w14:schemeClr w14:val="tx1"/>
                        </w14:solidFill>
                      </w14:textFill>
                    </w:rPr>
                    <w:t>管道名称</w:t>
                  </w:r>
                </w:p>
              </w:tc>
              <w:tc>
                <w:tcPr>
                  <w:tcW w:w="921" w:type="pct"/>
                  <w:tcBorders>
                    <w:tl2br w:val="nil"/>
                    <w:tr2bl w:val="nil"/>
                  </w:tcBorders>
                  <w:shd w:val="clear" w:color="auto" w:fill="auto"/>
                  <w:vAlign w:val="center"/>
                </w:tcPr>
                <w:p>
                  <w:pPr>
                    <w:widowControl/>
                    <w:spacing w:line="240" w:lineRule="exact"/>
                    <w:ind w:firstLine="0" w:firstLineChars="0"/>
                    <w:jc w:val="center"/>
                    <w:rPr>
                      <w:rFonts w:hint="eastAsia" w:ascii="Times New Roman" w:hAnsi="Times New Roman" w:cs="Times New Roman"/>
                      <w:b/>
                      <w:bCs/>
                      <w:color w:val="000000" w:themeColor="text1"/>
                      <w:kern w:val="0"/>
                      <w:sz w:val="21"/>
                      <w:lang w:val="en-US" w:eastAsia="zh-CN"/>
                      <w14:textFill>
                        <w14:solidFill>
                          <w14:schemeClr w14:val="tx1"/>
                        </w14:solidFill>
                      </w14:textFill>
                    </w:rPr>
                  </w:pPr>
                  <w:r>
                    <w:rPr>
                      <w:rFonts w:hint="eastAsia" w:ascii="Times New Roman" w:hAnsi="Times New Roman" w:cs="Times New Roman"/>
                      <w:b/>
                      <w:bCs/>
                      <w:color w:val="000000" w:themeColor="text1"/>
                      <w:kern w:val="0"/>
                      <w:sz w:val="21"/>
                      <w:lang w:val="en-US" w:eastAsia="zh-CN"/>
                      <w14:textFill>
                        <w14:solidFill>
                          <w14:schemeClr w14:val="tx1"/>
                        </w14:solidFill>
                      </w14:textFill>
                    </w:rPr>
                    <w:t>起始桩号</w:t>
                  </w:r>
                </w:p>
              </w:tc>
              <w:tc>
                <w:tcPr>
                  <w:tcW w:w="963" w:type="pct"/>
                  <w:tcBorders>
                    <w:tl2br w:val="nil"/>
                    <w:tr2bl w:val="nil"/>
                  </w:tcBorders>
                  <w:shd w:val="clear" w:color="auto" w:fill="auto"/>
                  <w:vAlign w:val="center"/>
                </w:tcPr>
                <w:p>
                  <w:pPr>
                    <w:widowControl/>
                    <w:spacing w:line="240" w:lineRule="exact"/>
                    <w:ind w:firstLine="0" w:firstLineChars="0"/>
                    <w:jc w:val="center"/>
                    <w:rPr>
                      <w:rFonts w:hint="eastAsia" w:ascii="Times New Roman" w:hAnsi="Times New Roman" w:cs="Times New Roman"/>
                      <w:b/>
                      <w:bCs/>
                      <w:color w:val="000000" w:themeColor="text1"/>
                      <w:kern w:val="0"/>
                      <w:sz w:val="21"/>
                      <w:lang w:val="en-US" w:eastAsia="zh-CN"/>
                      <w14:textFill>
                        <w14:solidFill>
                          <w14:schemeClr w14:val="tx1"/>
                        </w14:solidFill>
                      </w14:textFill>
                    </w:rPr>
                  </w:pPr>
                  <w:r>
                    <w:rPr>
                      <w:rFonts w:hint="eastAsia" w:ascii="Times New Roman" w:hAnsi="Times New Roman" w:cs="Times New Roman"/>
                      <w:b/>
                      <w:bCs/>
                      <w:color w:val="000000" w:themeColor="text1"/>
                      <w:kern w:val="0"/>
                      <w:sz w:val="21"/>
                      <w:lang w:val="en-US" w:eastAsia="zh-CN"/>
                      <w14:textFill>
                        <w14:solidFill>
                          <w14:schemeClr w14:val="tx1"/>
                        </w14:solidFill>
                      </w14:textFill>
                    </w:rPr>
                    <w:t>终止桩号</w:t>
                  </w:r>
                </w:p>
              </w:tc>
              <w:tc>
                <w:tcPr>
                  <w:tcW w:w="319" w:type="pct"/>
                  <w:tcBorders>
                    <w:tl2br w:val="nil"/>
                    <w:tr2bl w:val="nil"/>
                  </w:tcBorders>
                  <w:shd w:val="clear" w:color="auto" w:fill="auto"/>
                  <w:vAlign w:val="center"/>
                </w:tcPr>
                <w:p>
                  <w:pPr>
                    <w:widowControl/>
                    <w:spacing w:line="240" w:lineRule="exact"/>
                    <w:ind w:firstLine="0" w:firstLineChars="0"/>
                    <w:jc w:val="center"/>
                    <w:rPr>
                      <w:rFonts w:hint="eastAsia" w:ascii="Times New Roman" w:hAnsi="Times New Roman" w:cs="Times New Roman"/>
                      <w:b/>
                      <w:bCs/>
                      <w:color w:val="000000" w:themeColor="text1"/>
                      <w:kern w:val="0"/>
                      <w:sz w:val="21"/>
                      <w:lang w:val="en-US" w:eastAsia="zh-CN"/>
                      <w14:textFill>
                        <w14:solidFill>
                          <w14:schemeClr w14:val="tx1"/>
                        </w14:solidFill>
                      </w14:textFill>
                    </w:rPr>
                  </w:pPr>
                  <w:r>
                    <w:rPr>
                      <w:rFonts w:hint="eastAsia" w:ascii="Times New Roman" w:hAnsi="Times New Roman" w:cs="Times New Roman"/>
                      <w:b/>
                      <w:bCs/>
                      <w:color w:val="000000" w:themeColor="text1"/>
                      <w:kern w:val="0"/>
                      <w:sz w:val="21"/>
                      <w:lang w:val="en-US" w:eastAsia="zh-CN"/>
                      <w14:textFill>
                        <w14:solidFill>
                          <w14:schemeClr w14:val="tx1"/>
                        </w14:solidFill>
                      </w14:textFill>
                    </w:rPr>
                    <w:t>长度</w:t>
                  </w:r>
                </w:p>
              </w:tc>
              <w:tc>
                <w:tcPr>
                  <w:tcW w:w="1306" w:type="pct"/>
                  <w:tcBorders>
                    <w:tl2br w:val="nil"/>
                    <w:tr2bl w:val="nil"/>
                  </w:tcBorders>
                  <w:shd w:val="clear" w:color="auto" w:fill="auto"/>
                  <w:vAlign w:val="center"/>
                </w:tcPr>
                <w:p>
                  <w:pPr>
                    <w:widowControl/>
                    <w:spacing w:line="240" w:lineRule="exact"/>
                    <w:ind w:firstLine="0" w:firstLineChars="0"/>
                    <w:jc w:val="center"/>
                    <w:rPr>
                      <w:rFonts w:hint="eastAsia" w:ascii="Times New Roman" w:hAnsi="Times New Roman" w:cs="Times New Roman"/>
                      <w:b/>
                      <w:bCs/>
                      <w:color w:val="000000" w:themeColor="text1"/>
                      <w:kern w:val="0"/>
                      <w:sz w:val="21"/>
                      <w:lang w:val="en-US" w:eastAsia="zh-CN"/>
                      <w14:textFill>
                        <w14:solidFill>
                          <w14:schemeClr w14:val="tx1"/>
                        </w14:solidFill>
                      </w14:textFill>
                    </w:rPr>
                  </w:pPr>
                  <w:r>
                    <w:rPr>
                      <w:rFonts w:hint="eastAsia" w:ascii="Times New Roman" w:hAnsi="Times New Roman" w:cs="Times New Roman"/>
                      <w:b/>
                      <w:bCs/>
                      <w:color w:val="000000" w:themeColor="text1"/>
                      <w:kern w:val="0"/>
                      <w:sz w:val="21"/>
                      <w:lang w:val="en-US" w:eastAsia="zh-CN"/>
                      <w14:textFill>
                        <w14:solidFill>
                          <w14:schemeClr w14:val="tx1"/>
                        </w14:solidFill>
                      </w14:textFill>
                    </w:rPr>
                    <w:t>铺设方式</w:t>
                  </w:r>
                </w:p>
              </w:tc>
              <w:tc>
                <w:tcPr>
                  <w:tcW w:w="407" w:type="pct"/>
                  <w:tcBorders>
                    <w:tl2br w:val="nil"/>
                    <w:tr2bl w:val="nil"/>
                  </w:tcBorders>
                  <w:shd w:val="clear" w:color="auto" w:fill="auto"/>
                  <w:vAlign w:val="center"/>
                </w:tcPr>
                <w:p>
                  <w:pPr>
                    <w:widowControl/>
                    <w:spacing w:line="240" w:lineRule="exact"/>
                    <w:ind w:firstLine="0" w:firstLineChars="0"/>
                    <w:jc w:val="center"/>
                    <w:rPr>
                      <w:rFonts w:hint="eastAsia" w:ascii="Times New Roman" w:hAnsi="Times New Roman" w:cs="Times New Roman"/>
                      <w:b/>
                      <w:bCs/>
                      <w:color w:val="000000" w:themeColor="text1"/>
                      <w:kern w:val="0"/>
                      <w:sz w:val="21"/>
                      <w:lang w:val="en-US" w:eastAsia="zh-CN"/>
                      <w14:textFill>
                        <w14:solidFill>
                          <w14:schemeClr w14:val="tx1"/>
                        </w14:solidFill>
                      </w14:textFill>
                    </w:rPr>
                  </w:pPr>
                  <w:r>
                    <w:rPr>
                      <w:rFonts w:hint="eastAsia" w:ascii="Times New Roman" w:hAnsi="Times New Roman" w:cs="Times New Roman"/>
                      <w:b/>
                      <w:bCs/>
                      <w:color w:val="000000" w:themeColor="text1"/>
                      <w:kern w:val="0"/>
                      <w:sz w:val="21"/>
                      <w:lang w:val="en-US" w:eastAsia="zh-CN"/>
                      <w14:textFill>
                        <w14:solidFill>
                          <w14:schemeClr w14:val="tx1"/>
                        </w14:solidFill>
                      </w14:textFill>
                    </w:rPr>
                    <w:t>长度占总长百分比（</w:t>
                  </w:r>
                  <w:r>
                    <w:rPr>
                      <w:rFonts w:hint="default" w:ascii="Times New Roman" w:hAnsi="Times New Roman" w:cs="Times New Roman"/>
                      <w:b/>
                      <w:bCs/>
                      <w:color w:val="000000" w:themeColor="text1"/>
                      <w:kern w:val="0"/>
                      <w:sz w:val="21"/>
                      <w:lang w:val="en-US" w:eastAsia="zh-CN"/>
                      <w14:textFill>
                        <w14:solidFill>
                          <w14:schemeClr w14:val="tx1"/>
                        </w14:solidFill>
                      </w14:textFill>
                    </w:rPr>
                    <w:t>%</w:t>
                  </w:r>
                  <w:r>
                    <w:rPr>
                      <w:rFonts w:hint="eastAsia" w:ascii="Times New Roman" w:hAnsi="Times New Roman" w:cs="Times New Roman"/>
                      <w:b/>
                      <w:bCs/>
                      <w:color w:val="000000" w:themeColor="text1"/>
                      <w:kern w:val="0"/>
                      <w:sz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秧田湾水库灌区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w:t>
                  </w:r>
                  <w:r>
                    <w:rPr>
                      <w:rFonts w:hint="default" w:ascii="Times New Roman" w:hAnsi="Times New Roman" w:cs="Times New Roman"/>
                      <w:color w:val="000000" w:themeColor="text1"/>
                      <w:kern w:val="0"/>
                      <w:sz w:val="21"/>
                      <w:lang w:val="en-US" w:eastAsia="zh-CN"/>
                      <w14:textFill>
                        <w14:solidFill>
                          <w14:schemeClr w14:val="tx1"/>
                        </w14:solidFill>
                      </w14:textFill>
                    </w:rPr>
                    <w:t>2</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右2支0+459.80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460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w:t>
                  </w:r>
                  <w:r>
                    <w:rPr>
                      <w:rFonts w:hint="default" w:ascii="Times New Roman" w:hAnsi="Times New Roman" w:cs="Times New Roman"/>
                      <w:color w:val="000000" w:themeColor="text1"/>
                      <w:kern w:val="0"/>
                      <w:sz w:val="21"/>
                      <w:lang w:val="en-US" w:eastAsia="zh-CN"/>
                      <w14:textFill>
                        <w14:solidFill>
                          <w14:schemeClr w14:val="tx1"/>
                        </w14:solidFill>
                      </w14:textFill>
                    </w:rPr>
                    <w:t>3</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右3支0+000.00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右3支0+684.78</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685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提灌管道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泵管0+000.00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泵管0+127.40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127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沿原管道线路布置，明管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泵管0+127.40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泵管0+241.81</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114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沿原管道线路布置，明管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观音岩水库灌区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杜家沟提灌管道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新提0+127.40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新提0+241.81</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114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新</w:t>
                  </w:r>
                  <w:r>
                    <w:rPr>
                      <w:rFonts w:hint="default" w:ascii="Times New Roman" w:hAnsi="Times New Roman" w:cs="Times New Roman"/>
                      <w:color w:val="000000" w:themeColor="text1"/>
                      <w:kern w:val="0"/>
                      <w:sz w:val="21"/>
                      <w:lang w:val="en-US" w:eastAsia="zh-CN"/>
                      <w14:textFill>
                        <w14:solidFill>
                          <w14:schemeClr w14:val="tx1"/>
                        </w14:solidFill>
                      </w14:textFill>
                    </w:rPr>
                    <w:t>1</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支一0+000.00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支一1+090.00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1090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新</w:t>
                  </w:r>
                  <w:r>
                    <w:rPr>
                      <w:rFonts w:hint="default" w:ascii="Times New Roman" w:hAnsi="Times New Roman" w:cs="Times New Roman"/>
                      <w:color w:val="000000" w:themeColor="text1"/>
                      <w:kern w:val="0"/>
                      <w:sz w:val="21"/>
                      <w:lang w:val="en-US" w:eastAsia="zh-CN"/>
                      <w14:textFill>
                        <w14:solidFill>
                          <w14:schemeClr w14:val="tx1"/>
                        </w14:solidFill>
                      </w14:textFill>
                    </w:rPr>
                    <w:t>2</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支二0+127.40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支二0+412.00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285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新</w:t>
                  </w:r>
                  <w:r>
                    <w:rPr>
                      <w:rFonts w:hint="default" w:ascii="Times New Roman" w:hAnsi="Times New Roman" w:cs="Times New Roman"/>
                      <w:color w:val="000000" w:themeColor="text1"/>
                      <w:kern w:val="0"/>
                      <w:sz w:val="21"/>
                      <w:lang w:val="en-US" w:eastAsia="zh-CN"/>
                      <w14:textFill>
                        <w14:solidFill>
                          <w14:schemeClr w14:val="tx1"/>
                        </w14:solidFill>
                      </w14:textFill>
                    </w:rPr>
                    <w:t>3</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支三0+127.40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支三0+626.00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499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李家咀一级提灌管道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泵一0+000.00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泵一0+272.00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272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沿原管道线路布置，明管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李家咀二级提灌管道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泵二0+000.00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泵二0+145.00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145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沿原管道线路布置，明管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提</w:t>
                  </w:r>
                  <w:r>
                    <w:rPr>
                      <w:rFonts w:hint="default" w:ascii="Times New Roman" w:hAnsi="Times New Roman" w:cs="Times New Roman"/>
                      <w:color w:val="000000" w:themeColor="text1"/>
                      <w:kern w:val="0"/>
                      <w:sz w:val="21"/>
                      <w:lang w:val="en-US" w:eastAsia="zh-CN"/>
                      <w14:textFill>
                        <w14:solidFill>
                          <w14:schemeClr w14:val="tx1"/>
                        </w14:solidFill>
                      </w14:textFill>
                    </w:rPr>
                    <w:t>1</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提一支0+000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提一支0+653</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653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89%</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提一支0+653</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提一支0+731</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78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沿田边布置，埋管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11%</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云顶水库灌区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主干管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主干0+000.00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左干0+485.98</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486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沿现状主干渠布置，明管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左干1+204.56</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1205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沿现状右干渠布置，明管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右干4+681.36</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4681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沿现状左干渠布置，明管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39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小沟河水库灌区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马</w:t>
                  </w:r>
                  <w:r>
                    <w:rPr>
                      <w:rFonts w:hint="default" w:ascii="Times New Roman" w:hAnsi="Times New Roman" w:cs="Times New Roman"/>
                      <w:color w:val="000000" w:themeColor="text1"/>
                      <w:kern w:val="0"/>
                      <w:sz w:val="21"/>
                      <w:lang w:val="en-US" w:eastAsia="zh-CN"/>
                      <w14:textFill>
                        <w14:solidFill>
                          <w14:schemeClr w14:val="tx1"/>
                        </w14:solidFill>
                      </w14:textFill>
                    </w:rPr>
                    <w:t>2</w:t>
                  </w:r>
                  <w:r>
                    <w:rPr>
                      <w:rFonts w:hint="eastAsia" w:ascii="Times New Roman" w:hAnsi="Times New Roman" w:cs="Times New Roman"/>
                      <w:color w:val="000000" w:themeColor="text1"/>
                      <w:kern w:val="0"/>
                      <w:sz w:val="21"/>
                      <w:lang w:val="en-US" w:eastAsia="zh-CN"/>
                      <w14:textFill>
                        <w14:solidFill>
                          <w14:schemeClr w14:val="tx1"/>
                        </w14:solidFill>
                      </w14:textFill>
                    </w:rPr>
                    <w:t>支渠新建管道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M②支0+247.57</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M②支0+744.95</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497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沿田边布置，埋管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39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曹家沟水库灌区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1</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支①0+000.00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支①0+683.85</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684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漆树沟水库灌区</w:t>
                  </w:r>
                </w:p>
              </w:tc>
              <w:tc>
                <w:tcPr>
                  <w:tcW w:w="69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1</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支①0+000.00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支①0+809.18</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809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支①0+809.18</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支①1+471.29</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662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沿田边布置，埋管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45%</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2</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支②0+000.00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支②0+549.24</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549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51%</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支②0+549.24</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支②1+079.81</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531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沿田边布置，埋管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49%</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default" w:ascii="Times New Roman" w:hAnsi="Times New Roman" w:cs="Times New Roman"/>
                      <w:color w:val="000000" w:themeColor="text1"/>
                      <w:kern w:val="0"/>
                      <w:sz w:val="21"/>
                      <w:lang w:val="en-US" w:eastAsia="zh-CN"/>
                      <w14:textFill>
                        <w14:solidFill>
                          <w14:schemeClr w14:val="tx1"/>
                        </w14:solidFill>
                      </w14:textFill>
                    </w:rPr>
                    <w:t>3</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支③0+000.00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支③0+134.11</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134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沿田边布置，埋管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27%</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支③0+134.11</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支③0+500.35</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366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73%</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刘家坪水库灌区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右2支0+505.70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506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w:t>
                  </w:r>
                  <w:r>
                    <w:rPr>
                      <w:rFonts w:hint="default" w:ascii="Times New Roman" w:hAnsi="Times New Roman" w:cs="Times New Roman"/>
                      <w:color w:val="000000" w:themeColor="text1"/>
                      <w:kern w:val="0"/>
                      <w:sz w:val="21"/>
                      <w:lang w:val="en-US" w:eastAsia="zh-CN"/>
                      <w14:textFill>
                        <w14:solidFill>
                          <w14:schemeClr w14:val="tx1"/>
                        </w14:solidFill>
                      </w14:textFill>
                    </w:rPr>
                    <w:t>4</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右4支0+000.00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右4支1+447.93</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1448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沿田边布置，埋管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w:t>
                  </w:r>
                  <w:r>
                    <w:rPr>
                      <w:rFonts w:hint="default" w:ascii="Times New Roman" w:hAnsi="Times New Roman" w:cs="Times New Roman"/>
                      <w:color w:val="000000" w:themeColor="text1"/>
                      <w:kern w:val="0"/>
                      <w:sz w:val="21"/>
                      <w:lang w:val="en-US" w:eastAsia="zh-CN"/>
                      <w14:textFill>
                        <w14:solidFill>
                          <w14:schemeClr w14:val="tx1"/>
                        </w14:solidFill>
                      </w14:textFill>
                    </w:rPr>
                    <w:t>5</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右5支0+000.00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右5支0+542.72</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543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沿田边布置，埋管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烂田湾水库灌区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右干0+374.20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374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左2支管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右2支0+202.08</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202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后头湾水库灌区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新建管道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管0+000.00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管0+725.68</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726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长征水库灌区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左干渠后接管道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左支1+747.00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1747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w:t>
                  </w:r>
                  <w:r>
                    <w:rPr>
                      <w:rFonts w:hint="default" w:ascii="Times New Roman" w:hAnsi="Times New Roman" w:cs="Times New Roman"/>
                      <w:color w:val="000000" w:themeColor="text1"/>
                      <w:kern w:val="0"/>
                      <w:sz w:val="21"/>
                      <w:lang w:val="en-US" w:eastAsia="zh-CN"/>
                      <w14:textFill>
                        <w14:solidFill>
                          <w14:schemeClr w14:val="tx1"/>
                        </w14:solidFill>
                      </w14:textFill>
                    </w:rPr>
                    <w:t>1</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右1支1+321.00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1321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w:t>
                  </w:r>
                  <w:r>
                    <w:rPr>
                      <w:rFonts w:hint="default" w:ascii="Times New Roman" w:hAnsi="Times New Roman" w:cs="Times New Roman"/>
                      <w:color w:val="000000" w:themeColor="text1"/>
                      <w:kern w:val="0"/>
                      <w:sz w:val="21"/>
                      <w:lang w:val="en-US" w:eastAsia="zh-CN"/>
                      <w14:textFill>
                        <w14:solidFill>
                          <w14:schemeClr w14:val="tx1"/>
                        </w14:solidFill>
                      </w14:textFill>
                    </w:rPr>
                    <w:t>1-1</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右1支1+747.00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1747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0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w:t>
                  </w:r>
                  <w:r>
                    <w:rPr>
                      <w:rFonts w:hint="default" w:ascii="Times New Roman" w:hAnsi="Times New Roman" w:cs="Times New Roman"/>
                      <w:color w:val="000000" w:themeColor="text1"/>
                      <w:kern w:val="0"/>
                      <w:sz w:val="21"/>
                      <w:lang w:val="en-US" w:eastAsia="zh-CN"/>
                      <w14:textFill>
                        <w14:solidFill>
                          <w14:schemeClr w14:val="tx1"/>
                        </w14:solidFill>
                      </w14:textFill>
                    </w:rPr>
                    <w:t>1-2</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右1支1+156.00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1156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沿道路布置，明管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南六水库灌区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右干0+811.00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811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老寨沟水库灌区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主干管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右干0+765.66</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766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右干0+291.44</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291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右干0+291.44</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右干1+911.79</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1620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54%</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右干1+911.79</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右干2+408.90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497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16%</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右干2+408.90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右干3+024.33</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615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左干0+565.06</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565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37%</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左干0+565.06</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左干1+541.36</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976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63%</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restar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阴洞岩水库灌区</w:t>
                  </w: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右1支渠后接管道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右1支0+237.68</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右1支0+505.52</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268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沿山坡或田埂布置，埋管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w:t>
                  </w:r>
                  <w:r>
                    <w:rPr>
                      <w:rFonts w:hint="default" w:ascii="Times New Roman" w:hAnsi="Times New Roman" w:cs="Times New Roman"/>
                      <w:color w:val="000000" w:themeColor="text1"/>
                      <w:kern w:val="0"/>
                      <w:sz w:val="21"/>
                      <w:lang w:val="en-US" w:eastAsia="zh-CN"/>
                      <w14:textFill>
                        <w14:solidFill>
                          <w14:schemeClr w14:val="tx1"/>
                        </w14:solidFill>
                      </w14:textFill>
                    </w:rPr>
                    <w:t>2</w:t>
                  </w:r>
                  <w:r>
                    <w:rPr>
                      <w:rFonts w:hint="eastAsia" w:ascii="Times New Roman" w:hAnsi="Times New Roman" w:cs="Times New Roman"/>
                      <w:color w:val="000000" w:themeColor="text1"/>
                      <w:kern w:val="0"/>
                      <w:sz w:val="21"/>
                      <w:lang w:val="en-US" w:eastAsia="zh-CN"/>
                      <w14:textFill>
                        <w14:solidFill>
                          <w14:schemeClr w14:val="tx1"/>
                        </w14:solidFill>
                      </w14:textFill>
                    </w:rPr>
                    <w:t>支管</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右2支0+000.00</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右2支0+341.48</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341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沿山坡布置，明管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39%</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右2支0+341.48</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右2支0+867.94</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526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沿田边布置，埋管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61%</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391" w:type="pct"/>
                  <w:vMerge w:val="continue"/>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p>
              </w:tc>
              <w:tc>
                <w:tcPr>
                  <w:tcW w:w="69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右干渠中间段管道</w:t>
                  </w:r>
                </w:p>
              </w:tc>
              <w:tc>
                <w:tcPr>
                  <w:tcW w:w="921"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右干0+452.42</w:t>
                  </w:r>
                </w:p>
              </w:tc>
              <w:tc>
                <w:tcPr>
                  <w:tcW w:w="963"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右干0+701.70</w:t>
                  </w:r>
                </w:p>
              </w:tc>
              <w:tc>
                <w:tcPr>
                  <w:tcW w:w="319"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 xml:space="preserve">249 </w:t>
                  </w:r>
                </w:p>
              </w:tc>
              <w:tc>
                <w:tcPr>
                  <w:tcW w:w="1306"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沿原渠道布置，明管</w:t>
                  </w:r>
                </w:p>
              </w:tc>
              <w:tc>
                <w:tcPr>
                  <w:tcW w:w="407" w:type="pct"/>
                  <w:tcBorders>
                    <w:tl2br w:val="nil"/>
                    <w:tr2bl w:val="nil"/>
                  </w:tcBorders>
                  <w:shd w:val="clear" w:color="auto" w:fill="auto"/>
                  <w:noWrap/>
                  <w:vAlign w:val="center"/>
                </w:tcPr>
                <w:p>
                  <w:pPr>
                    <w:widowControl/>
                    <w:spacing w:line="240" w:lineRule="exact"/>
                    <w:ind w:firstLine="0" w:firstLineChars="0"/>
                    <w:jc w:val="center"/>
                    <w:rPr>
                      <w:rFonts w:hint="eastAsia" w:ascii="Times New Roman" w:hAnsi="Times New Roman" w:cs="Times New Roman"/>
                      <w:color w:val="000000" w:themeColor="text1"/>
                      <w:kern w:val="0"/>
                      <w:sz w:val="21"/>
                      <w:lang w:val="en-US" w:eastAsia="zh-CN"/>
                      <w14:textFill>
                        <w14:solidFill>
                          <w14:schemeClr w14:val="tx1"/>
                        </w14:solidFill>
                      </w14:textFill>
                    </w:rPr>
                  </w:pPr>
                  <w:r>
                    <w:rPr>
                      <w:rFonts w:hint="eastAsia" w:ascii="Times New Roman" w:hAnsi="Times New Roman" w:cs="Times New Roman"/>
                      <w:color w:val="000000" w:themeColor="text1"/>
                      <w:kern w:val="0"/>
                      <w:sz w:val="21"/>
                      <w:lang w:val="en-US" w:eastAsia="zh-CN"/>
                      <w14:textFill>
                        <w14:solidFill>
                          <w14:schemeClr w14:val="tx1"/>
                        </w14:solidFill>
                      </w14:textFill>
                    </w:rPr>
                    <w:t>100%</w:t>
                  </w:r>
                </w:p>
              </w:tc>
            </w:tr>
          </w:tbl>
          <w:p>
            <w:pPr>
              <w:numPr>
                <w:ilvl w:val="0"/>
                <w:numId w:val="0"/>
              </w:numPr>
              <w:autoSpaceDE w:val="0"/>
              <w:autoSpaceDN w:val="0"/>
              <w:adjustRightInd w:val="0"/>
              <w:snapToGrid w:val="0"/>
              <w:spacing w:line="360" w:lineRule="auto"/>
              <w:ind w:firstLine="482" w:firstLineChars="200"/>
              <w:rPr>
                <w:rFonts w:hint="eastAsia" w:ascii="Times New Roman" w:hAnsi="Times New Roman" w:cs="Times New Roman"/>
                <w:b/>
                <w:bCs/>
                <w:kern w:val="0"/>
                <w:sz w:val="24"/>
                <w:lang w:val="en-US" w:eastAsia="zh-CN"/>
              </w:rPr>
            </w:pPr>
          </w:p>
          <w:p>
            <w:pPr>
              <w:numPr>
                <w:ilvl w:val="0"/>
                <w:numId w:val="0"/>
              </w:numPr>
              <w:autoSpaceDE w:val="0"/>
              <w:autoSpaceDN w:val="0"/>
              <w:adjustRightInd w:val="0"/>
              <w:snapToGrid w:val="0"/>
              <w:spacing w:line="360" w:lineRule="auto"/>
              <w:ind w:firstLine="482" w:firstLineChars="200"/>
              <w:rPr>
                <w:rFonts w:hint="default" w:ascii="Times New Roman" w:hAnsi="Times New Roman" w:cs="Times New Roman"/>
                <w:b/>
                <w:bCs/>
                <w:kern w:val="0"/>
                <w:sz w:val="24"/>
                <w:lang w:val="en-US" w:eastAsia="zh-CN"/>
              </w:rPr>
            </w:pPr>
            <w:r>
              <w:rPr>
                <w:rFonts w:hint="eastAsia" w:ascii="Times New Roman" w:hAnsi="Times New Roman" w:cs="Times New Roman"/>
                <w:b/>
                <w:bCs/>
                <w:kern w:val="0"/>
                <w:sz w:val="24"/>
                <w:lang w:val="en-US" w:eastAsia="zh-CN"/>
              </w:rPr>
              <w:t>（2）管线布线方案</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bCs/>
                <w:kern w:val="0"/>
                <w:sz w:val="24"/>
                <w:lang w:val="en-US" w:eastAsia="zh-CN"/>
              </w:rPr>
            </w:pPr>
            <w:r>
              <w:rPr>
                <w:rFonts w:hint="eastAsia" w:ascii="Times New Roman" w:hAnsi="Times New Roman" w:cs="Times New Roman"/>
                <w:b w:val="0"/>
                <w:bCs w:val="0"/>
                <w:kern w:val="0"/>
                <w:sz w:val="24"/>
                <w:lang w:val="en-US" w:eastAsia="zh-CN"/>
              </w:rPr>
              <w:t>根据设计方案，对土渠、完好率低的云顶水库灌区干渠、烂田湾水库灌区右干渠、南六水库灌区右干渠、老寨沟水库灌区干渠以及部分渠道现状布置不合理处局部采用有压管道重力输水方式，将原渠道改造为管道或新建管道，减少输水过程中的渗漏和蒸发损失，提高灌溉水利用效率；同时对原渠系未覆盖的新增灌面新建干支管；并在干、支渠（管）上预留斗管接口，以便于下一步田间工程相衔接。本工程共新建和改造管道（含管道更换）长度32.999km，其中改造管道16条（含局部改造管道5条，管道更换4条），管道长13.236km，新建管道15条，管道长19.763km。减少输水过程中的渗漏和蒸发损失，提高灌溉水利用效率；并在干、支渠（管）上预留斗管接口，以便于下一步田间工程相衔接。</w:t>
            </w:r>
          </w:p>
          <w:p>
            <w:pPr>
              <w:numPr>
                <w:ilvl w:val="0"/>
                <w:numId w:val="0"/>
              </w:numPr>
              <w:autoSpaceDE w:val="0"/>
              <w:autoSpaceDN w:val="0"/>
              <w:adjustRightInd w:val="0"/>
              <w:snapToGrid w:val="0"/>
              <w:spacing w:line="360" w:lineRule="auto"/>
              <w:jc w:val="center"/>
            </w:pPr>
            <w:r>
              <w:drawing>
                <wp:inline distT="0" distB="0" distL="114300" distR="114300">
                  <wp:extent cx="3547110" cy="3211195"/>
                  <wp:effectExtent l="0" t="0" r="15240" b="825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44"/>
                          <a:stretch>
                            <a:fillRect/>
                          </a:stretch>
                        </pic:blipFill>
                        <pic:spPr>
                          <a:xfrm>
                            <a:off x="0" y="0"/>
                            <a:ext cx="3547110" cy="3211195"/>
                          </a:xfrm>
                          <a:prstGeom prst="rect">
                            <a:avLst/>
                          </a:prstGeom>
                          <a:noFill/>
                          <a:ln>
                            <a:noFill/>
                          </a:ln>
                        </pic:spPr>
                      </pic:pic>
                    </a:graphicData>
                  </a:graphic>
                </wp:inline>
              </w:drawing>
            </w:r>
          </w:p>
          <w:p>
            <w:pPr>
              <w:numPr>
                <w:ilvl w:val="0"/>
                <w:numId w:val="0"/>
              </w:numPr>
              <w:autoSpaceDE w:val="0"/>
              <w:autoSpaceDN w:val="0"/>
              <w:adjustRightInd w:val="0"/>
              <w:snapToGrid w:val="0"/>
              <w:spacing w:line="360" w:lineRule="auto"/>
              <w:jc w:val="center"/>
              <w:rPr>
                <w:rFonts w:hint="eastAsia"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图2-</w:t>
            </w:r>
            <w:r>
              <w:rPr>
                <w:rFonts w:hint="eastAsia" w:ascii="Times New Roman" w:hAnsi="Times New Roman" w:eastAsia="宋体" w:cs="Times New Roman"/>
                <w:b/>
                <w:bCs/>
                <w:sz w:val="21"/>
                <w:szCs w:val="21"/>
                <w:lang w:val="en-US" w:eastAsia="zh-CN"/>
              </w:rPr>
              <w:t>3</w:t>
            </w:r>
            <w:r>
              <w:rPr>
                <w:rFonts w:hint="default" w:ascii="Times New Roman" w:hAnsi="Times New Roman" w:eastAsia="宋体" w:cs="Times New Roman"/>
                <w:b/>
                <w:bCs/>
                <w:sz w:val="21"/>
                <w:szCs w:val="21"/>
                <w:lang w:val="en-US" w:eastAsia="zh-CN"/>
              </w:rPr>
              <w:t xml:space="preserve">  </w:t>
            </w:r>
            <w:r>
              <w:rPr>
                <w:rFonts w:hint="eastAsia" w:ascii="Times New Roman" w:hAnsi="Times New Roman" w:eastAsia="宋体" w:cs="Times New Roman"/>
                <w:b/>
                <w:bCs/>
                <w:sz w:val="21"/>
                <w:szCs w:val="21"/>
                <w:lang w:val="en-US" w:eastAsia="zh-CN"/>
              </w:rPr>
              <w:t>输水管线埋管典型断面</w:t>
            </w:r>
            <w:r>
              <w:rPr>
                <w:rFonts w:hint="default" w:ascii="Times New Roman" w:hAnsi="Times New Roman" w:eastAsia="宋体" w:cs="Times New Roman"/>
                <w:b/>
                <w:bCs/>
                <w:sz w:val="21"/>
                <w:szCs w:val="21"/>
                <w:lang w:val="en-US" w:eastAsia="zh-CN"/>
              </w:rPr>
              <w:t>图</w:t>
            </w:r>
          </w:p>
          <w:p>
            <w:pPr>
              <w:numPr>
                <w:ilvl w:val="0"/>
                <w:numId w:val="0"/>
              </w:numPr>
              <w:autoSpaceDE w:val="0"/>
              <w:autoSpaceDN w:val="0"/>
              <w:adjustRightInd w:val="0"/>
              <w:snapToGrid w:val="0"/>
              <w:spacing w:line="360" w:lineRule="auto"/>
              <w:jc w:val="center"/>
            </w:pPr>
            <w:r>
              <w:drawing>
                <wp:inline distT="0" distB="0" distL="114300" distR="114300">
                  <wp:extent cx="3554730" cy="2863850"/>
                  <wp:effectExtent l="0" t="0" r="7620" b="1270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45"/>
                          <a:stretch>
                            <a:fillRect/>
                          </a:stretch>
                        </pic:blipFill>
                        <pic:spPr>
                          <a:xfrm>
                            <a:off x="0" y="0"/>
                            <a:ext cx="3554730" cy="2863850"/>
                          </a:xfrm>
                          <a:prstGeom prst="rect">
                            <a:avLst/>
                          </a:prstGeom>
                          <a:noFill/>
                          <a:ln>
                            <a:noFill/>
                          </a:ln>
                        </pic:spPr>
                      </pic:pic>
                    </a:graphicData>
                  </a:graphic>
                </wp:inline>
              </w:drawing>
            </w:r>
          </w:p>
          <w:p>
            <w:pPr>
              <w:numPr>
                <w:ilvl w:val="0"/>
                <w:numId w:val="0"/>
              </w:numPr>
              <w:autoSpaceDE w:val="0"/>
              <w:autoSpaceDN w:val="0"/>
              <w:adjustRightInd w:val="0"/>
              <w:snapToGrid w:val="0"/>
              <w:spacing w:line="360" w:lineRule="auto"/>
              <w:jc w:val="center"/>
              <w:rPr>
                <w:rFonts w:hint="eastAsia" w:ascii="Times New Roman" w:hAnsi="Times New Roman" w:cs="Times New Roman"/>
                <w:b/>
                <w:bCs/>
                <w:kern w:val="0"/>
                <w:sz w:val="24"/>
                <w:lang w:val="en-US" w:eastAsia="zh-CN"/>
              </w:rPr>
            </w:pPr>
            <w:r>
              <w:rPr>
                <w:rFonts w:hint="default" w:ascii="Times New Roman" w:hAnsi="Times New Roman" w:eastAsia="宋体" w:cs="Times New Roman"/>
                <w:b/>
                <w:bCs/>
                <w:sz w:val="21"/>
                <w:szCs w:val="21"/>
                <w:lang w:val="en-US" w:eastAsia="zh-CN"/>
              </w:rPr>
              <w:t>图2-</w:t>
            </w:r>
            <w:r>
              <w:rPr>
                <w:rFonts w:hint="eastAsia" w:ascii="Times New Roman" w:hAnsi="Times New Roman" w:eastAsia="宋体" w:cs="Times New Roman"/>
                <w:b/>
                <w:bCs/>
                <w:sz w:val="21"/>
                <w:szCs w:val="21"/>
                <w:lang w:val="en-US" w:eastAsia="zh-CN"/>
              </w:rPr>
              <w:t>4</w:t>
            </w:r>
            <w:r>
              <w:rPr>
                <w:rFonts w:hint="default" w:ascii="Times New Roman" w:hAnsi="Times New Roman" w:eastAsia="宋体" w:cs="Times New Roman"/>
                <w:b/>
                <w:bCs/>
                <w:sz w:val="21"/>
                <w:szCs w:val="21"/>
                <w:lang w:val="en-US" w:eastAsia="zh-CN"/>
              </w:rPr>
              <w:t xml:space="preserve">  </w:t>
            </w:r>
            <w:r>
              <w:rPr>
                <w:rFonts w:hint="eastAsia" w:ascii="Times New Roman" w:hAnsi="Times New Roman" w:eastAsia="宋体" w:cs="Times New Roman"/>
                <w:b/>
                <w:bCs/>
                <w:sz w:val="21"/>
                <w:szCs w:val="21"/>
                <w:lang w:val="en-US" w:eastAsia="zh-CN"/>
              </w:rPr>
              <w:t>输水管线下穿路、沟典型断面</w:t>
            </w:r>
            <w:r>
              <w:rPr>
                <w:rFonts w:hint="default" w:ascii="Times New Roman" w:hAnsi="Times New Roman" w:eastAsia="宋体" w:cs="Times New Roman"/>
                <w:b/>
                <w:bCs/>
                <w:sz w:val="21"/>
                <w:szCs w:val="21"/>
                <w:lang w:val="en-US" w:eastAsia="zh-CN"/>
              </w:rPr>
              <w:t>图</w:t>
            </w:r>
          </w:p>
          <w:p>
            <w:pPr>
              <w:numPr>
                <w:ilvl w:val="0"/>
                <w:numId w:val="0"/>
              </w:numPr>
              <w:autoSpaceDE w:val="0"/>
              <w:autoSpaceDN w:val="0"/>
              <w:adjustRightInd w:val="0"/>
              <w:snapToGrid w:val="0"/>
              <w:spacing w:line="360" w:lineRule="auto"/>
              <w:ind w:firstLine="482" w:firstLineChars="200"/>
              <w:rPr>
                <w:rFonts w:hint="default" w:ascii="Times New Roman" w:hAnsi="Times New Roman" w:cs="Times New Roman"/>
                <w:b/>
                <w:bCs/>
                <w:kern w:val="0"/>
                <w:sz w:val="24"/>
                <w:lang w:val="en-US" w:eastAsia="zh-CN"/>
              </w:rPr>
            </w:pPr>
            <w:r>
              <w:rPr>
                <w:rFonts w:hint="eastAsia" w:ascii="Times New Roman" w:hAnsi="Times New Roman" w:cs="Times New Roman"/>
                <w:b/>
                <w:bCs/>
                <w:kern w:val="0"/>
                <w:sz w:val="24"/>
                <w:lang w:val="en-US" w:eastAsia="zh-CN"/>
              </w:rPr>
              <w:t>（3）管材材质及管径</w:t>
            </w:r>
          </w:p>
          <w:p>
            <w:pPr>
              <w:numPr>
                <w:ilvl w:val="0"/>
                <w:numId w:val="0"/>
              </w:numPr>
              <w:autoSpaceDE w:val="0"/>
              <w:autoSpaceDN w:val="0"/>
              <w:adjustRightInd w:val="0"/>
              <w:snapToGrid w:val="0"/>
              <w:spacing w:line="360" w:lineRule="auto"/>
              <w:ind w:firstLine="480" w:firstLineChars="200"/>
              <w:rPr>
                <w:rFonts w:hint="default" w:ascii="Times New Roman" w:hAnsi="Times New Roman" w:cs="Times New Roman"/>
                <w:b/>
                <w:bCs/>
                <w:kern w:val="0"/>
                <w:sz w:val="24"/>
                <w:lang w:val="en-US" w:eastAsia="zh-CN"/>
              </w:rPr>
            </w:pPr>
            <w:r>
              <w:rPr>
                <w:rFonts w:hint="eastAsia" w:ascii="Times New Roman" w:hAnsi="Times New Roman" w:cs="Times New Roman"/>
                <w:b w:val="0"/>
                <w:bCs w:val="0"/>
                <w:kern w:val="0"/>
                <w:sz w:val="24"/>
                <w:lang w:val="en-US" w:eastAsia="zh-CN"/>
              </w:rPr>
              <w:t>根据设计方案，各灌区干、支管输水管道管材采用防腐涂料防腐钢管，小于DN200管径的埋管段管材采用PE100级管1.25Mpa，管径（外径）110~273mm。</w:t>
            </w:r>
          </w:p>
          <w:p>
            <w:pPr>
              <w:numPr>
                <w:ilvl w:val="0"/>
                <w:numId w:val="0"/>
              </w:numPr>
              <w:autoSpaceDE w:val="0"/>
              <w:autoSpaceDN w:val="0"/>
              <w:adjustRightInd w:val="0"/>
              <w:snapToGrid w:val="0"/>
              <w:spacing w:line="360" w:lineRule="auto"/>
              <w:ind w:firstLine="482" w:firstLineChars="200"/>
              <w:rPr>
                <w:rFonts w:hint="default" w:ascii="Times New Roman" w:hAnsi="Times New Roman" w:cs="Times New Roman"/>
                <w:b/>
                <w:bCs/>
                <w:kern w:val="0"/>
                <w:sz w:val="24"/>
                <w:lang w:val="en-US" w:eastAsia="zh-CN"/>
              </w:rPr>
            </w:pPr>
            <w:r>
              <w:rPr>
                <w:rFonts w:hint="eastAsia" w:ascii="Times New Roman" w:hAnsi="Times New Roman" w:cs="Times New Roman"/>
                <w:b/>
                <w:bCs/>
                <w:kern w:val="0"/>
                <w:sz w:val="24"/>
                <w:lang w:val="en-US" w:eastAsia="zh-CN"/>
              </w:rPr>
              <w:t>3、隧洞整治</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根据现场调查，各灌区渠系穿山隧洞基本未衬砌，且尺寸多小于1.0m，进洞施工困难，为了减少对围岩及周边环境的干扰，对渗漏严重的隧洞采用牵引管穿洞的方式，牵引管穿越均采用无缝钢管顶管穿越的方式。</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项目共涉及7处隧洞，整治情况统计见下表。</w:t>
            </w:r>
          </w:p>
          <w:p>
            <w:pPr>
              <w:ind w:firstLine="480"/>
              <w:jc w:val="center"/>
              <w:rPr>
                <w:rFonts w:hint="eastAsia" w:ascii="Times New Roman" w:hAnsi="Times New Roman" w:cs="Times New Roman"/>
                <w:b/>
                <w:bCs/>
                <w:kern w:val="0"/>
                <w:sz w:val="21"/>
                <w:szCs w:val="21"/>
                <w:lang w:val="en-US" w:eastAsia="zh-CN"/>
              </w:rPr>
            </w:pPr>
            <w:r>
              <w:rPr>
                <w:rFonts w:hint="eastAsia" w:ascii="Times New Roman" w:hAnsi="Times New Roman" w:cs="Times New Roman"/>
                <w:b/>
                <w:bCs/>
                <w:kern w:val="0"/>
                <w:sz w:val="21"/>
                <w:szCs w:val="21"/>
                <w:lang w:val="en-US" w:eastAsia="zh-CN"/>
              </w:rPr>
              <w:t>表2-5  各灌区隧洞整治统计表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75"/>
              <w:gridCol w:w="849"/>
              <w:gridCol w:w="1494"/>
              <w:gridCol w:w="1494"/>
              <w:gridCol w:w="713"/>
              <w:gridCol w:w="1342"/>
              <w:gridCol w:w="913"/>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70" w:hRule="atLeast"/>
                <w:tblHeader/>
                <w:jc w:val="center"/>
              </w:trPr>
              <w:tc>
                <w:tcPr>
                  <w:tcW w:w="57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灌区</w:t>
                  </w:r>
                </w:p>
              </w:tc>
              <w:tc>
                <w:tcPr>
                  <w:tcW w:w="45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部位</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起点桩号（km+m）</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终点桩号（km+m）</w:t>
                  </w:r>
                </w:p>
              </w:tc>
              <w:tc>
                <w:tcPr>
                  <w:tcW w:w="38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长度（m）</w:t>
                  </w:r>
                </w:p>
              </w:tc>
              <w:tc>
                <w:tcPr>
                  <w:tcW w:w="7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现状隧洞尺寸（m）</w:t>
                  </w:r>
                </w:p>
              </w:tc>
              <w:tc>
                <w:tcPr>
                  <w:tcW w:w="49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顶管管径</w:t>
                  </w:r>
                </w:p>
              </w:tc>
              <w:tc>
                <w:tcPr>
                  <w:tcW w:w="7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7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云顶水库灌区</w:t>
                  </w:r>
                </w:p>
              </w:tc>
              <w:tc>
                <w:tcPr>
                  <w:tcW w:w="45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主干渠</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主干0+359.96</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主干0+485.98</w:t>
                  </w:r>
                </w:p>
              </w:tc>
              <w:tc>
                <w:tcPr>
                  <w:tcW w:w="38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 xml:space="preserve">126 </w:t>
                  </w:r>
                </w:p>
              </w:tc>
              <w:tc>
                <w:tcPr>
                  <w:tcW w:w="7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0.9×0.75</w:t>
                  </w:r>
                </w:p>
              </w:tc>
              <w:tc>
                <w:tcPr>
                  <w:tcW w:w="49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DN219</w:t>
                  </w:r>
                </w:p>
              </w:tc>
              <w:tc>
                <w:tcPr>
                  <w:tcW w:w="7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牵引管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7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曹家沟水库灌区</w:t>
                  </w:r>
                </w:p>
              </w:tc>
              <w:tc>
                <w:tcPr>
                  <w:tcW w:w="45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主干渠</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主干0+410.22</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主干0+556.83</w:t>
                  </w:r>
                </w:p>
              </w:tc>
              <w:tc>
                <w:tcPr>
                  <w:tcW w:w="38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 xml:space="preserve">147 </w:t>
                  </w:r>
                </w:p>
              </w:tc>
              <w:tc>
                <w:tcPr>
                  <w:tcW w:w="7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0.75×0.75</w:t>
                  </w:r>
                </w:p>
              </w:tc>
              <w:tc>
                <w:tcPr>
                  <w:tcW w:w="913" w:type="dxa"/>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DN219</w:t>
                  </w:r>
                </w:p>
              </w:tc>
              <w:tc>
                <w:tcPr>
                  <w:tcW w:w="1403" w:type="dxa"/>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牵引管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78"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长征水库灌区</w:t>
                  </w:r>
                </w:p>
              </w:tc>
              <w:tc>
                <w:tcPr>
                  <w:tcW w:w="45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右干渠</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右干0+433.00</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右干0+680.00</w:t>
                  </w:r>
                </w:p>
              </w:tc>
              <w:tc>
                <w:tcPr>
                  <w:tcW w:w="38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 xml:space="preserve">247 </w:t>
                  </w:r>
                </w:p>
              </w:tc>
              <w:tc>
                <w:tcPr>
                  <w:tcW w:w="7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0.4×0.4</w:t>
                  </w:r>
                </w:p>
              </w:tc>
              <w:tc>
                <w:tcPr>
                  <w:tcW w:w="49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DN273</w:t>
                  </w:r>
                </w:p>
              </w:tc>
              <w:tc>
                <w:tcPr>
                  <w:tcW w:w="7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牵引管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78"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p>
              </w:tc>
              <w:tc>
                <w:tcPr>
                  <w:tcW w:w="45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左干渠</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左干0+420.00</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左干0+541.00</w:t>
                  </w:r>
                </w:p>
              </w:tc>
              <w:tc>
                <w:tcPr>
                  <w:tcW w:w="38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 xml:space="preserve">121 </w:t>
                  </w:r>
                </w:p>
              </w:tc>
              <w:tc>
                <w:tcPr>
                  <w:tcW w:w="7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0.7×0.5</w:t>
                  </w:r>
                </w:p>
              </w:tc>
              <w:tc>
                <w:tcPr>
                  <w:tcW w:w="913" w:type="dxa"/>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DN219</w:t>
                  </w:r>
                </w:p>
              </w:tc>
              <w:tc>
                <w:tcPr>
                  <w:tcW w:w="1403" w:type="dxa"/>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牵引管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78"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南六水库灌区</w:t>
                  </w:r>
                </w:p>
              </w:tc>
              <w:tc>
                <w:tcPr>
                  <w:tcW w:w="45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左干渠</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左干0+574.00</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左干0+619.00</w:t>
                  </w:r>
                </w:p>
              </w:tc>
              <w:tc>
                <w:tcPr>
                  <w:tcW w:w="38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 xml:space="preserve">45 </w:t>
                  </w:r>
                </w:p>
              </w:tc>
              <w:tc>
                <w:tcPr>
                  <w:tcW w:w="7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0.4×0.7</w:t>
                  </w:r>
                </w:p>
              </w:tc>
              <w:tc>
                <w:tcPr>
                  <w:tcW w:w="913" w:type="dxa"/>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DN219</w:t>
                  </w:r>
                </w:p>
              </w:tc>
              <w:tc>
                <w:tcPr>
                  <w:tcW w:w="1403" w:type="dxa"/>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牵引管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78"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阴洞岩水库灌区</w:t>
                  </w:r>
                </w:p>
              </w:tc>
              <w:tc>
                <w:tcPr>
                  <w:tcW w:w="457"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右干渠</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右干0+145.87</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右干0+184.68</w:t>
                  </w:r>
                </w:p>
              </w:tc>
              <w:tc>
                <w:tcPr>
                  <w:tcW w:w="38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38.81</w:t>
                  </w:r>
                </w:p>
              </w:tc>
              <w:tc>
                <w:tcPr>
                  <w:tcW w:w="7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0.7×0.7</w:t>
                  </w:r>
                </w:p>
              </w:tc>
              <w:tc>
                <w:tcPr>
                  <w:tcW w:w="913" w:type="dxa"/>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DN219</w:t>
                  </w:r>
                </w:p>
              </w:tc>
              <w:tc>
                <w:tcPr>
                  <w:tcW w:w="1403" w:type="dxa"/>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牵引管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78"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p>
              </w:tc>
              <w:tc>
                <w:tcPr>
                  <w:tcW w:w="457"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右干0+372.07</w:t>
                  </w:r>
                </w:p>
              </w:tc>
              <w:tc>
                <w:tcPr>
                  <w:tcW w:w="80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右干0+452.42</w:t>
                  </w:r>
                </w:p>
              </w:tc>
              <w:tc>
                <w:tcPr>
                  <w:tcW w:w="38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80.35</w:t>
                  </w:r>
                </w:p>
              </w:tc>
              <w:tc>
                <w:tcPr>
                  <w:tcW w:w="7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0.75×0.75</w:t>
                  </w:r>
                </w:p>
              </w:tc>
              <w:tc>
                <w:tcPr>
                  <w:tcW w:w="491"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DN219</w:t>
                  </w:r>
                </w:p>
              </w:tc>
              <w:tc>
                <w:tcPr>
                  <w:tcW w:w="75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cs="Times New Roman"/>
                      <w:color w:val="000000" w:themeColor="text1"/>
                      <w:kern w:val="0"/>
                      <w:sz w:val="21"/>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highlight w:val="none"/>
                      <w:lang w:val="en-US" w:eastAsia="zh-CN"/>
                      <w14:textFill>
                        <w14:solidFill>
                          <w14:schemeClr w14:val="tx1"/>
                        </w14:solidFill>
                      </w14:textFill>
                    </w:rPr>
                    <w:t>牵引管</w:t>
                  </w:r>
                </w:p>
              </w:tc>
            </w:tr>
          </w:tbl>
          <w:p>
            <w:pPr>
              <w:pStyle w:val="10"/>
              <w:rPr>
                <w:rFonts w:hint="eastAsia"/>
                <w:lang w:val="en-US" w:eastAsia="zh-CN"/>
              </w:rPr>
            </w:pPr>
          </w:p>
          <w:p>
            <w:pPr>
              <w:pStyle w:val="10"/>
              <w:spacing w:line="360" w:lineRule="auto"/>
              <w:ind w:firstLine="482" w:firstLineChars="200"/>
              <w:rPr>
                <w:rFonts w:hint="default" w:ascii="Times New Roman" w:hAnsi="Times New Roman" w:cs="Times New Roman"/>
                <w:b/>
                <w:bCs/>
                <w:kern w:val="0"/>
                <w:sz w:val="24"/>
                <w:lang w:val="en-US" w:eastAsia="zh-CN"/>
              </w:rPr>
            </w:pPr>
            <w:r>
              <w:rPr>
                <w:rFonts w:hint="eastAsia" w:ascii="Times New Roman" w:hAnsi="Times New Roman" w:cs="Times New Roman"/>
                <w:b/>
                <w:bCs/>
                <w:kern w:val="0"/>
                <w:sz w:val="24"/>
                <w:lang w:val="en-US" w:eastAsia="zh-CN"/>
              </w:rPr>
              <w:t>4、渡槽修复</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本次项目共修复14座渡槽，其中恢复重建3个，整治修复10个，重建槽身1个。</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①秧田湾水库灌区右6支渠渡槽：渡槽桩号为右6支0+018~6支0+043，设计流量0.010m</w:t>
            </w:r>
            <w:r>
              <w:rPr>
                <w:rFonts w:hint="eastAsia" w:ascii="Times New Roman" w:hAnsi="Times New Roman" w:cs="Times New Roman"/>
                <w:b w:val="0"/>
                <w:bCs w:val="0"/>
                <w:kern w:val="0"/>
                <w:sz w:val="24"/>
                <w:vertAlign w:val="superscript"/>
                <w:lang w:val="en-US" w:eastAsia="zh-CN"/>
              </w:rPr>
              <w:t>3</w:t>
            </w:r>
            <w:r>
              <w:rPr>
                <w:rFonts w:hint="eastAsia" w:ascii="Times New Roman" w:hAnsi="Times New Roman" w:cs="Times New Roman"/>
                <w:b w:val="0"/>
                <w:bCs w:val="0"/>
                <w:kern w:val="0"/>
                <w:sz w:val="24"/>
                <w:lang w:val="en-US" w:eastAsia="zh-CN"/>
              </w:rPr>
              <w:t>/s，设计比降为0.008。上下游连接段为直墙连接，材料采用浆砌条石；槽身采用浆砌条石，槽身净宽为0.55m，净高为0.3m，渡槽单跨拱桥；墩身采用浆砌条石。渡槽现状结构较完好，仅渗漏严重，轻度淤积。本次考虑对渡槽进行清淤，并对此渡槽进行内侧采用Φ8钢筋进行挂网，并进行砂浆抹面，砂浆厚度0.03m，同时采用3cm厚玻璃钢格栅盖板对渡槽进行封闭。</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②秧田湾水库灌区提灌渠道渡槽：渡槽桩号为泵渠1+868~泵渠1+948，设计流量0.020m</w:t>
            </w:r>
            <w:r>
              <w:rPr>
                <w:rFonts w:hint="eastAsia" w:ascii="Times New Roman" w:hAnsi="Times New Roman" w:cs="Times New Roman"/>
                <w:b w:val="0"/>
                <w:bCs w:val="0"/>
                <w:kern w:val="0"/>
                <w:sz w:val="24"/>
                <w:vertAlign w:val="superscript"/>
                <w:lang w:val="en-US" w:eastAsia="zh-CN"/>
              </w:rPr>
              <w:t>3</w:t>
            </w:r>
            <w:r>
              <w:rPr>
                <w:rFonts w:hint="eastAsia" w:ascii="Times New Roman" w:hAnsi="Times New Roman" w:cs="Times New Roman"/>
                <w:b w:val="0"/>
                <w:bCs w:val="0"/>
                <w:kern w:val="0"/>
                <w:sz w:val="24"/>
                <w:lang w:val="en-US" w:eastAsia="zh-CN"/>
              </w:rPr>
              <w:t>/s，设计比降为0.003。上下游连接段为直墙连接，材料采用浆砌条石；槽身采用浆砌条石，槽身净宽为0.5m，净高为0.5m，渡槽单跨5.3m，共15跨；墩身采用浆砌条石。渡槽现状结构较完好，仅渗漏严重，轻度淤积。本次考虑对渡槽进行清淤，并对此渡槽进行内侧采用Φ8钢筋进行挂网，并进行砂浆抹面，砂浆厚度0.03m，同时采用3cm厚玻璃钢格栅盖板对渡槽进行封闭。</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③秧田湾水库灌区提灌渠道</w:t>
            </w:r>
            <w:r>
              <w:rPr>
                <w:rFonts w:hint="default" w:ascii="Times New Roman" w:hAnsi="Times New Roman" w:cs="Times New Roman"/>
                <w:b w:val="0"/>
                <w:bCs w:val="0"/>
                <w:kern w:val="0"/>
                <w:sz w:val="24"/>
                <w:lang w:val="en-US" w:eastAsia="zh-CN"/>
              </w:rPr>
              <w:t>渡槽：渡槽桩号为泵渠2+949</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泵渠3+053，设计流量</w:t>
            </w:r>
            <w:r>
              <w:rPr>
                <w:rFonts w:hint="eastAsia" w:ascii="Times New Roman" w:hAnsi="Times New Roman" w:cs="Times New Roman"/>
                <w:b w:val="0"/>
                <w:bCs w:val="0"/>
                <w:kern w:val="0"/>
                <w:sz w:val="24"/>
                <w:lang w:val="en-US" w:eastAsia="zh-CN"/>
              </w:rPr>
              <w:t>0.020</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0.002</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单跨5.2m，共20跨</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浆砌条石。渡槽现状结构较完好，仅渗漏严重，轻度淤积。本次考虑对渡槽进行清淤，并对此渡槽进行内侧采用Φ8钢筋进行挂网，并进行砂浆抹面，砂浆厚度0.03m，同时采用3cm厚玻璃钢格栅盖板对渡槽进行封闭。</w:t>
            </w:r>
          </w:p>
          <w:p>
            <w:pPr>
              <w:numPr>
                <w:ilvl w:val="0"/>
                <w:numId w:val="0"/>
              </w:numPr>
              <w:autoSpaceDE w:val="0"/>
              <w:autoSpaceDN w:val="0"/>
              <w:adjustRightInd w:val="0"/>
              <w:snapToGrid w:val="0"/>
              <w:spacing w:line="360" w:lineRule="auto"/>
              <w:ind w:firstLine="480" w:firstLineChars="200"/>
              <w:rPr>
                <w:rFonts w:hint="default"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④观音岩水库灌区右支渠</w:t>
            </w:r>
            <w:r>
              <w:rPr>
                <w:rFonts w:hint="default" w:ascii="Times New Roman" w:hAnsi="Times New Roman" w:cs="Times New Roman"/>
                <w:b w:val="0"/>
                <w:bCs w:val="0"/>
                <w:kern w:val="0"/>
                <w:sz w:val="24"/>
                <w:lang w:val="en-US" w:eastAsia="zh-CN"/>
              </w:rPr>
              <w:t>渡槽：渡槽桩号为右支2+201</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右支2+241，设计流量</w:t>
            </w:r>
            <w:r>
              <w:rPr>
                <w:rFonts w:hint="eastAsia" w:ascii="Times New Roman" w:hAnsi="Times New Roman" w:cs="Times New Roman"/>
                <w:b w:val="0"/>
                <w:bCs w:val="0"/>
                <w:kern w:val="0"/>
                <w:sz w:val="24"/>
                <w:lang w:val="en-US" w:eastAsia="zh-CN"/>
              </w:rPr>
              <w:t>0.037</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0.018</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0.85</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0.85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单跨4m，共11跨</w:t>
            </w:r>
            <w:r>
              <w:rPr>
                <w:rFonts w:hint="default" w:ascii="Times New Roman" w:hAnsi="Times New Roman" w:cs="Times New Roman"/>
                <w:b w:val="0"/>
                <w:bCs w:val="0"/>
                <w:kern w:val="0"/>
                <w:sz w:val="24"/>
                <w:lang w:val="en-US" w:eastAsia="zh-CN"/>
              </w:rPr>
              <w:t>；墩身和墩帽</w:t>
            </w:r>
            <w:r>
              <w:rPr>
                <w:rFonts w:hint="eastAsia" w:ascii="Times New Roman" w:hAnsi="Times New Roman" w:cs="Times New Roman"/>
                <w:b w:val="0"/>
                <w:bCs w:val="0"/>
                <w:kern w:val="0"/>
                <w:sz w:val="24"/>
                <w:lang w:val="en-US" w:eastAsia="zh-CN"/>
              </w:rPr>
              <w:t>均</w:t>
            </w:r>
            <w:r>
              <w:rPr>
                <w:rFonts w:hint="default" w:ascii="Times New Roman" w:hAnsi="Times New Roman" w:cs="Times New Roman"/>
                <w:b w:val="0"/>
                <w:bCs w:val="0"/>
                <w:kern w:val="0"/>
                <w:sz w:val="24"/>
                <w:lang w:val="en-US" w:eastAsia="zh-CN"/>
              </w:rPr>
              <w:t>采用</w:t>
            </w:r>
            <w:r>
              <w:rPr>
                <w:rFonts w:hint="eastAsia" w:ascii="Times New Roman" w:hAnsi="Times New Roman" w:cs="Times New Roman"/>
                <w:b w:val="0"/>
                <w:bCs w:val="0"/>
                <w:kern w:val="0"/>
                <w:sz w:val="24"/>
                <w:lang w:val="en-US" w:eastAsia="zh-CN"/>
              </w:rPr>
              <w:t>浆砌条石。渡槽现状已损毁严重，本次考虑采用C25钢筋砼在原址进行重建。</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⑤观音岩水库灌区李家咀提灌渠道</w:t>
            </w:r>
            <w:r>
              <w:rPr>
                <w:rFonts w:hint="default" w:ascii="Times New Roman" w:hAnsi="Times New Roman" w:cs="Times New Roman"/>
                <w:b w:val="0"/>
                <w:bCs w:val="0"/>
                <w:kern w:val="0"/>
                <w:sz w:val="24"/>
                <w:lang w:val="en-US" w:eastAsia="zh-CN"/>
              </w:rPr>
              <w:t>渡槽：渡槽桩号为提二0+082</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提二0+126，设计流量</w:t>
            </w:r>
            <w:r>
              <w:rPr>
                <w:rFonts w:hint="eastAsia" w:ascii="Times New Roman" w:hAnsi="Times New Roman" w:cs="Times New Roman"/>
                <w:b w:val="0"/>
                <w:bCs w:val="0"/>
                <w:kern w:val="0"/>
                <w:sz w:val="24"/>
                <w:lang w:val="en-US" w:eastAsia="zh-CN"/>
              </w:rPr>
              <w:t>0.051</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0.045</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0.9</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单跨4m，共12跨</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结构较完好，仅渗漏严重，轻度淤积。本次考虑对渡槽进行清淤，并对此渡槽进行内侧采用Φ8钢筋进行挂网，间距20cm，并采用3cm厚M10砂浆进行抹面，同时采用3cm厚玻璃钢格栅盖板对渡槽进行封闭。</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⑥观音岩水库灌区李家咀提灌渠道</w:t>
            </w:r>
            <w:r>
              <w:rPr>
                <w:rFonts w:hint="default" w:ascii="Times New Roman" w:hAnsi="Times New Roman" w:cs="Times New Roman"/>
                <w:b w:val="0"/>
                <w:bCs w:val="0"/>
                <w:kern w:val="0"/>
                <w:sz w:val="24"/>
                <w:lang w:val="en-US" w:eastAsia="zh-CN"/>
              </w:rPr>
              <w:t>渡槽：渡槽桩号为提三0+371</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提三0+421，设计流量</w:t>
            </w:r>
            <w:r>
              <w:rPr>
                <w:rFonts w:hint="eastAsia" w:ascii="Times New Roman" w:hAnsi="Times New Roman" w:cs="Times New Roman"/>
                <w:b w:val="0"/>
                <w:bCs w:val="0"/>
                <w:kern w:val="0"/>
                <w:sz w:val="24"/>
                <w:lang w:val="en-US" w:eastAsia="zh-CN"/>
              </w:rPr>
              <w:t>0.040</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0.013</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砖砌</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砖砌</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1.0</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单跨10m，共5跨</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砖砌。渡槽现状已损毁严重，本次考虑采用C25钢筋砼在原址进行重建。</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⑦小沟河水库灌区马2支渠</w:t>
            </w:r>
            <w:r>
              <w:rPr>
                <w:rFonts w:hint="default" w:ascii="Times New Roman" w:hAnsi="Times New Roman" w:cs="Times New Roman"/>
                <w:b w:val="0"/>
                <w:bCs w:val="0"/>
                <w:kern w:val="0"/>
                <w:sz w:val="24"/>
                <w:lang w:val="en-US" w:eastAsia="zh-CN"/>
              </w:rPr>
              <w:t>渡槽：渡槽桩号为马2支0+015</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马2支0+101，设计流量</w:t>
            </w:r>
            <w:r>
              <w:rPr>
                <w:rFonts w:hint="eastAsia" w:ascii="Times New Roman" w:hAnsi="Times New Roman" w:cs="Times New Roman"/>
                <w:b w:val="0"/>
                <w:bCs w:val="0"/>
                <w:kern w:val="0"/>
                <w:sz w:val="24"/>
                <w:lang w:val="en-US" w:eastAsia="zh-CN"/>
              </w:rPr>
              <w:t>0.018</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0.003</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单跨4.55m，共15跨</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浆砌条石。渡槽现状已损毁严重，本次考虑采用C25钢筋砼在原址进行重建。</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⑧小沟河水库灌区马2支渠</w:t>
            </w:r>
            <w:r>
              <w:rPr>
                <w:rFonts w:hint="default" w:ascii="Times New Roman" w:hAnsi="Times New Roman" w:cs="Times New Roman"/>
                <w:b w:val="0"/>
                <w:bCs w:val="0"/>
                <w:kern w:val="0"/>
                <w:sz w:val="24"/>
                <w:lang w:val="en-US" w:eastAsia="zh-CN"/>
              </w:rPr>
              <w:t>渡槽：渡槽桩号为马2支1+115</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马2支1+127，设计流量</w:t>
            </w:r>
            <w:r>
              <w:rPr>
                <w:rFonts w:hint="eastAsia" w:ascii="Times New Roman" w:hAnsi="Times New Roman" w:cs="Times New Roman"/>
                <w:b w:val="0"/>
                <w:bCs w:val="0"/>
                <w:kern w:val="0"/>
                <w:sz w:val="24"/>
                <w:lang w:val="en-US" w:eastAsia="zh-CN"/>
              </w:rPr>
              <w:t>0.018</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0.007</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单跨4.55m，共19跨</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结构较完好，仅渗漏严重，轻度淤积。本次考虑对渡槽进行清淤，并对此渡槽进行内侧采用Φ8钢筋进行挂网，间距20cm，并采用3cm厚M10砂浆进行抹面，同时采用3cm厚玻璃钢格栅盖板对渡槽进行封闭。</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⑨曹家沟水库灌区主干渠</w:t>
            </w:r>
            <w:r>
              <w:rPr>
                <w:rFonts w:hint="default" w:ascii="Times New Roman" w:hAnsi="Times New Roman" w:cs="Times New Roman"/>
                <w:b w:val="0"/>
                <w:bCs w:val="0"/>
                <w:kern w:val="0"/>
                <w:sz w:val="24"/>
                <w:lang w:val="en-US" w:eastAsia="zh-CN"/>
              </w:rPr>
              <w:t>渡槽：渡槽桩号为主干0+103</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主干0+140，设计流量</w:t>
            </w:r>
            <w:r>
              <w:rPr>
                <w:rFonts w:hint="eastAsia" w:ascii="Times New Roman" w:hAnsi="Times New Roman" w:cs="Times New Roman"/>
                <w:b w:val="0"/>
                <w:bCs w:val="0"/>
                <w:kern w:val="0"/>
                <w:sz w:val="24"/>
                <w:lang w:val="en-US" w:eastAsia="zh-CN"/>
              </w:rPr>
              <w:t>0.035</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0.001</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0.8</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0.8</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单跨4.55m，共8跨</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浆砌条石。渡槽现状结构较完好，仅渗漏严重，轻度淤积。本次考虑对渡槽进行清淤，并对此渡槽进行内侧采用Φ8钢筋进行挂网，并进行砂浆抹面，砂浆厚度0.03m，同时采用8cm厚玻璃钢格栅盖板对渡槽进行封闭。</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⑩刘家坪水库灌区右干渠</w:t>
            </w:r>
            <w:r>
              <w:rPr>
                <w:rFonts w:hint="default" w:ascii="Times New Roman" w:hAnsi="Times New Roman" w:cs="Times New Roman"/>
                <w:b w:val="0"/>
                <w:bCs w:val="0"/>
                <w:kern w:val="0"/>
                <w:sz w:val="24"/>
                <w:lang w:val="en-US" w:eastAsia="zh-CN"/>
              </w:rPr>
              <w:t>渡槽：渡槽桩号为右干1+730</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右干1+742，设计流量</w:t>
            </w:r>
            <w:r>
              <w:rPr>
                <w:rFonts w:hint="eastAsia" w:ascii="Times New Roman" w:hAnsi="Times New Roman" w:cs="Times New Roman"/>
                <w:b w:val="0"/>
                <w:bCs w:val="0"/>
                <w:kern w:val="0"/>
                <w:sz w:val="24"/>
                <w:lang w:val="en-US" w:eastAsia="zh-CN"/>
              </w:rPr>
              <w:t>0.032</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0.008</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单跨13m</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浆砌条石。渡槽现状结构完好，仅轻度淤积。</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⑪长征水库灌区左干渠</w:t>
            </w:r>
            <w:r>
              <w:rPr>
                <w:rFonts w:hint="default" w:ascii="Times New Roman" w:hAnsi="Times New Roman" w:cs="Times New Roman"/>
                <w:b w:val="0"/>
                <w:bCs w:val="0"/>
                <w:kern w:val="0"/>
                <w:sz w:val="24"/>
                <w:lang w:val="en-US" w:eastAsia="zh-CN"/>
              </w:rPr>
              <w:t>渡槽：渡槽桩号为左干0+067</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左干0+083，设计流量</w:t>
            </w:r>
            <w:r>
              <w:rPr>
                <w:rFonts w:hint="eastAsia" w:ascii="Times New Roman" w:hAnsi="Times New Roman" w:cs="Times New Roman"/>
                <w:b w:val="0"/>
                <w:bCs w:val="0"/>
                <w:kern w:val="0"/>
                <w:sz w:val="24"/>
                <w:lang w:val="en-US" w:eastAsia="zh-CN"/>
              </w:rPr>
              <w:t>0.009</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0.003</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0.7</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单跨16m</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结构较完好，仅渗漏严重，轻度淤积。本次考虑对渡槽进行清淤，并对此渡槽进行内侧采用Φ8钢筋进行挂网，间距20cm，并采用3cm厚M10砂浆进行抹面，同时采用3cm厚玻璃钢格栅盖板对渡槽进行封闭。</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⑫九军坪水库灌区右干渠</w:t>
            </w:r>
            <w:r>
              <w:rPr>
                <w:rFonts w:hint="default" w:ascii="Times New Roman" w:hAnsi="Times New Roman" w:cs="Times New Roman"/>
                <w:b w:val="0"/>
                <w:bCs w:val="0"/>
                <w:kern w:val="0"/>
                <w:sz w:val="24"/>
                <w:lang w:val="en-US" w:eastAsia="zh-CN"/>
              </w:rPr>
              <w:t>渡槽：渡槽桩号为右干3+152</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右干3+222，设计流量</w:t>
            </w:r>
            <w:r>
              <w:rPr>
                <w:rFonts w:hint="eastAsia" w:ascii="Times New Roman" w:hAnsi="Times New Roman" w:cs="Times New Roman"/>
                <w:b w:val="0"/>
                <w:bCs w:val="0"/>
                <w:kern w:val="0"/>
                <w:sz w:val="24"/>
                <w:lang w:val="en-US" w:eastAsia="zh-CN"/>
              </w:rPr>
              <w:t>0.035</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0.005</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单跨14m，共5跨</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结构较完好，仅渗漏严重，轻度淤积。本次考虑对渡槽进行清淤，并对此渡槽进行内侧采用Φ8钢筋进行挂网，间距20cm，并采用3cm厚M10砂浆进行抹面，同时采用3cm厚玻璃钢格栅盖板对渡槽进行封闭。</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⑬九军坪水库灌区右干渠</w:t>
            </w:r>
            <w:r>
              <w:rPr>
                <w:rFonts w:hint="default" w:ascii="Times New Roman" w:hAnsi="Times New Roman" w:cs="Times New Roman"/>
                <w:b w:val="0"/>
                <w:bCs w:val="0"/>
                <w:kern w:val="0"/>
                <w:sz w:val="24"/>
                <w:lang w:val="en-US" w:eastAsia="zh-CN"/>
              </w:rPr>
              <w:t>渡槽：渡槽桩号为右干3+383</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右干3+387，设计流量</w:t>
            </w:r>
            <w:r>
              <w:rPr>
                <w:rFonts w:hint="eastAsia" w:ascii="Times New Roman" w:hAnsi="Times New Roman" w:cs="Times New Roman"/>
                <w:b w:val="0"/>
                <w:bCs w:val="0"/>
                <w:kern w:val="0"/>
                <w:sz w:val="24"/>
                <w:lang w:val="en-US" w:eastAsia="zh-CN"/>
              </w:rPr>
              <w:t>0.035</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0.005</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单跨4m</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结构较完好，仅渗漏严重，轻度淤积。本次考虑对渡槽进行清淤，并对此渡槽进行内侧采用Φ8钢筋进行挂网，间距20cm，并采用3cm厚M10砂浆进行抹面，同时采用3cm厚玻璃钢格栅盖板对渡槽进行封闭。</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bCs/>
                <w:kern w:val="0"/>
                <w:sz w:val="21"/>
                <w:szCs w:val="21"/>
                <w:lang w:val="en-US" w:eastAsia="zh-CN"/>
              </w:rPr>
            </w:pPr>
            <w:r>
              <w:rPr>
                <w:rFonts w:hint="eastAsia" w:ascii="Times New Roman" w:hAnsi="Times New Roman" w:cs="Times New Roman"/>
                <w:b w:val="0"/>
                <w:bCs w:val="0"/>
                <w:kern w:val="0"/>
                <w:sz w:val="24"/>
                <w:lang w:val="en-US" w:eastAsia="zh-CN"/>
              </w:rPr>
              <w:t>⑭九军坪水库灌区右干渠</w:t>
            </w:r>
            <w:r>
              <w:rPr>
                <w:rFonts w:hint="default" w:ascii="Times New Roman" w:hAnsi="Times New Roman" w:cs="Times New Roman"/>
                <w:b w:val="0"/>
                <w:bCs w:val="0"/>
                <w:kern w:val="0"/>
                <w:sz w:val="24"/>
                <w:lang w:val="en-US" w:eastAsia="zh-CN"/>
              </w:rPr>
              <w:t>渡槽：渡槽桩号为右干3+460</w:t>
            </w:r>
            <w:r>
              <w:rPr>
                <w:rFonts w:hint="eastAsia" w:ascii="Times New Roman" w:hAnsi="Times New Roman" w:cs="Times New Roman"/>
                <w:b w:val="0"/>
                <w:bCs w:val="0"/>
                <w:kern w:val="0"/>
                <w:sz w:val="24"/>
                <w:lang w:val="en-US" w:eastAsia="zh-CN"/>
              </w:rPr>
              <w:t>~</w:t>
            </w:r>
            <w:r>
              <w:rPr>
                <w:rFonts w:hint="default" w:ascii="Times New Roman" w:hAnsi="Times New Roman" w:cs="Times New Roman"/>
                <w:b w:val="0"/>
                <w:bCs w:val="0"/>
                <w:kern w:val="0"/>
                <w:sz w:val="24"/>
                <w:lang w:val="en-US" w:eastAsia="zh-CN"/>
              </w:rPr>
              <w:t>右干3+588，设计流量</w:t>
            </w:r>
            <w:r>
              <w:rPr>
                <w:rFonts w:hint="eastAsia" w:ascii="Times New Roman" w:hAnsi="Times New Roman" w:cs="Times New Roman"/>
                <w:b w:val="0"/>
                <w:bCs w:val="0"/>
                <w:kern w:val="0"/>
                <w:sz w:val="24"/>
                <w:lang w:val="en-US" w:eastAsia="zh-CN"/>
              </w:rPr>
              <w:t>0.035</w:t>
            </w:r>
            <w:r>
              <w:rPr>
                <w:rFonts w:hint="default" w:ascii="Times New Roman" w:hAnsi="Times New Roman" w:cs="Times New Roman"/>
                <w:b w:val="0"/>
                <w:bCs w:val="0"/>
                <w:kern w:val="0"/>
                <w:sz w:val="24"/>
                <w:lang w:val="en-US" w:eastAsia="zh-CN"/>
              </w:rPr>
              <w:t>m</w:t>
            </w:r>
            <w:r>
              <w:rPr>
                <w:rFonts w:hint="eastAsia" w:ascii="Times New Roman" w:hAnsi="Times New Roman" w:cs="Times New Roman"/>
                <w:b w:val="0"/>
                <w:bCs w:val="0"/>
                <w:kern w:val="0"/>
                <w:sz w:val="24"/>
                <w:vertAlign w:val="superscript"/>
                <w:lang w:val="en-US" w:eastAsia="zh-CN"/>
              </w:rPr>
              <w:t>3</w:t>
            </w:r>
            <w:r>
              <w:rPr>
                <w:rFonts w:hint="default" w:ascii="Times New Roman" w:hAnsi="Times New Roman" w:cs="Times New Roman"/>
                <w:b w:val="0"/>
                <w:bCs w:val="0"/>
                <w:kern w:val="0"/>
                <w:sz w:val="24"/>
                <w:lang w:val="en-US" w:eastAsia="zh-CN"/>
              </w:rPr>
              <w:t>/s，设计比降为</w:t>
            </w:r>
            <w:r>
              <w:rPr>
                <w:rFonts w:hint="eastAsia" w:ascii="Times New Roman" w:hAnsi="Times New Roman" w:cs="Times New Roman"/>
                <w:b w:val="0"/>
                <w:bCs w:val="0"/>
                <w:kern w:val="0"/>
                <w:sz w:val="24"/>
                <w:lang w:val="en-US" w:eastAsia="zh-CN"/>
              </w:rPr>
              <w:t>0.005</w:t>
            </w:r>
            <w:r>
              <w:rPr>
                <w:rFonts w:hint="default" w:ascii="Times New Roman" w:hAnsi="Times New Roman" w:cs="Times New Roman"/>
                <w:b w:val="0"/>
                <w:bCs w:val="0"/>
                <w:kern w:val="0"/>
                <w:sz w:val="24"/>
                <w:lang w:val="en-US" w:eastAsia="zh-CN"/>
              </w:rPr>
              <w:t>。上下游连接段为直墙连接，材料采用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；槽身采用</w:t>
            </w:r>
            <w:r>
              <w:rPr>
                <w:rFonts w:hint="eastAsia" w:ascii="Times New Roman" w:hAnsi="Times New Roman" w:cs="Times New Roman"/>
                <w:b w:val="0"/>
                <w:bCs w:val="0"/>
                <w:kern w:val="0"/>
                <w:sz w:val="24"/>
                <w:lang w:val="en-US" w:eastAsia="zh-CN"/>
              </w:rPr>
              <w:t>浆砌条石</w:t>
            </w:r>
            <w:r>
              <w:rPr>
                <w:rFonts w:hint="default" w:ascii="Times New Roman" w:hAnsi="Times New Roman" w:cs="Times New Roman"/>
                <w:b w:val="0"/>
                <w:bCs w:val="0"/>
                <w:kern w:val="0"/>
                <w:sz w:val="24"/>
                <w:lang w:val="en-US" w:eastAsia="zh-CN"/>
              </w:rPr>
              <w:t>，槽身净宽为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m，净高为</w:t>
            </w:r>
            <w:r>
              <w:rPr>
                <w:rFonts w:hint="eastAsia" w:ascii="Times New Roman" w:hAnsi="Times New Roman" w:cs="Times New Roman"/>
                <w:b w:val="0"/>
                <w:bCs w:val="0"/>
                <w:kern w:val="0"/>
                <w:sz w:val="24"/>
                <w:lang w:val="en-US" w:eastAsia="zh-CN"/>
              </w:rPr>
              <w:t>0.5</w:t>
            </w:r>
            <w:r>
              <w:rPr>
                <w:rFonts w:hint="default" w:ascii="Times New Roman" w:hAnsi="Times New Roman" w:cs="Times New Roman"/>
                <w:b w:val="0"/>
                <w:bCs w:val="0"/>
                <w:kern w:val="0"/>
                <w:sz w:val="24"/>
                <w:lang w:val="en-US" w:eastAsia="zh-CN"/>
              </w:rPr>
              <w:t>m，渡槽</w:t>
            </w:r>
            <w:r>
              <w:rPr>
                <w:rFonts w:hint="eastAsia" w:ascii="Times New Roman" w:hAnsi="Times New Roman" w:cs="Times New Roman"/>
                <w:b w:val="0"/>
                <w:bCs w:val="0"/>
                <w:kern w:val="0"/>
                <w:sz w:val="24"/>
                <w:lang w:val="en-US" w:eastAsia="zh-CN"/>
              </w:rPr>
              <w:t>单跨5.5m，共24跨</w:t>
            </w:r>
            <w:r>
              <w:rPr>
                <w:rFonts w:hint="default" w:ascii="Times New Roman" w:hAnsi="Times New Roman" w:cs="Times New Roman"/>
                <w:b w:val="0"/>
                <w:bCs w:val="0"/>
                <w:kern w:val="0"/>
                <w:sz w:val="24"/>
                <w:lang w:val="en-US" w:eastAsia="zh-CN"/>
              </w:rPr>
              <w:t>；墩身采用</w:t>
            </w:r>
            <w:r>
              <w:rPr>
                <w:rFonts w:hint="eastAsia" w:ascii="Times New Roman" w:hAnsi="Times New Roman" w:cs="Times New Roman"/>
                <w:b w:val="0"/>
                <w:bCs w:val="0"/>
                <w:kern w:val="0"/>
                <w:sz w:val="24"/>
                <w:lang w:val="en-US" w:eastAsia="zh-CN"/>
              </w:rPr>
              <w:t>浆砌条石。渡槽现状槽身已被严重破坏，墩身结构完好。本次考虑采用预制C25钢筋砼槽神在现状墩身上部进行原址重建，同时采用3cm厚玻璃钢格栅盖板对渡槽进行封闭。</w:t>
            </w:r>
          </w:p>
          <w:p>
            <w:pPr>
              <w:numPr>
                <w:ilvl w:val="0"/>
                <w:numId w:val="0"/>
              </w:numPr>
              <w:autoSpaceDE w:val="0"/>
              <w:autoSpaceDN w:val="0"/>
              <w:adjustRightInd w:val="0"/>
              <w:snapToGrid w:val="0"/>
              <w:spacing w:line="240" w:lineRule="auto"/>
              <w:jc w:val="center"/>
              <w:rPr>
                <w:rFonts w:hint="eastAsia" w:ascii="Times New Roman" w:hAnsi="Times New Roman" w:cs="Times New Roman"/>
                <w:b w:val="0"/>
                <w:bCs w:val="0"/>
                <w:kern w:val="0"/>
                <w:sz w:val="24"/>
                <w:lang w:val="en-US" w:eastAsia="zh-CN"/>
              </w:rPr>
            </w:pPr>
            <w:r>
              <w:rPr>
                <w:rFonts w:hint="eastAsia" w:ascii="Times New Roman" w:hAnsi="Times New Roman" w:cs="Times New Roman"/>
                <w:b/>
                <w:bCs/>
                <w:kern w:val="0"/>
                <w:sz w:val="21"/>
                <w:szCs w:val="21"/>
                <w:lang w:val="en-US" w:eastAsia="zh-CN"/>
              </w:rPr>
              <w:t>表2-6  各灌区隧洞整治统计表</w:t>
            </w:r>
          </w:p>
          <w:tbl>
            <w:tblPr>
              <w:tblStyle w:val="26"/>
              <w:tblW w:w="9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709"/>
              <w:gridCol w:w="1110"/>
              <w:gridCol w:w="795"/>
              <w:gridCol w:w="795"/>
              <w:gridCol w:w="735"/>
              <w:gridCol w:w="945"/>
              <w:gridCol w:w="930"/>
              <w:gridCol w:w="1215"/>
              <w:gridCol w:w="1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58" w:hRule="atLeast"/>
                <w:jc w:val="center"/>
              </w:trPr>
              <w:tc>
                <w:tcPr>
                  <w:tcW w:w="917"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灌区名称</w:t>
                  </w:r>
                </w:p>
              </w:tc>
              <w:tc>
                <w:tcPr>
                  <w:tcW w:w="595"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渠系名称</w:t>
                  </w:r>
                </w:p>
              </w:tc>
              <w:tc>
                <w:tcPr>
                  <w:tcW w:w="426"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长度（m）</w:t>
                  </w:r>
                </w:p>
              </w:tc>
              <w:tc>
                <w:tcPr>
                  <w:tcW w:w="821" w:type="pct"/>
                  <w:gridSpan w:val="2"/>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尺寸</w:t>
                  </w:r>
                </w:p>
              </w:tc>
              <w:tc>
                <w:tcPr>
                  <w:tcW w:w="507"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设计流量（m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t>
                  </w:r>
                </w:p>
              </w:tc>
              <w:tc>
                <w:tcPr>
                  <w:tcW w:w="499" w:type="pct"/>
                  <w:vMerge w:val="restart"/>
                  <w:tcBorders>
                    <w:tl2br w:val="nil"/>
                    <w:tr2bl w:val="nil"/>
                  </w:tcBorders>
                  <w:shd w:val="clear" w:color="auto" w:fill="auto"/>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加大流量（m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t>
                  </w:r>
                </w:p>
              </w:tc>
              <w:tc>
                <w:tcPr>
                  <w:tcW w:w="652"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衬砌情况</w:t>
                  </w:r>
                </w:p>
              </w:tc>
              <w:tc>
                <w:tcPr>
                  <w:tcW w:w="580"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91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5"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26"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宽（m）</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高（m）</w:t>
                  </w:r>
                </w:p>
              </w:tc>
              <w:tc>
                <w:tcPr>
                  <w:tcW w:w="50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99" w:type="pct"/>
                  <w:vMerge w:val="continue"/>
                  <w:tcBorders>
                    <w:tl2br w:val="nil"/>
                    <w:tr2bl w:val="nil"/>
                  </w:tcBorders>
                  <w:shd w:val="clear" w:color="auto" w:fill="auto"/>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652"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80"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秧田湾水库灌区</w:t>
                  </w:r>
                </w:p>
              </w:tc>
              <w:tc>
                <w:tcPr>
                  <w:tcW w:w="595"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右4支渠</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25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0.010 </w:t>
                  </w:r>
                </w:p>
              </w:tc>
              <w:tc>
                <w:tcPr>
                  <w:tcW w:w="499" w:type="pct"/>
                  <w:tcBorders>
                    <w:tl2br w:val="nil"/>
                    <w:tr2bl w:val="nil"/>
                  </w:tcBorders>
                  <w:shd w:val="clear" w:color="auto" w:fill="auto"/>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0.014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5"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提灌渠道</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80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0.023 </w:t>
                  </w:r>
                </w:p>
              </w:tc>
              <w:tc>
                <w:tcPr>
                  <w:tcW w:w="499" w:type="pct"/>
                  <w:tcBorders>
                    <w:tl2br w:val="nil"/>
                    <w:tr2bl w:val="nil"/>
                  </w:tcBorders>
                  <w:shd w:val="clear" w:color="auto" w:fill="auto"/>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0.030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5"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104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0.023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0.030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观音岩水库灌区</w:t>
                  </w:r>
                </w:p>
              </w:tc>
              <w:tc>
                <w:tcPr>
                  <w:tcW w:w="595"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右支渠</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40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0.85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0.85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0.041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0.053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恢复重建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5"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李家咀提灌渠道</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44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0.9</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0.051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0.067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5"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50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0.4</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0.040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0.052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砖砌</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恢复重建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小沟河水库灌区</w:t>
                  </w:r>
                </w:p>
              </w:tc>
              <w:tc>
                <w:tcPr>
                  <w:tcW w:w="595"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马2支渠</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86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0.018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0.023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恢复重建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5"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88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0.018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0.023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曹家沟水库灌区</w:t>
                  </w:r>
                </w:p>
              </w:tc>
              <w:tc>
                <w:tcPr>
                  <w:tcW w:w="595"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主干渠</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37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0.8</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0.8</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0.035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0.045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刘家坪水库灌区</w:t>
                  </w:r>
                </w:p>
              </w:tc>
              <w:tc>
                <w:tcPr>
                  <w:tcW w:w="595"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右干渠</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13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0.032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0.042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长征水库灌区</w:t>
                  </w:r>
                </w:p>
              </w:tc>
              <w:tc>
                <w:tcPr>
                  <w:tcW w:w="595"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左干渠</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16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0.7</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0.009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0.012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九军坪水库灌区</w:t>
                  </w:r>
                </w:p>
              </w:tc>
              <w:tc>
                <w:tcPr>
                  <w:tcW w:w="595" w:type="pct"/>
                  <w:vMerge w:val="restar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右干渠</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70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0.035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0.045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5"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4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0.035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0.045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595" w:type="pct"/>
                  <w:vMerge w:val="continue"/>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128 </w:t>
                  </w:r>
                </w:p>
              </w:tc>
              <w:tc>
                <w:tcPr>
                  <w:tcW w:w="426"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394"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0.5</w:t>
                  </w:r>
                </w:p>
              </w:tc>
              <w:tc>
                <w:tcPr>
                  <w:tcW w:w="507"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0.035 </w:t>
                  </w:r>
                </w:p>
              </w:tc>
              <w:tc>
                <w:tcPr>
                  <w:tcW w:w="499"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0.045 </w:t>
                  </w:r>
                </w:p>
              </w:tc>
              <w:tc>
                <w:tcPr>
                  <w:tcW w:w="652"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浆砌条石</w:t>
                  </w:r>
                </w:p>
              </w:tc>
              <w:tc>
                <w:tcPr>
                  <w:tcW w:w="580" w:type="pct"/>
                  <w:tcBorders>
                    <w:tl2br w:val="nil"/>
                    <w:tr2bl w:val="nil"/>
                  </w:tcBorders>
                  <w:shd w:val="clear" w:color="auto" w:fill="auto"/>
                  <w:noWrap/>
                  <w:vAlign w:val="center"/>
                </w:tcPr>
                <w:p>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重建槽身</w:t>
                  </w:r>
                </w:p>
              </w:tc>
            </w:tr>
          </w:tbl>
          <w:p>
            <w:pPr>
              <w:autoSpaceDE w:val="0"/>
              <w:autoSpaceDN w:val="0"/>
              <w:adjustRightInd w:val="0"/>
              <w:snapToGrid w:val="0"/>
              <w:spacing w:line="360" w:lineRule="auto"/>
              <w:rPr>
                <w:rFonts w:ascii="Times New Roman" w:hAnsi="Times New Roman" w:cs="Times New Roman"/>
                <w:b/>
                <w:kern w:val="0"/>
                <w:sz w:val="24"/>
                <w:szCs w:val="24"/>
              </w:rPr>
            </w:pPr>
            <w:r>
              <w:drawing>
                <wp:inline distT="0" distB="0" distL="114300" distR="114300">
                  <wp:extent cx="5941060" cy="2079625"/>
                  <wp:effectExtent l="0" t="0" r="2540" b="1587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46"/>
                          <a:stretch>
                            <a:fillRect/>
                          </a:stretch>
                        </pic:blipFill>
                        <pic:spPr>
                          <a:xfrm>
                            <a:off x="0" y="0"/>
                            <a:ext cx="5941060" cy="2079625"/>
                          </a:xfrm>
                          <a:prstGeom prst="rect">
                            <a:avLst/>
                          </a:prstGeom>
                          <a:noFill/>
                          <a:ln>
                            <a:noFill/>
                          </a:ln>
                        </pic:spPr>
                      </pic:pic>
                    </a:graphicData>
                  </a:graphic>
                </wp:inline>
              </w:drawing>
            </w:r>
          </w:p>
          <w:p>
            <w:pPr>
              <w:autoSpaceDE w:val="0"/>
              <w:autoSpaceDN w:val="0"/>
              <w:adjustRightInd w:val="0"/>
              <w:snapToGrid w:val="0"/>
              <w:spacing w:line="360" w:lineRule="auto"/>
              <w:rPr>
                <w:rFonts w:hint="eastAsia" w:ascii="Times New Roman" w:hAnsi="Times New Roman" w:cs="Times New Roman" w:eastAsiaTheme="minorEastAsia"/>
                <w:b/>
                <w:kern w:val="0"/>
                <w:sz w:val="24"/>
                <w:szCs w:val="24"/>
                <w:lang w:eastAsia="zh-CN"/>
              </w:rPr>
            </w:pPr>
            <w:r>
              <w:rPr>
                <w:rFonts w:hint="eastAsia" w:ascii="Times New Roman" w:hAnsi="Times New Roman" w:cs="Times New Roman" w:eastAsiaTheme="minorEastAsia"/>
                <w:b/>
                <w:kern w:val="0"/>
                <w:sz w:val="24"/>
                <w:szCs w:val="24"/>
                <w:lang w:eastAsia="zh-CN"/>
              </w:rPr>
              <w:drawing>
                <wp:inline distT="0" distB="0" distL="114300" distR="114300">
                  <wp:extent cx="5895975" cy="2142490"/>
                  <wp:effectExtent l="0" t="0" r="9525" b="10160"/>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47"/>
                          <a:stretch>
                            <a:fillRect/>
                          </a:stretch>
                        </pic:blipFill>
                        <pic:spPr>
                          <a:xfrm>
                            <a:off x="0" y="0"/>
                            <a:ext cx="5895975" cy="2142490"/>
                          </a:xfrm>
                          <a:prstGeom prst="rect">
                            <a:avLst/>
                          </a:prstGeom>
                        </pic:spPr>
                      </pic:pic>
                    </a:graphicData>
                  </a:graphic>
                </wp:inline>
              </w:drawing>
            </w:r>
          </w:p>
          <w:p>
            <w:pPr>
              <w:autoSpaceDE w:val="0"/>
              <w:autoSpaceDN w:val="0"/>
              <w:adjustRightInd w:val="0"/>
              <w:snapToGrid w:val="0"/>
              <w:spacing w:line="360" w:lineRule="auto"/>
              <w:jc w:val="center"/>
              <w:rPr>
                <w:rFonts w:hint="default" w:ascii="Times New Roman" w:hAnsi="Times New Roman" w:cs="Times New Roman" w:eastAsiaTheme="minorEastAsia"/>
                <w:b/>
                <w:kern w:val="0"/>
                <w:sz w:val="24"/>
                <w:szCs w:val="24"/>
                <w:lang w:val="en-US" w:eastAsia="zh-CN"/>
              </w:rPr>
            </w:pPr>
            <w:r>
              <w:rPr>
                <w:rFonts w:hint="eastAsia" w:ascii="Times New Roman" w:hAnsi="Times New Roman" w:cs="Times New Roman"/>
                <w:b/>
                <w:kern w:val="0"/>
                <w:sz w:val="21"/>
                <w:szCs w:val="21"/>
                <w:lang w:val="en-US" w:eastAsia="zh-CN"/>
              </w:rPr>
              <w:t>图2-5  代表性渡槽典型设计图</w:t>
            </w:r>
          </w:p>
          <w:p>
            <w:pPr>
              <w:numPr>
                <w:ilvl w:val="0"/>
                <w:numId w:val="0"/>
              </w:numPr>
              <w:autoSpaceDE w:val="0"/>
              <w:autoSpaceDN w:val="0"/>
              <w:adjustRightInd w:val="0"/>
              <w:snapToGrid w:val="0"/>
              <w:spacing w:line="360" w:lineRule="auto"/>
              <w:ind w:firstLine="482" w:firstLineChars="200"/>
              <w:rPr>
                <w:rFonts w:hint="default" w:ascii="Times New Roman" w:hAnsi="Times New Roman" w:cs="Times New Roman"/>
                <w:b/>
                <w:bCs/>
                <w:kern w:val="0"/>
                <w:sz w:val="24"/>
                <w:lang w:val="en-US" w:eastAsia="zh-CN"/>
              </w:rPr>
            </w:pPr>
            <w:r>
              <w:rPr>
                <w:rFonts w:hint="eastAsia" w:ascii="Times New Roman" w:hAnsi="Times New Roman" w:cs="Times New Roman"/>
                <w:b/>
                <w:bCs/>
                <w:kern w:val="0"/>
                <w:sz w:val="24"/>
                <w:lang w:val="en-US" w:eastAsia="zh-CN"/>
              </w:rPr>
              <w:t>5、一体化闸门设计</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（1）工程等级</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根据《灌溉与排水工程设计标准》（GB50288-2018），灌区渠（管）道引水流量小于5m</w:t>
            </w:r>
            <w:r>
              <w:rPr>
                <w:rFonts w:hint="eastAsia" w:ascii="Times New Roman" w:hAnsi="Times New Roman" w:cs="Times New Roman"/>
                <w:b w:val="0"/>
                <w:bCs w:val="0"/>
                <w:kern w:val="0"/>
                <w:sz w:val="24"/>
                <w:vertAlign w:val="superscript"/>
                <w:lang w:val="en-US" w:eastAsia="zh-CN"/>
              </w:rPr>
              <w:t>3</w:t>
            </w:r>
            <w:r>
              <w:rPr>
                <w:rFonts w:hint="eastAsia" w:ascii="Times New Roman" w:hAnsi="Times New Roman" w:cs="Times New Roman"/>
                <w:b w:val="0"/>
                <w:bCs w:val="0"/>
                <w:kern w:val="0"/>
                <w:sz w:val="24"/>
                <w:lang w:val="en-US" w:eastAsia="zh-CN"/>
              </w:rPr>
              <w:t>/s，水闸过水流量小于5m</w:t>
            </w:r>
            <w:r>
              <w:rPr>
                <w:rFonts w:hint="eastAsia" w:ascii="Times New Roman" w:hAnsi="Times New Roman" w:cs="Times New Roman"/>
                <w:b w:val="0"/>
                <w:bCs w:val="0"/>
                <w:kern w:val="0"/>
                <w:sz w:val="24"/>
                <w:vertAlign w:val="superscript"/>
                <w:lang w:val="en-US" w:eastAsia="zh-CN"/>
              </w:rPr>
              <w:t>3</w:t>
            </w:r>
            <w:r>
              <w:rPr>
                <w:rFonts w:hint="eastAsia" w:ascii="Times New Roman" w:hAnsi="Times New Roman" w:cs="Times New Roman"/>
                <w:b w:val="0"/>
                <w:bCs w:val="0"/>
                <w:kern w:val="0"/>
                <w:sz w:val="24"/>
                <w:lang w:val="en-US" w:eastAsia="zh-CN"/>
              </w:rPr>
              <w:t>/s，因此，项目区渠道上的水闸等级为5级。</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（2）闸门型式选择</w:t>
            </w:r>
          </w:p>
          <w:p>
            <w:pPr>
              <w:numPr>
                <w:ilvl w:val="0"/>
                <w:numId w:val="0"/>
              </w:numPr>
              <w:autoSpaceDE w:val="0"/>
              <w:autoSpaceDN w:val="0"/>
              <w:adjustRightInd w:val="0"/>
              <w:snapToGrid w:val="0"/>
              <w:spacing w:line="360" w:lineRule="auto"/>
              <w:ind w:firstLine="480" w:firstLineChars="200"/>
              <w:rPr>
                <w:rFonts w:hint="default"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易于安装、无上部结构的小尺寸一体化闸门，一体化闸门可远程或现地控制，用于控制流量进去支渠的垂直开度式闸门。</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（3）闸门布置</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lang w:val="en-US" w:eastAsia="zh-CN"/>
              </w:rPr>
            </w:pPr>
            <w:r>
              <w:rPr>
                <w:rFonts w:hint="eastAsia" w:ascii="Times New Roman" w:hAnsi="Times New Roman" w:cs="Times New Roman"/>
                <w:b w:val="0"/>
                <w:bCs w:val="0"/>
                <w:kern w:val="0"/>
                <w:sz w:val="24"/>
                <w:lang w:val="en-US" w:eastAsia="zh-CN"/>
              </w:rPr>
              <w:t>在各灌区干渠上设置38处节制闸，在支渠渠首位置布置分水控制闸共27处。</w:t>
            </w:r>
          </w:p>
          <w:p>
            <w:pPr>
              <w:numPr>
                <w:ilvl w:val="0"/>
                <w:numId w:val="0"/>
              </w:numPr>
              <w:autoSpaceDE w:val="0"/>
              <w:autoSpaceDN w:val="0"/>
              <w:adjustRightInd w:val="0"/>
              <w:snapToGrid w:val="0"/>
              <w:spacing w:line="240" w:lineRule="auto"/>
              <w:jc w:val="center"/>
              <w:rPr>
                <w:rFonts w:hint="eastAsia" w:ascii="Times New Roman" w:hAnsi="Times New Roman" w:cs="Times New Roman"/>
                <w:b w:val="0"/>
                <w:bCs w:val="0"/>
                <w:kern w:val="0"/>
                <w:sz w:val="24"/>
                <w:lang w:val="en-US" w:eastAsia="zh-CN"/>
              </w:rPr>
            </w:pPr>
            <w:r>
              <w:rPr>
                <w:rFonts w:hint="eastAsia" w:ascii="Times New Roman" w:hAnsi="Times New Roman" w:cs="Times New Roman"/>
                <w:b/>
                <w:bCs/>
                <w:kern w:val="0"/>
                <w:sz w:val="21"/>
                <w:szCs w:val="21"/>
                <w:lang w:val="en-US" w:eastAsia="zh-CN"/>
              </w:rPr>
              <w:t>表2-7  水闸布置统计表</w:t>
            </w:r>
          </w:p>
          <w:tbl>
            <w:tblPr>
              <w:tblStyle w:val="26"/>
              <w:tblW w:w="49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568"/>
              <w:gridCol w:w="2155"/>
              <w:gridCol w:w="2269"/>
              <w:gridCol w:w="1863"/>
              <w:gridCol w:w="1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6" w:hRule="atLeast"/>
                <w:tblHeader/>
                <w:jc w:val="center"/>
              </w:trPr>
              <w:tc>
                <w:tcPr>
                  <w:tcW w:w="86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rPr>
                  </w:pPr>
                  <w:r>
                    <w:rPr>
                      <w:rFonts w:hint="default" w:ascii="Times New Roman" w:hAnsi="Times New Roman" w:eastAsia="宋体" w:cs="Times New Roman"/>
                      <w:b/>
                      <w:bCs/>
                      <w:color w:val="auto"/>
                      <w:kern w:val="0"/>
                      <w:sz w:val="21"/>
                      <w:szCs w:val="22"/>
                      <w:lang w:val="en-US" w:eastAsia="zh-CN"/>
                    </w:rPr>
                    <w:t>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rPr>
                  </w:pPr>
                  <w:r>
                    <w:rPr>
                      <w:rFonts w:hint="default" w:ascii="Times New Roman" w:hAnsi="Times New Roman" w:eastAsia="宋体" w:cs="Times New Roman"/>
                      <w:b/>
                      <w:bCs/>
                      <w:color w:val="auto"/>
                      <w:kern w:val="0"/>
                      <w:sz w:val="21"/>
                      <w:szCs w:val="22"/>
                      <w:lang w:val="en-US" w:eastAsia="zh-CN"/>
                    </w:rPr>
                    <w:t>渠道名称</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rPr>
                  </w:pPr>
                  <w:r>
                    <w:rPr>
                      <w:rFonts w:hint="default" w:ascii="Times New Roman" w:hAnsi="Times New Roman" w:eastAsia="宋体" w:cs="Times New Roman"/>
                      <w:b/>
                      <w:bCs/>
                      <w:color w:val="auto"/>
                      <w:kern w:val="0"/>
                      <w:sz w:val="21"/>
                      <w:szCs w:val="22"/>
                      <w:lang w:val="en-US" w:eastAsia="zh-CN"/>
                    </w:rPr>
                    <w:t>位置</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rPr>
                  </w:pPr>
                  <w:r>
                    <w:rPr>
                      <w:rFonts w:hint="default" w:ascii="Times New Roman" w:hAnsi="Times New Roman" w:eastAsia="宋体" w:cs="Times New Roman"/>
                      <w:b/>
                      <w:bCs/>
                      <w:color w:val="auto"/>
                      <w:kern w:val="0"/>
                      <w:sz w:val="21"/>
                      <w:szCs w:val="22"/>
                      <w:lang w:val="en-US" w:eastAsia="zh-CN"/>
                    </w:rPr>
                    <w:t>闸门尺寸</w:t>
                  </w:r>
                </w:p>
              </w:tc>
              <w:tc>
                <w:tcPr>
                  <w:tcW w:w="687" w:type="pct"/>
                  <w:tcBorders>
                    <w:tl2br w:val="nil"/>
                    <w:tr2bl w:val="nil"/>
                  </w:tcBorders>
                  <w:shd w:val="clear" w:color="auto" w:fill="auto"/>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rPr>
                  </w:pPr>
                  <w:r>
                    <w:rPr>
                      <w:rFonts w:hint="default" w:ascii="Times New Roman" w:hAnsi="Times New Roman" w:eastAsia="宋体" w:cs="Times New Roman"/>
                      <w:b/>
                      <w:bCs/>
                      <w:color w:val="auto"/>
                      <w:kern w:val="0"/>
                      <w:sz w:val="21"/>
                      <w:szCs w:val="22"/>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秧田湾水库灌区</w:t>
                  </w:r>
                </w:p>
              </w:tc>
              <w:tc>
                <w:tcPr>
                  <w:tcW w:w="118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0.6m×0.6m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右干0+750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0.6m×0.6m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右干1+226</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0.55m×0.3m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右干2+126</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0.55m×0.3m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0.45m×0.45m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提灌渠道</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库尾渠道</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0.8m×0.8m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右4支渠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0.55m×0.3m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观音岩水库灌区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0.8m×0.8m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0.65m×0.65m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云顶水库灌区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0.7m×0.7m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小沟河水库灌区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马1支渠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M①支0+003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马2支渠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M①支0+003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曹家沟水库灌区</w:t>
                  </w:r>
                </w:p>
              </w:tc>
              <w:tc>
                <w:tcPr>
                  <w:tcW w:w="118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0.7m×0.8m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主干0+581.00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0.7m×0.8m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2#支渠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支②0+003.00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0.4m×0.4m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3#支渠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支③0+003.00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漆树沟水库灌区</w:t>
                  </w:r>
                </w:p>
              </w:tc>
              <w:tc>
                <w:tcPr>
                  <w:tcW w:w="118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主干1+663.00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主干1+882.00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主干2+077.00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2#支渠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支②0+003.00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5#支渠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支⑤0+003.00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刘家坪水库灌区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左干0+197</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左干1+342</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左干1+756</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左干1+888</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右干0+716</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右干0+822</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1.0m×1.0m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左1支渠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左1支0+003.00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左2支渠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左2支0+003.00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左3支渠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左3支0+003.00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左4支渠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左4支0+003.00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右1支渠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右1支0+003.00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右3支渠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右3支0+003.00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右6支渠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右6支0+003.00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烂田湾水库灌区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左1支渠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左1支0+003.00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0.3m×0.3m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860"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后头湾水库灌区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长征水库灌区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右干0+005</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0.4m×0.4m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左干0+005</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0.7m×0.5m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右2支渠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右2支0+003.00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0.4m×0.4m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南六水库灌区</w:t>
                  </w:r>
                </w:p>
              </w:tc>
              <w:tc>
                <w:tcPr>
                  <w:tcW w:w="118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左干0+003</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左干0+621</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左干1+370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左干1+409</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0.4m×0.7m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左1支渠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左1支0+000.00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0.3m×0.3m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左2支渠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左2支0+000.00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0.3m×0.3m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左3支渠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左3支0+000.00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0.3m×0.3m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左4支渠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左4支0+000.00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左5支渠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左5支0+000.00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九军坪水库灌区</w:t>
                  </w: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主干0+003.00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1.2m×1.2m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左干0+003.00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阴洞岩水库灌区</w:t>
                  </w:r>
                </w:p>
              </w:tc>
              <w:tc>
                <w:tcPr>
                  <w:tcW w:w="118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右干0+186.00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0.7m×0.7m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右干1+381.00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0.7m×0.7m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节制闸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右1支渠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右1支0+003.00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右3支渠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右3支0+003.00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0.7m×0.7m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右4支渠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右4支0+003.00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0.5m×0.5m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右3-1支渠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右3'支0+000.00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0.6m×0.6m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860"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p>
              </w:tc>
              <w:tc>
                <w:tcPr>
                  <w:tcW w:w="118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右3-2支渠</w:t>
                  </w:r>
                </w:p>
              </w:tc>
              <w:tc>
                <w:tcPr>
                  <w:tcW w:w="124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右3''支0+000.00</w:t>
                  </w:r>
                </w:p>
              </w:tc>
              <w:tc>
                <w:tcPr>
                  <w:tcW w:w="1022"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0.6m×0.6m</w:t>
                  </w:r>
                </w:p>
              </w:tc>
              <w:tc>
                <w:tcPr>
                  <w:tcW w:w="68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rPr>
                  </w:pPr>
                  <w:r>
                    <w:rPr>
                      <w:rFonts w:hint="default" w:ascii="Times New Roman" w:hAnsi="Times New Roman" w:eastAsia="宋体" w:cs="Times New Roman"/>
                      <w:color w:val="auto"/>
                      <w:kern w:val="0"/>
                      <w:sz w:val="21"/>
                      <w:szCs w:val="22"/>
                      <w:lang w:val="en-US" w:eastAsia="zh-CN"/>
                    </w:rPr>
                    <w:t>分水闸</w:t>
                  </w:r>
                </w:p>
              </w:tc>
            </w:tr>
          </w:tbl>
          <w:p>
            <w:pPr>
              <w:numPr>
                <w:ilvl w:val="0"/>
                <w:numId w:val="0"/>
              </w:numPr>
              <w:autoSpaceDE w:val="0"/>
              <w:autoSpaceDN w:val="0"/>
              <w:adjustRightInd w:val="0"/>
              <w:snapToGrid w:val="0"/>
              <w:spacing w:line="240" w:lineRule="auto"/>
              <w:jc w:val="center"/>
              <w:rPr>
                <w:rFonts w:hint="eastAsia" w:ascii="Times New Roman" w:hAnsi="Times New Roman" w:cs="Times New Roman"/>
                <w:b w:val="0"/>
                <w:bCs w:val="0"/>
                <w:kern w:val="0"/>
                <w:sz w:val="24"/>
                <w:lang w:val="en-US" w:eastAsia="zh-CN"/>
              </w:rPr>
            </w:pPr>
          </w:p>
          <w:p>
            <w:pPr>
              <w:pStyle w:val="10"/>
              <w:spacing w:line="360" w:lineRule="auto"/>
              <w:ind w:firstLine="482" w:firstLineChars="200"/>
              <w:rPr>
                <w:rFonts w:hint="default" w:ascii="Times New Roman" w:hAnsi="Times New Roman" w:eastAsia="宋体" w:cs="Times New Roman"/>
                <w:b/>
                <w:bCs/>
                <w:kern w:val="0"/>
                <w:sz w:val="24"/>
                <w:lang w:val="en-US" w:eastAsia="zh-CN"/>
              </w:rPr>
            </w:pPr>
            <w:r>
              <w:rPr>
                <w:rFonts w:hint="default" w:ascii="Times New Roman" w:hAnsi="Times New Roman" w:eastAsia="宋体" w:cs="Times New Roman"/>
                <w:b/>
                <w:bCs/>
                <w:kern w:val="0"/>
                <w:sz w:val="24"/>
                <w:lang w:val="en-US" w:eastAsia="zh-CN"/>
              </w:rPr>
              <w:t>6、压力前池</w:t>
            </w:r>
          </w:p>
          <w:p>
            <w:pPr>
              <w:spacing w:line="360" w:lineRule="auto"/>
              <w:ind w:firstLine="480" w:firstLineChars="200"/>
              <w:rPr>
                <w:rFonts w:hint="default" w:ascii="Times New Roman" w:hAnsi="Times New Roman" w:eastAsia="宋体" w:cs="Times New Roman"/>
                <w:b w:val="0"/>
                <w:bCs w:val="0"/>
                <w:kern w:val="0"/>
                <w:sz w:val="24"/>
                <w:lang w:val="en-US" w:eastAsia="zh-CN"/>
              </w:rPr>
            </w:pPr>
            <w:r>
              <w:rPr>
                <w:rFonts w:hint="default" w:ascii="Times New Roman" w:hAnsi="Times New Roman" w:eastAsia="宋体" w:cs="Times New Roman"/>
                <w:b w:val="0"/>
                <w:bCs w:val="0"/>
                <w:kern w:val="0"/>
                <w:sz w:val="24"/>
                <w:lang w:val="en-US" w:eastAsia="zh-CN"/>
              </w:rPr>
              <w:t>在各灌区干支管渠道输水至管道处共设置21处压力前池。</w:t>
            </w:r>
          </w:p>
          <w:p>
            <w:pPr>
              <w:spacing w:line="360" w:lineRule="auto"/>
              <w:ind w:firstLine="480" w:firstLineChars="200"/>
              <w:rPr>
                <w:rFonts w:hint="eastAsia" w:ascii="Times New Roman" w:hAnsi="Times New Roman" w:eastAsia="宋体" w:cs="Times New Roman"/>
                <w:b w:val="0"/>
                <w:bCs w:val="0"/>
                <w:kern w:val="0"/>
                <w:sz w:val="24"/>
                <w:lang w:val="en-US" w:eastAsia="zh-CN"/>
              </w:rPr>
            </w:pPr>
            <w:r>
              <w:rPr>
                <w:rFonts w:hint="eastAsia" w:ascii="Times New Roman" w:hAnsi="Times New Roman" w:eastAsia="宋体" w:cs="Times New Roman"/>
                <w:b w:val="0"/>
                <w:bCs w:val="0"/>
                <w:kern w:val="0"/>
                <w:sz w:val="24"/>
                <w:lang w:val="en-US" w:eastAsia="zh-CN"/>
              </w:rPr>
              <w:t>（1）压力前池结构型式</w:t>
            </w:r>
          </w:p>
          <w:p>
            <w:pPr>
              <w:spacing w:line="360" w:lineRule="auto"/>
              <w:ind w:firstLine="480" w:firstLineChars="200"/>
              <w:rPr>
                <w:rFonts w:hint="eastAsia" w:ascii="Times New Roman" w:hAnsi="Times New Roman" w:eastAsia="宋体" w:cs="Times New Roman"/>
                <w:b w:val="0"/>
                <w:bCs w:val="0"/>
                <w:kern w:val="0"/>
                <w:sz w:val="24"/>
                <w:lang w:val="en-US" w:eastAsia="zh-CN"/>
              </w:rPr>
            </w:pPr>
            <w:r>
              <w:rPr>
                <w:rFonts w:hint="eastAsia" w:ascii="Times New Roman" w:hAnsi="Times New Roman" w:eastAsia="宋体" w:cs="Times New Roman"/>
                <w:b w:val="0"/>
                <w:bCs w:val="0"/>
                <w:kern w:val="0"/>
                <w:sz w:val="24"/>
                <w:lang w:val="en-US" w:eastAsia="zh-CN"/>
              </w:rPr>
              <w:t>采用矩形结构压力前池。</w:t>
            </w:r>
          </w:p>
          <w:p>
            <w:pPr>
              <w:spacing w:line="360" w:lineRule="auto"/>
              <w:ind w:firstLine="480" w:firstLineChars="200"/>
              <w:rPr>
                <w:rFonts w:hint="eastAsia" w:ascii="Times New Roman" w:hAnsi="Times New Roman" w:eastAsia="宋体" w:cs="Times New Roman"/>
                <w:b w:val="0"/>
                <w:bCs w:val="0"/>
                <w:kern w:val="0"/>
                <w:sz w:val="24"/>
                <w:lang w:val="en-US" w:eastAsia="zh-CN"/>
              </w:rPr>
            </w:pPr>
            <w:r>
              <w:rPr>
                <w:rFonts w:hint="eastAsia" w:ascii="Times New Roman" w:hAnsi="Times New Roman" w:eastAsia="宋体" w:cs="Times New Roman"/>
                <w:b w:val="0"/>
                <w:bCs w:val="0"/>
                <w:kern w:val="0"/>
                <w:sz w:val="24"/>
                <w:lang w:val="en-US" w:eastAsia="zh-CN"/>
              </w:rPr>
              <w:t>（2）压力前池结构尺寸</w:t>
            </w:r>
          </w:p>
          <w:p>
            <w:pPr>
              <w:spacing w:line="360" w:lineRule="auto"/>
              <w:ind w:firstLine="480" w:firstLineChars="200"/>
              <w:rPr>
                <w:rFonts w:hint="eastAsia" w:ascii="Times New Roman" w:hAnsi="Times New Roman" w:eastAsia="宋体" w:cs="Times New Roman"/>
                <w:b w:val="0"/>
                <w:bCs w:val="0"/>
                <w:kern w:val="0"/>
                <w:sz w:val="24"/>
                <w:lang w:val="en-US" w:eastAsia="zh-CN"/>
              </w:rPr>
            </w:pPr>
            <w:r>
              <w:rPr>
                <w:rFonts w:hint="eastAsia" w:ascii="Times New Roman" w:hAnsi="Times New Roman" w:eastAsia="宋体" w:cs="Times New Roman"/>
                <w:b w:val="0"/>
                <w:bCs w:val="0"/>
                <w:kern w:val="0"/>
                <w:sz w:val="24"/>
                <w:lang w:val="en-US" w:eastAsia="zh-CN"/>
              </w:rPr>
              <w:t>为保证管道有压运行，本次设计根据各灌区管道布置前池容积为10m</w:t>
            </w:r>
            <w:r>
              <w:rPr>
                <w:rFonts w:hint="eastAsia" w:ascii="Times New Roman" w:hAnsi="Times New Roman" w:eastAsia="宋体" w:cs="Times New Roman"/>
                <w:b w:val="0"/>
                <w:bCs w:val="0"/>
                <w:kern w:val="0"/>
                <w:sz w:val="24"/>
                <w:vertAlign w:val="superscript"/>
                <w:lang w:val="en-US" w:eastAsia="zh-CN"/>
              </w:rPr>
              <w:t>3</w:t>
            </w:r>
            <w:r>
              <w:rPr>
                <w:rFonts w:hint="eastAsia" w:ascii="Times New Roman" w:hAnsi="Times New Roman" w:eastAsia="宋体" w:cs="Times New Roman"/>
                <w:b w:val="0"/>
                <w:bCs w:val="0"/>
                <w:kern w:val="0"/>
                <w:sz w:val="24"/>
                <w:lang w:val="en-US" w:eastAsia="zh-CN"/>
              </w:rPr>
              <w:t>，型式为矩形钢筋砼型式，净空尺寸为2m×2m，池深2.5m。池底板和边墙均厚0.3m，为C25钢筋砼结构。进口设1.0m宽渠道与现状渠道连接，并在分水处设置拦污栅。前池侧面设DN315PE溢流管，底部设DN160PVC-U冲砂管。压力前池出口设置控制闸阀和流量计量装置。压力前池回填采用开挖的土石方量，底部采用人工分层夯实。</w:t>
            </w:r>
          </w:p>
          <w:p>
            <w:pPr>
              <w:spacing w:line="240" w:lineRule="auto"/>
              <w:jc w:val="center"/>
              <w:rPr>
                <w:rFonts w:hint="eastAsia" w:ascii="Times New Roman" w:hAnsi="Times New Roman" w:cs="Times New Roman"/>
                <w:b/>
                <w:bCs/>
                <w:kern w:val="0"/>
                <w:sz w:val="21"/>
                <w:szCs w:val="21"/>
                <w:lang w:val="en-US" w:eastAsia="zh-CN"/>
              </w:rPr>
            </w:pPr>
          </w:p>
          <w:p>
            <w:pPr>
              <w:spacing w:line="240" w:lineRule="auto"/>
              <w:jc w:val="center"/>
              <w:rPr>
                <w:rFonts w:hint="eastAsia" w:ascii="Times New Roman" w:hAnsi="Times New Roman" w:cs="Times New Roman"/>
                <w:b/>
                <w:bCs/>
                <w:kern w:val="0"/>
                <w:sz w:val="21"/>
                <w:szCs w:val="21"/>
                <w:lang w:val="en-US" w:eastAsia="zh-CN"/>
              </w:rPr>
            </w:pPr>
          </w:p>
          <w:p>
            <w:pPr>
              <w:spacing w:line="240" w:lineRule="auto"/>
              <w:jc w:val="center"/>
              <w:rPr>
                <w:rFonts w:hint="eastAsia" w:ascii="Times New Roman" w:hAnsi="Times New Roman" w:cs="Times New Roman"/>
                <w:b/>
                <w:bCs/>
                <w:kern w:val="0"/>
                <w:sz w:val="21"/>
                <w:szCs w:val="21"/>
                <w:lang w:val="en-US" w:eastAsia="zh-CN"/>
              </w:rPr>
            </w:pPr>
          </w:p>
          <w:p>
            <w:pPr>
              <w:spacing w:line="240" w:lineRule="auto"/>
              <w:jc w:val="center"/>
              <w:rPr>
                <w:rFonts w:hint="eastAsia" w:ascii="Times New Roman" w:hAnsi="Times New Roman" w:eastAsia="宋体" w:cs="Times New Roman"/>
                <w:b w:val="0"/>
                <w:bCs w:val="0"/>
                <w:kern w:val="0"/>
                <w:sz w:val="24"/>
                <w:lang w:val="en-US" w:eastAsia="zh-CN"/>
              </w:rPr>
            </w:pPr>
            <w:r>
              <w:rPr>
                <w:rFonts w:hint="eastAsia" w:ascii="Times New Roman" w:hAnsi="Times New Roman" w:cs="Times New Roman"/>
                <w:b/>
                <w:bCs/>
                <w:kern w:val="0"/>
                <w:sz w:val="21"/>
                <w:szCs w:val="21"/>
                <w:lang w:val="en-US" w:eastAsia="zh-CN"/>
              </w:rPr>
              <w:t>表2-8   各灌溉区压力前池选择规模汇总表</w:t>
            </w:r>
          </w:p>
          <w:tbl>
            <w:tblPr>
              <w:tblStyle w:val="26"/>
              <w:tblW w:w="4999"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63"/>
              <w:gridCol w:w="2850"/>
              <w:gridCol w:w="2055"/>
              <w:gridCol w:w="1335"/>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blHeader/>
              </w:trPr>
              <w:tc>
                <w:tcPr>
                  <w:tcW w:w="100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lang w:val="en-US" w:eastAsia="zh-CN"/>
                    </w:rPr>
                  </w:pPr>
                  <w:r>
                    <w:rPr>
                      <w:rFonts w:hint="default" w:ascii="Times New Roman" w:hAnsi="Times New Roman" w:eastAsia="宋体" w:cs="Times New Roman"/>
                      <w:b/>
                      <w:bCs/>
                      <w:color w:val="auto"/>
                      <w:kern w:val="0"/>
                      <w:sz w:val="21"/>
                      <w:szCs w:val="22"/>
                      <w:lang w:val="en-US" w:eastAsia="zh-CN"/>
                    </w:rPr>
                    <w:t>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lang w:val="en-US" w:eastAsia="zh-CN"/>
                    </w:rPr>
                  </w:pPr>
                  <w:r>
                    <w:rPr>
                      <w:rFonts w:hint="default" w:ascii="Times New Roman" w:hAnsi="Times New Roman" w:eastAsia="宋体" w:cs="Times New Roman"/>
                      <w:b/>
                      <w:bCs/>
                      <w:color w:val="auto"/>
                      <w:kern w:val="0"/>
                      <w:sz w:val="21"/>
                      <w:szCs w:val="22"/>
                      <w:lang w:val="en-US" w:eastAsia="zh-CN"/>
                    </w:rPr>
                    <w:t>管道名称</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lang w:val="en-US" w:eastAsia="zh-CN"/>
                    </w:rPr>
                  </w:pPr>
                  <w:r>
                    <w:rPr>
                      <w:rFonts w:hint="default" w:ascii="Times New Roman" w:hAnsi="Times New Roman" w:eastAsia="宋体" w:cs="Times New Roman"/>
                      <w:b/>
                      <w:bCs/>
                      <w:color w:val="auto"/>
                      <w:kern w:val="0"/>
                      <w:sz w:val="21"/>
                      <w:szCs w:val="22"/>
                      <w:lang w:val="en-US" w:eastAsia="zh-CN"/>
                    </w:rPr>
                    <w:t>位置</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lang w:val="en-US" w:eastAsia="zh-CN"/>
                    </w:rPr>
                  </w:pPr>
                  <w:r>
                    <w:rPr>
                      <w:rFonts w:hint="default" w:ascii="Times New Roman" w:hAnsi="Times New Roman" w:eastAsia="宋体" w:cs="Times New Roman"/>
                      <w:b/>
                      <w:bCs/>
                      <w:color w:val="auto"/>
                      <w:kern w:val="0"/>
                      <w:sz w:val="21"/>
                      <w:szCs w:val="22"/>
                      <w:lang w:val="en-US" w:eastAsia="zh-CN"/>
                    </w:rPr>
                    <w:t>流量（m</w:t>
                  </w:r>
                  <w:r>
                    <w:rPr>
                      <w:rFonts w:hint="default" w:ascii="Times New Roman" w:hAnsi="Times New Roman" w:eastAsia="宋体" w:cs="Times New Roman"/>
                      <w:b/>
                      <w:bCs/>
                      <w:color w:val="auto"/>
                      <w:kern w:val="0"/>
                      <w:sz w:val="21"/>
                      <w:szCs w:val="22"/>
                      <w:vertAlign w:val="superscript"/>
                      <w:lang w:val="en-US" w:eastAsia="zh-CN"/>
                    </w:rPr>
                    <w:t>3</w:t>
                  </w:r>
                  <w:r>
                    <w:rPr>
                      <w:rFonts w:hint="default" w:ascii="Times New Roman" w:hAnsi="Times New Roman" w:eastAsia="宋体" w:cs="Times New Roman"/>
                      <w:b/>
                      <w:bCs/>
                      <w:color w:val="auto"/>
                      <w:kern w:val="0"/>
                      <w:sz w:val="21"/>
                      <w:szCs w:val="22"/>
                      <w:lang w:val="en-US" w:eastAsia="zh-CN"/>
                    </w:rPr>
                    <w:t>/s）</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b/>
                      <w:bCs/>
                      <w:color w:val="auto"/>
                      <w:kern w:val="0"/>
                      <w:sz w:val="21"/>
                      <w:szCs w:val="22"/>
                      <w:lang w:val="en-US" w:eastAsia="zh-CN"/>
                    </w:rPr>
                  </w:pPr>
                  <w:r>
                    <w:rPr>
                      <w:rFonts w:hint="default" w:ascii="Times New Roman" w:hAnsi="Times New Roman" w:eastAsia="宋体" w:cs="Times New Roman"/>
                      <w:b/>
                      <w:bCs/>
                      <w:color w:val="auto"/>
                      <w:kern w:val="0"/>
                      <w:sz w:val="21"/>
                      <w:szCs w:val="22"/>
                      <w:lang w:val="en-US" w:eastAsia="zh-CN"/>
                    </w:rPr>
                    <w:t>压力前池规模（m</w:t>
                  </w:r>
                  <w:r>
                    <w:rPr>
                      <w:rFonts w:hint="default" w:ascii="Times New Roman" w:hAnsi="Times New Roman" w:eastAsia="宋体" w:cs="Times New Roman"/>
                      <w:b/>
                      <w:bCs/>
                      <w:color w:val="auto"/>
                      <w:kern w:val="0"/>
                      <w:sz w:val="21"/>
                      <w:szCs w:val="22"/>
                      <w:vertAlign w:val="superscript"/>
                      <w:lang w:val="en-US" w:eastAsia="zh-CN"/>
                    </w:rPr>
                    <w:t>3</w:t>
                  </w:r>
                  <w:r>
                    <w:rPr>
                      <w:rFonts w:hint="default" w:ascii="Times New Roman" w:hAnsi="Times New Roman" w:eastAsia="宋体" w:cs="Times New Roman"/>
                      <w:b/>
                      <w:bCs/>
                      <w:color w:val="auto"/>
                      <w:kern w:val="0"/>
                      <w:sz w:val="21"/>
                      <w:szCs w:val="22"/>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秧田湾水库灌区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右2支管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右2支0+000.00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0.004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右3支管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右3支0+000.00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0.004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观音岩水库灌区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李家咀提灌渠道中间段管道</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提一0+197.00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0.051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云顶水库灌区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主干管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主干0+359.96</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0.027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小沟河水库灌区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马2支渠新建管道</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M②支0+247.57</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0.018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曹家沟水库灌区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支①0+000.00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0.005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漆树沟水库灌区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支①0+000.00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0.003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3支管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支③0+000.00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0.009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4支管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支④0+000.00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0.003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刘家坪水库灌区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右2支管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右2支0+000.00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0.004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右4支管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右4支0+000.00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0.010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右5支管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右5支0+000.00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0.007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烂田湾水库灌区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右干管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右干0+000.00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0.005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左2支管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右2支0+000.00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0.010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后头湾水库灌区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新建管道</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管0+000.00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0.007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长征水库灌区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左干渠后接管道</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左支0+000.00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0.009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右1支管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右1支0+000.00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0.023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南六水库灌区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右干管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右干0+000.00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0.004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restar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阴洞岩水库灌区</w:t>
                  </w: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右1支渠后接管道</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右1支0+237.68</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0.005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右2支管</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右2支0+000.00</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0.009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vMerge w:val="continue"/>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p>
              </w:tc>
              <w:tc>
                <w:tcPr>
                  <w:tcW w:w="1535"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右干渠中间段管道</w:t>
                  </w:r>
                </w:p>
              </w:tc>
              <w:tc>
                <w:tcPr>
                  <w:tcW w:w="1107"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右干0+452.42</w:t>
                  </w:r>
                </w:p>
              </w:tc>
              <w:tc>
                <w:tcPr>
                  <w:tcW w:w="719"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 xml:space="preserve">0.036 </w:t>
                  </w:r>
                </w:p>
              </w:tc>
              <w:tc>
                <w:tcPr>
                  <w:tcW w:w="634" w:type="pct"/>
                  <w:tcBorders>
                    <w:tl2br w:val="nil"/>
                    <w:tr2bl w:val="nil"/>
                  </w:tcBorders>
                  <w:shd w:val="clear" w:color="auto" w:fill="auto"/>
                  <w:noWrap/>
                  <w:vAlign w:val="center"/>
                </w:tcPr>
                <w:p>
                  <w:pPr>
                    <w:widowControl/>
                    <w:spacing w:line="240" w:lineRule="exact"/>
                    <w:ind w:firstLine="0" w:firstLineChars="0"/>
                    <w:jc w:val="center"/>
                    <w:rPr>
                      <w:rFonts w:hint="default" w:ascii="Times New Roman" w:hAnsi="Times New Roman" w:eastAsia="宋体" w:cs="Times New Roman"/>
                      <w:color w:val="auto"/>
                      <w:kern w:val="0"/>
                      <w:sz w:val="21"/>
                      <w:szCs w:val="22"/>
                      <w:lang w:val="en-US" w:eastAsia="zh-CN"/>
                    </w:rPr>
                  </w:pPr>
                  <w:r>
                    <w:rPr>
                      <w:rFonts w:hint="default" w:ascii="Times New Roman" w:hAnsi="Times New Roman" w:eastAsia="宋体" w:cs="Times New Roman"/>
                      <w:color w:val="auto"/>
                      <w:kern w:val="0"/>
                      <w:sz w:val="21"/>
                      <w:szCs w:val="22"/>
                      <w:lang w:val="en-US" w:eastAsia="zh-CN"/>
                    </w:rPr>
                    <w:t>10</w:t>
                  </w:r>
                </w:p>
              </w:tc>
            </w:tr>
          </w:tbl>
          <w:p>
            <w:pPr>
              <w:autoSpaceDE w:val="0"/>
              <w:autoSpaceDN w:val="0"/>
              <w:adjustRightInd w:val="0"/>
              <w:snapToGrid w:val="0"/>
              <w:spacing w:line="360" w:lineRule="auto"/>
              <w:rPr>
                <w:rFonts w:ascii="Times New Roman" w:hAnsi="Times New Roman" w:cs="Times New Roman"/>
                <w:b/>
                <w:color w:val="000000" w:themeColor="text1"/>
                <w:kern w:val="0"/>
                <w:sz w:val="24"/>
                <w:szCs w:val="24"/>
                <w14:textFill>
                  <w14:solidFill>
                    <w14:schemeClr w14:val="tx1"/>
                  </w14:solidFill>
                </w14:textFill>
              </w:rPr>
            </w:pPr>
            <w:r>
              <w:rPr>
                <w:rFonts w:hint="eastAsia" w:ascii="Times New Roman" w:hAnsi="Times New Roman" w:cs="Times New Roman"/>
                <w:b/>
                <w:color w:val="000000" w:themeColor="text1"/>
                <w:kern w:val="0"/>
                <w:sz w:val="24"/>
                <w:szCs w:val="24"/>
                <w:lang w:val="en-US" w:eastAsia="zh-CN"/>
                <w14:textFill>
                  <w14:solidFill>
                    <w14:schemeClr w14:val="tx1"/>
                  </w14:solidFill>
                </w14:textFill>
              </w:rPr>
              <w:t>五</w:t>
            </w:r>
            <w:r>
              <w:rPr>
                <w:rFonts w:ascii="Times New Roman" w:hAnsi="Times New Roman" w:cs="Times New Roman"/>
                <w:b/>
                <w:color w:val="000000" w:themeColor="text1"/>
                <w:kern w:val="0"/>
                <w:sz w:val="24"/>
                <w:szCs w:val="24"/>
                <w14:textFill>
                  <w14:solidFill>
                    <w14:schemeClr w14:val="tx1"/>
                  </w14:solidFill>
                </w14:textFill>
              </w:rPr>
              <w:t>、工程机械设备</w:t>
            </w:r>
          </w:p>
          <w:p>
            <w:pPr>
              <w:autoSpaceDE w:val="0"/>
              <w:autoSpaceDN w:val="0"/>
              <w:adjustRightInd w:val="0"/>
              <w:snapToGrid w:val="0"/>
              <w:spacing w:line="360" w:lineRule="auto"/>
              <w:ind w:firstLine="480" w:firstLineChars="200"/>
              <w:rPr>
                <w:rFonts w:ascii="Times New Roman" w:hAnsi="Times New Roman" w:eastAsia="宋体" w:cs="Times New Roman"/>
                <w:b/>
                <w:bCs/>
                <w:color w:val="000000" w:themeColor="text1"/>
                <w:kern w:val="0"/>
                <w:szCs w:val="21"/>
                <w14:textFill>
                  <w14:solidFill>
                    <w14:schemeClr w14:val="tx1"/>
                  </w14:solidFill>
                </w14:textFill>
              </w:rPr>
            </w:pPr>
            <w:r>
              <w:rPr>
                <w:rFonts w:ascii="Times New Roman" w:hAnsi="Times New Roman" w:cs="Times New Roman"/>
                <w:color w:val="000000" w:themeColor="text1"/>
                <w:kern w:val="0"/>
                <w:sz w:val="24"/>
                <w:szCs w:val="24"/>
                <w14:textFill>
                  <w14:solidFill>
                    <w14:schemeClr w14:val="tx1"/>
                  </w14:solidFill>
                </w14:textFill>
              </w:rPr>
              <w:t>本项目</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实行分段施工，</w:t>
            </w:r>
            <w:r>
              <w:rPr>
                <w:rFonts w:ascii="Times New Roman" w:hAnsi="Times New Roman" w:cs="Times New Roman"/>
                <w:color w:val="000000" w:themeColor="text1"/>
                <w:kern w:val="0"/>
                <w:sz w:val="24"/>
                <w:szCs w:val="24"/>
                <w14:textFill>
                  <w14:solidFill>
                    <w14:schemeClr w14:val="tx1"/>
                  </w14:solidFill>
                </w14:textFill>
              </w:rPr>
              <w:t>建设所用的主要工程机械设备如下表所示。</w:t>
            </w:r>
          </w:p>
          <w:p>
            <w:pPr>
              <w:autoSpaceDE w:val="0"/>
              <w:autoSpaceDN w:val="0"/>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表2-1</w:t>
            </w:r>
            <w:r>
              <w:rPr>
                <w:rFonts w:hint="eastAsia" w:ascii="Times New Roman" w:hAnsi="Times New Roman" w:eastAsia="宋体" w:cs="Times New Roman"/>
                <w:b/>
                <w:bCs/>
                <w:kern w:val="0"/>
                <w:szCs w:val="21"/>
              </w:rPr>
              <w:t>0</w:t>
            </w:r>
            <w:r>
              <w:rPr>
                <w:rFonts w:ascii="Times New Roman" w:hAnsi="Times New Roman" w:eastAsia="宋体" w:cs="Times New Roman"/>
                <w:b/>
                <w:bCs/>
                <w:kern w:val="0"/>
                <w:szCs w:val="21"/>
              </w:rPr>
              <w:t xml:space="preserve">  主要工程机械设备</w:t>
            </w:r>
          </w:p>
          <w:tbl>
            <w:tblPr>
              <w:tblStyle w:val="92"/>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60"/>
              <w:gridCol w:w="2640"/>
              <w:gridCol w:w="2685"/>
              <w:gridCol w:w="1326"/>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jc w:val="center"/>
              </w:trPr>
              <w:tc>
                <w:tcPr>
                  <w:tcW w:w="1260" w:type="dxa"/>
                  <w:vAlign w:val="center"/>
                </w:tcPr>
                <w:p>
                  <w:pPr>
                    <w:jc w:val="center"/>
                    <w:rPr>
                      <w:rFonts w:hint="default" w:ascii="Times New Roman" w:hAnsi="Times New Roman" w:cs="Times New Roman"/>
                      <w:b/>
                      <w:bCs/>
                    </w:rPr>
                  </w:pPr>
                  <w:r>
                    <w:rPr>
                      <w:rFonts w:hint="default" w:ascii="Times New Roman" w:hAnsi="Times New Roman" w:cs="Times New Roman"/>
                      <w:b/>
                      <w:bCs/>
                    </w:rPr>
                    <w:t>序号</w:t>
                  </w:r>
                </w:p>
              </w:tc>
              <w:tc>
                <w:tcPr>
                  <w:tcW w:w="2640" w:type="dxa"/>
                  <w:vAlign w:val="center"/>
                </w:tcPr>
                <w:p>
                  <w:pPr>
                    <w:jc w:val="center"/>
                    <w:rPr>
                      <w:rFonts w:hint="default" w:ascii="Times New Roman" w:hAnsi="Times New Roman" w:cs="Times New Roman"/>
                      <w:b/>
                      <w:bCs/>
                    </w:rPr>
                  </w:pPr>
                  <w:r>
                    <w:rPr>
                      <w:rFonts w:hint="default" w:ascii="Times New Roman" w:hAnsi="Times New Roman" w:cs="Times New Roman"/>
                      <w:b/>
                      <w:bCs/>
                    </w:rPr>
                    <w:t>设备名称</w:t>
                  </w:r>
                </w:p>
              </w:tc>
              <w:tc>
                <w:tcPr>
                  <w:tcW w:w="2685" w:type="dxa"/>
                  <w:vAlign w:val="center"/>
                </w:tcPr>
                <w:p>
                  <w:pPr>
                    <w:jc w:val="center"/>
                    <w:rPr>
                      <w:rFonts w:hint="default" w:ascii="Times New Roman" w:hAnsi="Times New Roman" w:cs="Times New Roman"/>
                      <w:b/>
                      <w:bCs/>
                    </w:rPr>
                  </w:pPr>
                  <w:r>
                    <w:rPr>
                      <w:rFonts w:hint="default" w:ascii="Times New Roman" w:hAnsi="Times New Roman" w:cs="Times New Roman"/>
                      <w:b/>
                      <w:bCs/>
                    </w:rPr>
                    <w:t>规格型号</w:t>
                  </w:r>
                </w:p>
              </w:tc>
              <w:tc>
                <w:tcPr>
                  <w:tcW w:w="1326" w:type="dxa"/>
                  <w:vAlign w:val="center"/>
                </w:tcPr>
                <w:p>
                  <w:pPr>
                    <w:jc w:val="center"/>
                    <w:rPr>
                      <w:rFonts w:hint="default" w:ascii="Times New Roman" w:hAnsi="Times New Roman" w:cs="Times New Roman"/>
                      <w:b/>
                      <w:bCs/>
                    </w:rPr>
                  </w:pPr>
                  <w:r>
                    <w:rPr>
                      <w:rFonts w:hint="default" w:ascii="Times New Roman" w:hAnsi="Times New Roman" w:cs="Times New Roman"/>
                      <w:b/>
                      <w:bCs/>
                    </w:rPr>
                    <w:t>单位</w:t>
                  </w:r>
                </w:p>
              </w:tc>
              <w:tc>
                <w:tcPr>
                  <w:tcW w:w="1326" w:type="dxa"/>
                  <w:vAlign w:val="center"/>
                </w:tcPr>
                <w:p>
                  <w:pPr>
                    <w:jc w:val="center"/>
                    <w:rPr>
                      <w:rFonts w:hint="default" w:ascii="Times New Roman" w:hAnsi="Times New Roman" w:cs="Times New Roman"/>
                      <w:b/>
                      <w:bCs/>
                    </w:rPr>
                  </w:pPr>
                  <w:r>
                    <w:rPr>
                      <w:rFonts w:hint="default" w:ascii="Times New Roman" w:hAnsi="Times New Roman" w:cs="Times New Roman"/>
                      <w:b/>
                      <w:bCs/>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jc w:val="center"/>
              </w:trPr>
              <w:tc>
                <w:tcPr>
                  <w:tcW w:w="9237" w:type="dxa"/>
                  <w:gridSpan w:val="5"/>
                  <w:vAlign w:val="center"/>
                </w:tcPr>
                <w:p>
                  <w:pPr>
                    <w:jc w:val="center"/>
                    <w:rPr>
                      <w:rFonts w:hint="default" w:ascii="Times New Roman" w:hAnsi="Times New Roman" w:cs="Times New Roman"/>
                      <w:lang w:val="en-US" w:eastAsia="zh-CN"/>
                    </w:rPr>
                  </w:pPr>
                  <w:r>
                    <w:rPr>
                      <w:rFonts w:hint="default" w:ascii="Times New Roman" w:hAnsi="Times New Roman" w:cs="Times New Roman"/>
                      <w:lang w:val="en-US" w:eastAsia="zh-CN"/>
                    </w:rPr>
                    <w:t>运输机械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6"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1</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挖掘机</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0.6m</w:t>
                  </w:r>
                  <w:r>
                    <w:rPr>
                      <w:rFonts w:hint="default" w:ascii="Times New Roman" w:hAnsi="Times New Roman" w:cs="Times New Roman"/>
                      <w:vertAlign w:val="superscript"/>
                    </w:rPr>
                    <w:t>3</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6" w:hRule="atLeast"/>
                <w:jc w:val="center"/>
              </w:trPr>
              <w:tc>
                <w:tcPr>
                  <w:tcW w:w="1260" w:type="dxa"/>
                  <w:vAlign w:val="center"/>
                </w:tcPr>
                <w:p>
                  <w:pPr>
                    <w:jc w:val="center"/>
                    <w:rPr>
                      <w:rFonts w:hint="eastAsia" w:ascii="Times New Roman" w:hAnsi="Times New Roman" w:cs="Times New Roman" w:eastAsiaTheme="minorEastAsia"/>
                      <w:lang w:val="en-US" w:eastAsia="zh-CN"/>
                    </w:rPr>
                  </w:pPr>
                  <w:r>
                    <w:rPr>
                      <w:rFonts w:hint="eastAsia" w:ascii="Times New Roman" w:hAnsi="Times New Roman" w:cs="Times New Roman"/>
                      <w:lang w:val="en-US" w:eastAsia="zh-CN"/>
                    </w:rPr>
                    <w:t>2</w:t>
                  </w:r>
                </w:p>
              </w:tc>
              <w:tc>
                <w:tcPr>
                  <w:tcW w:w="2640" w:type="dxa"/>
                  <w:vAlign w:val="center"/>
                </w:tcPr>
                <w:p>
                  <w:pPr>
                    <w:jc w:val="center"/>
                    <w:rPr>
                      <w:rFonts w:hint="eastAsia" w:ascii="Times New Roman" w:hAnsi="Times New Roman" w:cs="Times New Roman" w:eastAsiaTheme="minorEastAsia"/>
                      <w:lang w:val="en-US" w:eastAsia="zh-CN"/>
                    </w:rPr>
                  </w:pPr>
                  <w:r>
                    <w:rPr>
                      <w:rFonts w:hint="eastAsia" w:ascii="Times New Roman" w:hAnsi="Times New Roman" w:cs="Times New Roman"/>
                      <w:lang w:val="en-US" w:eastAsia="zh-CN"/>
                    </w:rPr>
                    <w:t>推土机</w:t>
                  </w:r>
                </w:p>
              </w:tc>
              <w:tc>
                <w:tcPr>
                  <w:tcW w:w="2685"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74Kw</w:t>
                  </w:r>
                </w:p>
              </w:tc>
              <w:tc>
                <w:tcPr>
                  <w:tcW w:w="1326" w:type="dxa"/>
                  <w:vAlign w:val="center"/>
                </w:tcPr>
                <w:p>
                  <w:pPr>
                    <w:jc w:val="center"/>
                    <w:rPr>
                      <w:rFonts w:hint="eastAsia" w:ascii="Times New Roman" w:hAnsi="Times New Roman" w:cs="Times New Roman" w:eastAsiaTheme="minorEastAsia"/>
                      <w:lang w:val="en-US" w:eastAsia="zh-CN"/>
                    </w:rPr>
                  </w:pPr>
                  <w:r>
                    <w:rPr>
                      <w:rFonts w:hint="eastAsia" w:ascii="Times New Roman" w:hAnsi="Times New Roman" w:cs="Times New Roman"/>
                      <w:lang w:val="en-US" w:eastAsia="zh-CN"/>
                    </w:rPr>
                    <w:t>台</w:t>
                  </w:r>
                </w:p>
              </w:tc>
              <w:tc>
                <w:tcPr>
                  <w:tcW w:w="1326" w:type="dxa"/>
                  <w:vAlign w:val="center"/>
                </w:tcPr>
                <w:p>
                  <w:pPr>
                    <w:jc w:val="center"/>
                    <w:rPr>
                      <w:rFonts w:hint="default" w:ascii="Times New Roman" w:hAnsi="Times New Roman" w:cs="Times New Roman"/>
                      <w:lang w:val="en-US" w:eastAsia="zh-CN"/>
                    </w:rPr>
                  </w:pPr>
                  <w:r>
                    <w:rPr>
                      <w:rFonts w:hint="eastAsia" w:ascii="Times New Roman" w:hAnsi="Times New Roman" w:cs="Times New Roman"/>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6" w:hRule="atLeast"/>
                <w:jc w:val="center"/>
              </w:trPr>
              <w:tc>
                <w:tcPr>
                  <w:tcW w:w="1260" w:type="dxa"/>
                  <w:vAlign w:val="center"/>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3</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双胶轮车</w:t>
                  </w:r>
                </w:p>
              </w:tc>
              <w:tc>
                <w:tcPr>
                  <w:tcW w:w="2685" w:type="dxa"/>
                  <w:vAlign w:val="center"/>
                </w:tcPr>
                <w:p>
                  <w:pPr>
                    <w:jc w:val="center"/>
                    <w:rPr>
                      <w:rFonts w:hint="eastAsia" w:ascii="Times New Roman" w:hAnsi="Times New Roman" w:cs="Times New Roman" w:eastAsiaTheme="minorEastAsia"/>
                      <w:lang w:val="en-US" w:eastAsia="zh-CN"/>
                    </w:rPr>
                  </w:pPr>
                  <w:r>
                    <w:rPr>
                      <w:rFonts w:hint="eastAsia" w:ascii="Times New Roman" w:hAnsi="Times New Roman" w:cs="Times New Roman"/>
                      <w:lang w:val="en-US" w:eastAsia="zh-CN"/>
                    </w:rPr>
                    <w:t>/</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辆</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9237" w:type="dxa"/>
                  <w:gridSpan w:val="5"/>
                  <w:vAlign w:val="center"/>
                </w:tcPr>
                <w:p>
                  <w:pPr>
                    <w:jc w:val="center"/>
                    <w:rPr>
                      <w:rFonts w:hint="default" w:ascii="Times New Roman" w:hAnsi="Times New Roman" w:cs="Times New Roman"/>
                      <w:lang w:val="en-US" w:eastAsia="zh-CN"/>
                    </w:rPr>
                  </w:pPr>
                  <w:r>
                    <w:rPr>
                      <w:rFonts w:hint="default" w:ascii="Times New Roman" w:hAnsi="Times New Roman" w:cs="Times New Roman"/>
                      <w:lang w:val="en-US" w:eastAsia="zh-CN"/>
                    </w:rPr>
                    <w:t>起重设备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1260" w:type="dxa"/>
                  <w:vAlign w:val="center"/>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1</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机动翻斗车</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1m</w:t>
                  </w:r>
                  <w:r>
                    <w:rPr>
                      <w:rFonts w:hint="default" w:ascii="Times New Roman" w:hAnsi="Times New Roman" w:cs="Times New Roman"/>
                      <w:vertAlign w:val="superscript"/>
                    </w:rPr>
                    <w:t>3</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辆</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jc w:val="center"/>
              </w:trPr>
              <w:tc>
                <w:tcPr>
                  <w:tcW w:w="1260" w:type="dxa"/>
                  <w:vAlign w:val="center"/>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2</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汽车吊</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10t</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辆</w:t>
                  </w:r>
                </w:p>
              </w:tc>
              <w:tc>
                <w:tcPr>
                  <w:tcW w:w="1326" w:type="dxa"/>
                  <w:vAlign w:val="center"/>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1260" w:type="dxa"/>
                  <w:vAlign w:val="center"/>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3</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手、电动葫芦</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5～10t</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个</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9237" w:type="dxa"/>
                  <w:gridSpan w:val="5"/>
                  <w:vAlign w:val="center"/>
                </w:tcPr>
                <w:p>
                  <w:pPr>
                    <w:jc w:val="center"/>
                    <w:rPr>
                      <w:rFonts w:hint="default" w:ascii="Times New Roman" w:hAnsi="Times New Roman" w:cs="Times New Roman"/>
                    </w:rPr>
                  </w:pPr>
                  <w:r>
                    <w:rPr>
                      <w:rFonts w:hint="default" w:ascii="Times New Roman" w:hAnsi="Times New Roman" w:cs="Times New Roman"/>
                    </w:rPr>
                    <w:t>动力机械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1</w:t>
                  </w:r>
                </w:p>
              </w:tc>
              <w:tc>
                <w:tcPr>
                  <w:tcW w:w="2640" w:type="dxa"/>
                  <w:vAlign w:val="center"/>
                </w:tcPr>
                <w:p>
                  <w:pPr>
                    <w:jc w:val="center"/>
                    <w:rPr>
                      <w:rFonts w:hint="default" w:ascii="Times New Roman" w:hAnsi="Times New Roman" w:cs="Times New Roman"/>
                    </w:rPr>
                  </w:pPr>
                  <w:r>
                    <w:rPr>
                      <w:rFonts w:hint="eastAsia" w:ascii="Times New Roman" w:hAnsi="Times New Roman" w:cs="Times New Roman"/>
                      <w:lang w:val="en-US" w:eastAsia="zh-CN"/>
                    </w:rPr>
                    <w:t>柴油</w:t>
                  </w:r>
                  <w:r>
                    <w:rPr>
                      <w:rFonts w:hint="default" w:ascii="Times New Roman" w:hAnsi="Times New Roman" w:cs="Times New Roman"/>
                    </w:rPr>
                    <w:t>发电机</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60kw柴油发电机</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jc w:val="center"/>
              </w:trPr>
              <w:tc>
                <w:tcPr>
                  <w:tcW w:w="9237" w:type="dxa"/>
                  <w:gridSpan w:val="5"/>
                  <w:vAlign w:val="center"/>
                </w:tcPr>
                <w:p>
                  <w:pPr>
                    <w:jc w:val="center"/>
                    <w:rPr>
                      <w:rFonts w:hint="default" w:ascii="Times New Roman" w:hAnsi="Times New Roman" w:cs="Times New Roman"/>
                    </w:rPr>
                  </w:pPr>
                  <w:r>
                    <w:rPr>
                      <w:rFonts w:hint="default" w:ascii="Times New Roman" w:hAnsi="Times New Roman" w:cs="Times New Roman"/>
                    </w:rPr>
                    <w:t>混凝土机械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1</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拌和机</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0.4m</w:t>
                  </w:r>
                  <w:r>
                    <w:rPr>
                      <w:rFonts w:hint="default" w:ascii="Times New Roman" w:hAnsi="Times New Roman" w:cs="Times New Roman"/>
                      <w:vertAlign w:val="superscript"/>
                    </w:rPr>
                    <w:t>3</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2</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砂浆机</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0.25m</w:t>
                  </w:r>
                  <w:r>
                    <w:rPr>
                      <w:rFonts w:hint="default" w:ascii="Times New Roman" w:hAnsi="Times New Roman" w:cs="Times New Roman"/>
                      <w:vertAlign w:val="superscript"/>
                    </w:rPr>
                    <w:t>3</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3</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振捣器</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插入式2.2KW</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eastAsia" w:ascii="Times New Roman" w:hAnsi="Times New Roman" w:cs="Times New Roman" w:eastAsiaTheme="minorEastAsia"/>
                      <w:lang w:eastAsia="zh-CN"/>
                    </w:rPr>
                  </w:pPr>
                  <w:r>
                    <w:rPr>
                      <w:rFonts w:hint="default" w:ascii="Times New Roman" w:hAnsi="Times New Roman" w:cs="Times New Roman"/>
                    </w:rPr>
                    <w:t>1</w:t>
                  </w:r>
                  <w:r>
                    <w:rPr>
                      <w:rFonts w:hint="eastAsia" w:ascii="Times New Roman" w:hAnsi="Times New Roman" w:cs="Times New Roman"/>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9237" w:type="dxa"/>
                  <w:gridSpan w:val="5"/>
                  <w:vAlign w:val="center"/>
                </w:tcPr>
                <w:p>
                  <w:pPr>
                    <w:jc w:val="center"/>
                    <w:rPr>
                      <w:rFonts w:hint="default" w:ascii="Times New Roman" w:hAnsi="Times New Roman" w:cs="Times New Roman"/>
                    </w:rPr>
                  </w:pPr>
                  <w:r>
                    <w:rPr>
                      <w:rFonts w:hint="default" w:ascii="Times New Roman" w:hAnsi="Times New Roman" w:cs="Times New Roman"/>
                    </w:rPr>
                    <w:t>加工机械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1</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弯筋机</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GJ7—40</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2</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焊接机</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VN1—20</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3</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切割机</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3KW</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4</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打夯机</w:t>
                  </w:r>
                </w:p>
              </w:tc>
              <w:tc>
                <w:tcPr>
                  <w:tcW w:w="2685"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2.8Kw</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jc w:val="center"/>
              </w:trPr>
              <w:tc>
                <w:tcPr>
                  <w:tcW w:w="9237" w:type="dxa"/>
                  <w:gridSpan w:val="5"/>
                  <w:vAlign w:val="center"/>
                </w:tcPr>
                <w:p>
                  <w:pPr>
                    <w:jc w:val="center"/>
                    <w:rPr>
                      <w:rFonts w:hint="default" w:ascii="Times New Roman" w:hAnsi="Times New Roman" w:cs="Times New Roman"/>
                    </w:rPr>
                  </w:pPr>
                  <w:r>
                    <w:rPr>
                      <w:rFonts w:hint="default" w:ascii="Times New Roman" w:hAnsi="Times New Roman" w:cs="Times New Roman"/>
                    </w:rPr>
                    <w:t>抽排水机械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1</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潜水泵</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2.2</w:t>
                  </w:r>
                  <w:r>
                    <w:rPr>
                      <w:rFonts w:hint="eastAsia" w:ascii="Times New Roman" w:hAnsi="Times New Roman" w:cs="Times New Roman"/>
                      <w:lang w:val="en-US" w:eastAsia="zh-CN"/>
                    </w:rPr>
                    <w:t>K</w:t>
                  </w:r>
                  <w:r>
                    <w:rPr>
                      <w:rFonts w:hint="default" w:ascii="Times New Roman" w:hAnsi="Times New Roman" w:cs="Times New Roman"/>
                    </w:rPr>
                    <w:t>w</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9237" w:type="dxa"/>
                  <w:gridSpan w:val="5"/>
                  <w:vAlign w:val="center"/>
                </w:tcPr>
                <w:p>
                  <w:pPr>
                    <w:jc w:val="center"/>
                    <w:rPr>
                      <w:rFonts w:hint="default" w:ascii="Times New Roman" w:hAnsi="Times New Roman" w:cs="Times New Roman"/>
                    </w:rPr>
                  </w:pPr>
                  <w:r>
                    <w:rPr>
                      <w:rFonts w:hint="default" w:ascii="Times New Roman" w:hAnsi="Times New Roman" w:cs="Times New Roman"/>
                    </w:rPr>
                    <w:t>供风系统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1260" w:type="dxa"/>
                  <w:vAlign w:val="center"/>
                </w:tcPr>
                <w:p>
                  <w:pPr>
                    <w:jc w:val="center"/>
                    <w:rPr>
                      <w:rFonts w:hint="default" w:ascii="Times New Roman" w:hAnsi="Times New Roman" w:cs="Times New Roman"/>
                    </w:rPr>
                  </w:pPr>
                  <w:r>
                    <w:rPr>
                      <w:rFonts w:hint="default" w:ascii="Times New Roman" w:hAnsi="Times New Roman" w:cs="Times New Roman"/>
                    </w:rPr>
                    <w:t>1</w:t>
                  </w:r>
                </w:p>
              </w:tc>
              <w:tc>
                <w:tcPr>
                  <w:tcW w:w="2640" w:type="dxa"/>
                  <w:vAlign w:val="center"/>
                </w:tcPr>
                <w:p>
                  <w:pPr>
                    <w:jc w:val="center"/>
                    <w:rPr>
                      <w:rFonts w:hint="default" w:ascii="Times New Roman" w:hAnsi="Times New Roman" w:cs="Times New Roman"/>
                    </w:rPr>
                  </w:pPr>
                  <w:r>
                    <w:rPr>
                      <w:rFonts w:hint="default" w:ascii="Times New Roman" w:hAnsi="Times New Roman" w:cs="Times New Roman"/>
                    </w:rPr>
                    <w:t>空压机</w:t>
                  </w:r>
                </w:p>
              </w:tc>
              <w:tc>
                <w:tcPr>
                  <w:tcW w:w="2685" w:type="dxa"/>
                  <w:vAlign w:val="center"/>
                </w:tcPr>
                <w:p>
                  <w:pPr>
                    <w:jc w:val="center"/>
                    <w:rPr>
                      <w:rFonts w:hint="default" w:ascii="Times New Roman" w:hAnsi="Times New Roman" w:cs="Times New Roman"/>
                    </w:rPr>
                  </w:pPr>
                  <w:r>
                    <w:rPr>
                      <w:rFonts w:hint="default" w:ascii="Times New Roman" w:hAnsi="Times New Roman" w:cs="Times New Roman"/>
                    </w:rPr>
                    <w:t>DACY-3.2/8</w:t>
                  </w:r>
                </w:p>
              </w:tc>
              <w:tc>
                <w:tcPr>
                  <w:tcW w:w="1326" w:type="dxa"/>
                  <w:vAlign w:val="center"/>
                </w:tcPr>
                <w:p>
                  <w:pPr>
                    <w:jc w:val="center"/>
                    <w:rPr>
                      <w:rFonts w:hint="default" w:ascii="Times New Roman" w:hAnsi="Times New Roman" w:cs="Times New Roman"/>
                    </w:rPr>
                  </w:pPr>
                  <w:r>
                    <w:rPr>
                      <w:rFonts w:hint="default" w:ascii="Times New Roman" w:hAnsi="Times New Roman" w:cs="Times New Roman"/>
                    </w:rPr>
                    <w:t>台</w:t>
                  </w:r>
                </w:p>
              </w:tc>
              <w:tc>
                <w:tcPr>
                  <w:tcW w:w="1326" w:type="dxa"/>
                  <w:vAlign w:val="center"/>
                </w:tcPr>
                <w:p>
                  <w:pPr>
                    <w:jc w:val="cente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bl>
          <w:p>
            <w:pPr>
              <w:autoSpaceDE w:val="0"/>
              <w:autoSpaceDN w:val="0"/>
              <w:adjustRightInd w:val="0"/>
              <w:snapToGrid w:val="0"/>
              <w:spacing w:line="360" w:lineRule="auto"/>
              <w:rPr>
                <w:rFonts w:ascii="Times New Roman" w:hAnsi="Times New Roman" w:cs="Times New Roman"/>
                <w:b/>
                <w:kern w:val="0"/>
                <w:sz w:val="24"/>
                <w:szCs w:val="24"/>
              </w:rPr>
            </w:pPr>
          </w:p>
          <w:p>
            <w:pPr>
              <w:autoSpaceDE w:val="0"/>
              <w:autoSpaceDN w:val="0"/>
              <w:adjustRightInd w:val="0"/>
              <w:snapToGrid w:val="0"/>
              <w:spacing w:line="360" w:lineRule="auto"/>
              <w:rPr>
                <w:rFonts w:hint="default" w:ascii="Times New Roman" w:hAnsi="Times New Roman" w:cs="Times New Roman" w:eastAsiaTheme="minorEastAsia"/>
                <w:b/>
                <w:kern w:val="0"/>
                <w:sz w:val="24"/>
                <w:szCs w:val="24"/>
                <w:lang w:val="en-US" w:eastAsia="zh-CN"/>
              </w:rPr>
            </w:pPr>
            <w:r>
              <w:rPr>
                <w:rFonts w:hint="eastAsia" w:ascii="Times New Roman" w:hAnsi="Times New Roman" w:cs="Times New Roman"/>
                <w:b/>
                <w:kern w:val="0"/>
                <w:sz w:val="24"/>
                <w:szCs w:val="24"/>
                <w:lang w:val="en-US" w:eastAsia="zh-CN"/>
              </w:rPr>
              <w:t>六、原辅材料消耗</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kern w:val="0"/>
                <w:sz w:val="24"/>
                <w:szCs w:val="24"/>
                <w:lang w:val="en-US" w:eastAsia="zh-CN"/>
              </w:rPr>
            </w:pPr>
            <w:r>
              <w:rPr>
                <w:rFonts w:hint="eastAsia" w:ascii="Times New Roman" w:hAnsi="Times New Roman" w:cs="Times New Roman"/>
                <w:b w:val="0"/>
                <w:bCs/>
                <w:kern w:val="0"/>
                <w:sz w:val="24"/>
                <w:szCs w:val="24"/>
                <w:lang w:val="en-US" w:eastAsia="zh-CN"/>
              </w:rPr>
              <w:t>根据项目设计方案，项目所需原辅材料见下表。</w:t>
            </w:r>
          </w:p>
          <w:p>
            <w:pPr>
              <w:autoSpaceDE w:val="0"/>
              <w:autoSpaceDN w:val="0"/>
              <w:adjustRightInd w:val="0"/>
              <w:snapToGrid w:val="0"/>
              <w:spacing w:line="240" w:lineRule="auto"/>
              <w:jc w:val="center"/>
              <w:rPr>
                <w:rFonts w:hint="default" w:ascii="Times New Roman" w:hAnsi="Times New Roman" w:eastAsia="宋体" w:cs="Times New Roman"/>
                <w:b/>
                <w:kern w:val="0"/>
                <w:sz w:val="24"/>
                <w:szCs w:val="24"/>
                <w:lang w:val="en-US" w:eastAsia="zh-CN"/>
              </w:rPr>
            </w:pPr>
            <w:r>
              <w:rPr>
                <w:rFonts w:ascii="Times New Roman" w:hAnsi="Times New Roman" w:eastAsia="宋体" w:cs="Times New Roman"/>
                <w:b/>
                <w:bCs/>
                <w:kern w:val="0"/>
                <w:szCs w:val="21"/>
              </w:rPr>
              <w:t>表2-1</w:t>
            </w:r>
            <w:r>
              <w:rPr>
                <w:rFonts w:hint="eastAsia" w:ascii="Times New Roman" w:hAnsi="Times New Roman" w:eastAsia="宋体" w:cs="Times New Roman"/>
                <w:b/>
                <w:bCs/>
                <w:kern w:val="0"/>
                <w:szCs w:val="21"/>
                <w:lang w:val="en-US" w:eastAsia="zh-CN"/>
              </w:rPr>
              <w:t>1</w:t>
            </w:r>
            <w:r>
              <w:rPr>
                <w:rFonts w:ascii="Times New Roman" w:hAnsi="Times New Roman" w:eastAsia="宋体" w:cs="Times New Roman"/>
                <w:b/>
                <w:bCs/>
                <w:kern w:val="0"/>
                <w:szCs w:val="21"/>
              </w:rPr>
              <w:t xml:space="preserve">  </w:t>
            </w:r>
            <w:r>
              <w:rPr>
                <w:rFonts w:hint="eastAsia" w:ascii="Times New Roman" w:hAnsi="Times New Roman" w:eastAsia="宋体" w:cs="Times New Roman"/>
                <w:b/>
                <w:bCs/>
                <w:kern w:val="0"/>
                <w:szCs w:val="21"/>
                <w:lang w:val="en-US" w:eastAsia="zh-CN"/>
              </w:rPr>
              <w:t>项目原辅材料使用情况</w:t>
            </w:r>
          </w:p>
          <w:tbl>
            <w:tblPr>
              <w:tblStyle w:val="92"/>
              <w:tblW w:w="91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06"/>
              <w:gridCol w:w="1953"/>
              <w:gridCol w:w="1532"/>
              <w:gridCol w:w="2538"/>
              <w:gridCol w:w="1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06" w:type="dxa"/>
                  <w:vAlign w:val="top"/>
                </w:tcPr>
                <w:p>
                  <w:pPr>
                    <w:jc w:val="center"/>
                    <w:rPr>
                      <w:rFonts w:hint="default" w:ascii="Times New Roman" w:hAnsi="Times New Roman" w:cs="Times New Roman"/>
                      <w:b/>
                      <w:bCs/>
                    </w:rPr>
                  </w:pPr>
                  <w:r>
                    <w:rPr>
                      <w:rFonts w:hint="default" w:ascii="Times New Roman" w:hAnsi="Times New Roman" w:cs="Times New Roman"/>
                      <w:b/>
                      <w:bCs/>
                    </w:rPr>
                    <w:t>序号</w:t>
                  </w:r>
                </w:p>
              </w:tc>
              <w:tc>
                <w:tcPr>
                  <w:tcW w:w="1953" w:type="dxa"/>
                  <w:vAlign w:val="top"/>
                </w:tcPr>
                <w:p>
                  <w:pPr>
                    <w:jc w:val="center"/>
                    <w:rPr>
                      <w:rFonts w:hint="default" w:ascii="Times New Roman" w:hAnsi="Times New Roman" w:cs="Times New Roman"/>
                      <w:b/>
                      <w:bCs/>
                    </w:rPr>
                  </w:pPr>
                  <w:r>
                    <w:rPr>
                      <w:rFonts w:hint="default" w:ascii="Times New Roman" w:hAnsi="Times New Roman" w:cs="Times New Roman"/>
                      <w:b/>
                      <w:bCs/>
                    </w:rPr>
                    <w:t>材料</w:t>
                  </w:r>
                </w:p>
              </w:tc>
              <w:tc>
                <w:tcPr>
                  <w:tcW w:w="1532" w:type="dxa"/>
                  <w:vAlign w:val="top"/>
                </w:tcPr>
                <w:p>
                  <w:pPr>
                    <w:jc w:val="center"/>
                    <w:rPr>
                      <w:rFonts w:hint="default" w:ascii="Times New Roman" w:hAnsi="Times New Roman" w:cs="Times New Roman"/>
                      <w:b/>
                      <w:bCs/>
                    </w:rPr>
                  </w:pPr>
                  <w:r>
                    <w:rPr>
                      <w:rFonts w:hint="default" w:ascii="Times New Roman" w:hAnsi="Times New Roman" w:cs="Times New Roman"/>
                      <w:b/>
                      <w:bCs/>
                    </w:rPr>
                    <w:t>单位</w:t>
                  </w:r>
                </w:p>
              </w:tc>
              <w:tc>
                <w:tcPr>
                  <w:tcW w:w="2538" w:type="dxa"/>
                  <w:vAlign w:val="top"/>
                </w:tcPr>
                <w:p>
                  <w:pPr>
                    <w:jc w:val="center"/>
                    <w:rPr>
                      <w:rFonts w:hint="default" w:ascii="Times New Roman" w:hAnsi="Times New Roman" w:cs="Times New Roman"/>
                      <w:b/>
                      <w:bCs/>
                    </w:rPr>
                  </w:pPr>
                  <w:r>
                    <w:rPr>
                      <w:rFonts w:hint="default" w:ascii="Times New Roman" w:hAnsi="Times New Roman" w:cs="Times New Roman"/>
                      <w:b/>
                      <w:bCs/>
                    </w:rPr>
                    <w:t>数量</w:t>
                  </w:r>
                </w:p>
              </w:tc>
              <w:tc>
                <w:tcPr>
                  <w:tcW w:w="1649" w:type="dxa"/>
                  <w:vAlign w:val="center"/>
                </w:tcPr>
                <w:p>
                  <w:pPr>
                    <w:jc w:val="center"/>
                    <w:rPr>
                      <w:rFonts w:hint="default" w:ascii="Times New Roman" w:hAnsi="Times New Roman" w:cs="Times New Roman"/>
                      <w:b/>
                      <w:bCs/>
                    </w:rPr>
                  </w:pPr>
                  <w:r>
                    <w:rPr>
                      <w:rFonts w:hint="default" w:ascii="Times New Roman" w:hAnsi="Times New Roman" w:cs="Times New Roman"/>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06" w:type="dxa"/>
                  <w:vAlign w:val="top"/>
                </w:tcPr>
                <w:p>
                  <w:pPr>
                    <w:jc w:val="center"/>
                    <w:rPr>
                      <w:rFonts w:hint="default" w:ascii="Times New Roman" w:hAnsi="Times New Roman" w:cs="Times New Roman"/>
                    </w:rPr>
                  </w:pPr>
                  <w:r>
                    <w:rPr>
                      <w:rFonts w:hint="default" w:ascii="Times New Roman" w:hAnsi="Times New Roman" w:cs="Times New Roman"/>
                    </w:rPr>
                    <w:t>1</w:t>
                  </w:r>
                </w:p>
              </w:tc>
              <w:tc>
                <w:tcPr>
                  <w:tcW w:w="1953" w:type="dxa"/>
                  <w:vAlign w:val="top"/>
                </w:tcPr>
                <w:p>
                  <w:pPr>
                    <w:jc w:val="center"/>
                    <w:rPr>
                      <w:rFonts w:hint="default" w:ascii="Times New Roman" w:hAnsi="Times New Roman" w:cs="Times New Roman"/>
                    </w:rPr>
                  </w:pPr>
                  <w:r>
                    <w:rPr>
                      <w:rFonts w:hint="default" w:ascii="Times New Roman" w:hAnsi="Times New Roman" w:cs="Times New Roman"/>
                    </w:rPr>
                    <w:t>水泥</w:t>
                  </w:r>
                </w:p>
              </w:tc>
              <w:tc>
                <w:tcPr>
                  <w:tcW w:w="1532" w:type="dxa"/>
                  <w:vAlign w:val="top"/>
                </w:tcPr>
                <w:p>
                  <w:pPr>
                    <w:jc w:val="center"/>
                    <w:rPr>
                      <w:rFonts w:hint="default" w:ascii="Times New Roman" w:hAnsi="Times New Roman" w:cs="Times New Roman"/>
                    </w:rPr>
                  </w:pPr>
                  <w:r>
                    <w:rPr>
                      <w:rFonts w:hint="default" w:ascii="Times New Roman" w:hAnsi="Times New Roman" w:cs="Times New Roman"/>
                    </w:rPr>
                    <w:t>t</w:t>
                  </w:r>
                </w:p>
              </w:tc>
              <w:tc>
                <w:tcPr>
                  <w:tcW w:w="2538" w:type="dxa"/>
                  <w:vAlign w:val="top"/>
                </w:tcPr>
                <w:p>
                  <w:pPr>
                    <w:jc w:val="center"/>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5747.07</w:t>
                  </w:r>
                </w:p>
              </w:tc>
              <w:tc>
                <w:tcPr>
                  <w:tcW w:w="1649" w:type="dxa"/>
                  <w:vMerge w:val="restart"/>
                  <w:vAlign w:val="center"/>
                </w:tcPr>
                <w:p>
                  <w:pPr>
                    <w:jc w:val="center"/>
                    <w:rPr>
                      <w:rFonts w:hint="default" w:ascii="Times New Roman" w:hAnsi="Times New Roman" w:cs="Times New Roman"/>
                    </w:rPr>
                  </w:pPr>
                  <w:r>
                    <w:rPr>
                      <w:rFonts w:hint="default" w:ascii="Times New Roman" w:hAnsi="Times New Roman" w:cs="Times New Roma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06" w:type="dxa"/>
                  <w:vAlign w:val="top"/>
                </w:tcPr>
                <w:p>
                  <w:pPr>
                    <w:jc w:val="center"/>
                    <w:rPr>
                      <w:rFonts w:hint="default" w:ascii="Times New Roman" w:hAnsi="Times New Roman" w:cs="Times New Roman"/>
                    </w:rPr>
                  </w:pPr>
                  <w:r>
                    <w:rPr>
                      <w:rFonts w:hint="default" w:ascii="Times New Roman" w:hAnsi="Times New Roman" w:cs="Times New Roman"/>
                    </w:rPr>
                    <w:t>2</w:t>
                  </w:r>
                </w:p>
              </w:tc>
              <w:tc>
                <w:tcPr>
                  <w:tcW w:w="1953" w:type="dxa"/>
                  <w:vAlign w:val="top"/>
                </w:tcPr>
                <w:p>
                  <w:pPr>
                    <w:jc w:val="center"/>
                    <w:rPr>
                      <w:rFonts w:hint="default" w:ascii="Times New Roman" w:hAnsi="Times New Roman" w:cs="Times New Roman"/>
                    </w:rPr>
                  </w:pPr>
                  <w:r>
                    <w:rPr>
                      <w:rFonts w:hint="default" w:ascii="Times New Roman" w:hAnsi="Times New Roman" w:cs="Times New Roman"/>
                    </w:rPr>
                    <w:t>砂</w:t>
                  </w:r>
                </w:p>
              </w:tc>
              <w:tc>
                <w:tcPr>
                  <w:tcW w:w="1532" w:type="dxa"/>
                  <w:vAlign w:val="top"/>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m</w:t>
                  </w:r>
                  <w:r>
                    <w:rPr>
                      <w:rFonts w:hint="eastAsia" w:ascii="Times New Roman" w:hAnsi="Times New Roman" w:cs="Times New Roman"/>
                      <w:vertAlign w:val="superscript"/>
                      <w:lang w:val="en-US" w:eastAsia="zh-CN"/>
                    </w:rPr>
                    <w:t>3</w:t>
                  </w:r>
                </w:p>
              </w:tc>
              <w:tc>
                <w:tcPr>
                  <w:tcW w:w="2538" w:type="dxa"/>
                  <w:vAlign w:val="top"/>
                </w:tcPr>
                <w:p>
                  <w:pPr>
                    <w:jc w:val="center"/>
                    <w:rPr>
                      <w:rFonts w:hint="default" w:ascii="Times New Roman" w:hAnsi="Times New Roman" w:cs="Times New Roman"/>
                      <w:color w:val="000000" w:themeColor="text1"/>
                      <w:lang w:val="en-US"/>
                      <w14:textFill>
                        <w14:solidFill>
                          <w14:schemeClr w14:val="tx1"/>
                        </w14:solidFill>
                      </w14:textFill>
                    </w:rPr>
                  </w:pPr>
                  <w:r>
                    <w:rPr>
                      <w:rFonts w:hint="eastAsia" w:ascii="Times New Roman" w:hAnsi="Times New Roman" w:eastAsia="宋体" w:cs="宋体"/>
                      <w:color w:val="000000" w:themeColor="text1"/>
                      <w:kern w:val="0"/>
                      <w:sz w:val="21"/>
                      <w:szCs w:val="18"/>
                      <w:lang w:val="en-US" w:eastAsia="zh-CN"/>
                      <w14:textFill>
                        <w14:solidFill>
                          <w14:schemeClr w14:val="tx1"/>
                        </w14:solidFill>
                      </w14:textFill>
                    </w:rPr>
                    <w:t>9419.24</w:t>
                  </w:r>
                </w:p>
              </w:tc>
              <w:tc>
                <w:tcPr>
                  <w:tcW w:w="1649" w:type="dxa"/>
                  <w:vMerge w:val="continue"/>
                  <w:vAlign w:val="top"/>
                </w:tcPr>
                <w:p>
                  <w:pPr>
                    <w:jc w:val="center"/>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06" w:type="dxa"/>
                  <w:vAlign w:val="top"/>
                </w:tcPr>
                <w:p>
                  <w:pPr>
                    <w:jc w:val="center"/>
                    <w:rPr>
                      <w:rFonts w:hint="default" w:ascii="Times New Roman" w:hAnsi="Times New Roman" w:cs="Times New Roman"/>
                    </w:rPr>
                  </w:pPr>
                  <w:r>
                    <w:rPr>
                      <w:rFonts w:hint="default" w:ascii="Times New Roman" w:hAnsi="Times New Roman" w:cs="Times New Roman"/>
                    </w:rPr>
                    <w:t>3</w:t>
                  </w:r>
                </w:p>
              </w:tc>
              <w:tc>
                <w:tcPr>
                  <w:tcW w:w="1953" w:type="dxa"/>
                  <w:vAlign w:val="top"/>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碎石</w:t>
                  </w:r>
                </w:p>
              </w:tc>
              <w:tc>
                <w:tcPr>
                  <w:tcW w:w="1532" w:type="dxa"/>
                  <w:vAlign w:val="top"/>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m</w:t>
                  </w:r>
                  <w:r>
                    <w:rPr>
                      <w:rFonts w:hint="eastAsia" w:ascii="Times New Roman" w:hAnsi="Times New Roman" w:cs="Times New Roman"/>
                      <w:vertAlign w:val="superscript"/>
                      <w:lang w:val="en-US" w:eastAsia="zh-CN"/>
                    </w:rPr>
                    <w:t>3</w:t>
                  </w:r>
                </w:p>
              </w:tc>
              <w:tc>
                <w:tcPr>
                  <w:tcW w:w="2538" w:type="dxa"/>
                  <w:vAlign w:val="top"/>
                </w:tcPr>
                <w:p>
                  <w:pPr>
                    <w:jc w:val="center"/>
                    <w:rPr>
                      <w:rFonts w:hint="default" w:ascii="Times New Roman" w:hAnsi="Times New Roman" w:cs="Times New Roman"/>
                      <w:color w:val="000000" w:themeColor="text1"/>
                      <w:lang w:val="en-US"/>
                      <w14:textFill>
                        <w14:solidFill>
                          <w14:schemeClr w14:val="tx1"/>
                        </w14:solidFill>
                      </w14:textFill>
                    </w:rPr>
                  </w:pPr>
                  <w:r>
                    <w:rPr>
                      <w:rFonts w:hint="eastAsia" w:ascii="Times New Roman" w:hAnsi="Times New Roman" w:eastAsia="宋体" w:cs="宋体"/>
                      <w:color w:val="000000" w:themeColor="text1"/>
                      <w:kern w:val="0"/>
                      <w:sz w:val="21"/>
                      <w:szCs w:val="18"/>
                      <w:lang w:val="en-US" w:eastAsia="zh-CN"/>
                      <w14:textFill>
                        <w14:solidFill>
                          <w14:schemeClr w14:val="tx1"/>
                        </w14:solidFill>
                      </w14:textFill>
                    </w:rPr>
                    <w:t>11343.04</w:t>
                  </w:r>
                </w:p>
              </w:tc>
              <w:tc>
                <w:tcPr>
                  <w:tcW w:w="1649" w:type="dxa"/>
                  <w:vMerge w:val="continue"/>
                  <w:vAlign w:val="top"/>
                </w:tcPr>
                <w:p>
                  <w:pPr>
                    <w:jc w:val="center"/>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06" w:type="dxa"/>
                  <w:vAlign w:val="top"/>
                </w:tcPr>
                <w:p>
                  <w:pPr>
                    <w:jc w:val="center"/>
                    <w:rPr>
                      <w:rFonts w:hint="default" w:ascii="Times New Roman" w:hAnsi="Times New Roman" w:cs="Times New Roman"/>
                    </w:rPr>
                  </w:pPr>
                  <w:r>
                    <w:rPr>
                      <w:rFonts w:hint="default" w:ascii="Times New Roman" w:hAnsi="Times New Roman" w:cs="Times New Roman"/>
                    </w:rPr>
                    <w:t>4</w:t>
                  </w:r>
                </w:p>
              </w:tc>
              <w:tc>
                <w:tcPr>
                  <w:tcW w:w="1953" w:type="dxa"/>
                  <w:vAlign w:val="top"/>
                </w:tcPr>
                <w:p>
                  <w:pPr>
                    <w:jc w:val="center"/>
                    <w:rPr>
                      <w:rFonts w:hint="default" w:ascii="Times New Roman" w:hAnsi="Times New Roman" w:cs="Times New Roman"/>
                    </w:rPr>
                  </w:pPr>
                  <w:r>
                    <w:rPr>
                      <w:rFonts w:hint="default" w:ascii="Times New Roman" w:hAnsi="Times New Roman" w:cs="Times New Roman"/>
                    </w:rPr>
                    <w:t>钢筋</w:t>
                  </w:r>
                </w:p>
              </w:tc>
              <w:tc>
                <w:tcPr>
                  <w:tcW w:w="1532" w:type="dxa"/>
                  <w:vAlign w:val="top"/>
                </w:tcPr>
                <w:p>
                  <w:pPr>
                    <w:jc w:val="center"/>
                    <w:rPr>
                      <w:rFonts w:hint="default" w:ascii="Times New Roman" w:hAnsi="Times New Roman" w:cs="Times New Roman"/>
                    </w:rPr>
                  </w:pPr>
                  <w:r>
                    <w:rPr>
                      <w:rFonts w:hint="default" w:ascii="Times New Roman" w:hAnsi="Times New Roman" w:cs="Times New Roman"/>
                    </w:rPr>
                    <w:t>t</w:t>
                  </w:r>
                </w:p>
              </w:tc>
              <w:tc>
                <w:tcPr>
                  <w:tcW w:w="2538" w:type="dxa"/>
                  <w:vAlign w:val="top"/>
                </w:tcPr>
                <w:p>
                  <w:pPr>
                    <w:jc w:val="center"/>
                    <w:rPr>
                      <w:rFonts w:hint="default" w:ascii="Times New Roman" w:hAnsi="Times New Roman" w:cs="Times New Roman"/>
                      <w:color w:val="000000" w:themeColor="text1"/>
                      <w:lang w:val="en-US"/>
                      <w14:textFill>
                        <w14:solidFill>
                          <w14:schemeClr w14:val="tx1"/>
                        </w14:solidFill>
                      </w14:textFill>
                    </w:rPr>
                  </w:pPr>
                  <w:r>
                    <w:rPr>
                      <w:rFonts w:hint="eastAsia" w:ascii="Times New Roman" w:hAnsi="Times New Roman" w:eastAsia="宋体" w:cs="宋体"/>
                      <w:color w:val="000000" w:themeColor="text1"/>
                      <w:kern w:val="0"/>
                      <w:sz w:val="21"/>
                      <w:szCs w:val="18"/>
                      <w:lang w:val="en-US" w:eastAsia="zh-CN"/>
                      <w14:textFill>
                        <w14:solidFill>
                          <w14:schemeClr w14:val="tx1"/>
                        </w14:solidFill>
                      </w14:textFill>
                    </w:rPr>
                    <w:t>425.52</w:t>
                  </w:r>
                </w:p>
              </w:tc>
              <w:tc>
                <w:tcPr>
                  <w:tcW w:w="1649" w:type="dxa"/>
                  <w:vMerge w:val="continue"/>
                  <w:vAlign w:val="top"/>
                </w:tcPr>
                <w:p>
                  <w:pPr>
                    <w:jc w:val="center"/>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06" w:type="dxa"/>
                  <w:vAlign w:val="top"/>
                </w:tcPr>
                <w:p>
                  <w:pPr>
                    <w:jc w:val="center"/>
                    <w:rPr>
                      <w:rFonts w:hint="default" w:ascii="Times New Roman" w:hAnsi="Times New Roman" w:cs="Times New Roman"/>
                    </w:rPr>
                  </w:pPr>
                  <w:r>
                    <w:rPr>
                      <w:rFonts w:hint="default" w:ascii="Times New Roman" w:hAnsi="Times New Roman" w:cs="Times New Roman"/>
                    </w:rPr>
                    <w:t>5</w:t>
                  </w:r>
                </w:p>
              </w:tc>
              <w:tc>
                <w:tcPr>
                  <w:tcW w:w="1953" w:type="dxa"/>
                  <w:vAlign w:val="top"/>
                </w:tcPr>
                <w:p>
                  <w:pPr>
                    <w:jc w:val="center"/>
                    <w:rPr>
                      <w:rFonts w:hint="eastAsia" w:ascii="Times New Roman" w:hAnsi="Times New Roman" w:cs="Times New Roman" w:eastAsiaTheme="minorEastAsia"/>
                      <w:lang w:eastAsia="zh-CN"/>
                    </w:rPr>
                  </w:pPr>
                  <w:r>
                    <w:rPr>
                      <w:rFonts w:hint="eastAsia" w:ascii="Times New Roman" w:hAnsi="Times New Roman" w:cs="Times New Roman"/>
                      <w:lang w:val="en-US" w:eastAsia="zh-CN"/>
                    </w:rPr>
                    <w:t>锯材</w:t>
                  </w:r>
                </w:p>
              </w:tc>
              <w:tc>
                <w:tcPr>
                  <w:tcW w:w="1532" w:type="dxa"/>
                  <w:vAlign w:val="top"/>
                </w:tcPr>
                <w:p>
                  <w:pPr>
                    <w:jc w:val="center"/>
                    <w:rPr>
                      <w:rFonts w:hint="default" w:ascii="Times New Roman" w:hAnsi="Times New Roman" w:cs="Times New Roman"/>
                    </w:rPr>
                  </w:pPr>
                  <w:r>
                    <w:rPr>
                      <w:rFonts w:hint="eastAsia" w:ascii="Times New Roman" w:hAnsi="Times New Roman" w:cs="Times New Roman"/>
                      <w:lang w:val="en-US" w:eastAsia="zh-CN"/>
                    </w:rPr>
                    <w:t>m</w:t>
                  </w:r>
                  <w:r>
                    <w:rPr>
                      <w:rFonts w:hint="eastAsia" w:ascii="Times New Roman" w:hAnsi="Times New Roman" w:cs="Times New Roman"/>
                      <w:vertAlign w:val="superscript"/>
                      <w:lang w:val="en-US" w:eastAsia="zh-CN"/>
                    </w:rPr>
                    <w:t>3</w:t>
                  </w:r>
                </w:p>
              </w:tc>
              <w:tc>
                <w:tcPr>
                  <w:tcW w:w="2538" w:type="dxa"/>
                  <w:vAlign w:val="top"/>
                </w:tcPr>
                <w:p>
                  <w:pPr>
                    <w:jc w:val="center"/>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18"/>
                      <w:lang w:val="en-US" w:eastAsia="zh-CN"/>
                      <w14:textFill>
                        <w14:solidFill>
                          <w14:schemeClr w14:val="tx1"/>
                        </w14:solidFill>
                      </w14:textFill>
                    </w:rPr>
                    <w:t>2.58</w:t>
                  </w:r>
                </w:p>
              </w:tc>
              <w:tc>
                <w:tcPr>
                  <w:tcW w:w="1649" w:type="dxa"/>
                  <w:vMerge w:val="continue"/>
                  <w:vAlign w:val="top"/>
                </w:tcPr>
                <w:p>
                  <w:pPr>
                    <w:jc w:val="center"/>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06" w:type="dxa"/>
                  <w:vAlign w:val="top"/>
                </w:tcPr>
                <w:p>
                  <w:pPr>
                    <w:jc w:val="center"/>
                    <w:rPr>
                      <w:rFonts w:hint="eastAsia" w:ascii="Times New Roman" w:hAnsi="Times New Roman" w:cs="Times New Roman" w:eastAsiaTheme="minorEastAsia"/>
                      <w:lang w:val="en-US" w:eastAsia="zh-CN"/>
                    </w:rPr>
                  </w:pPr>
                  <w:r>
                    <w:rPr>
                      <w:rFonts w:hint="eastAsia" w:ascii="Times New Roman" w:hAnsi="Times New Roman" w:cs="Times New Roman"/>
                      <w:lang w:val="en-US" w:eastAsia="zh-CN"/>
                    </w:rPr>
                    <w:t>6</w:t>
                  </w:r>
                </w:p>
              </w:tc>
              <w:tc>
                <w:tcPr>
                  <w:tcW w:w="1953" w:type="dxa"/>
                  <w:vAlign w:val="top"/>
                </w:tcPr>
                <w:p>
                  <w:pPr>
                    <w:jc w:val="center"/>
                    <w:rPr>
                      <w:rFonts w:hint="default" w:ascii="Times New Roman" w:hAnsi="Times New Roman" w:cs="Times New Roman"/>
                      <w:lang w:val="en-US" w:eastAsia="zh-CN"/>
                    </w:rPr>
                  </w:pPr>
                  <w:r>
                    <w:rPr>
                      <w:rFonts w:hint="eastAsia" w:ascii="Times New Roman" w:hAnsi="Times New Roman" w:cs="Times New Roman"/>
                      <w:lang w:val="en-US" w:eastAsia="zh-CN"/>
                    </w:rPr>
                    <w:t>汽油</w:t>
                  </w:r>
                </w:p>
              </w:tc>
              <w:tc>
                <w:tcPr>
                  <w:tcW w:w="1532" w:type="dxa"/>
                  <w:vAlign w:val="top"/>
                </w:tcPr>
                <w:p>
                  <w:pPr>
                    <w:jc w:val="center"/>
                    <w:rPr>
                      <w:rFonts w:hint="default" w:ascii="Times New Roman" w:hAnsi="Times New Roman" w:cs="Times New Roman"/>
                      <w:lang w:val="en-US" w:eastAsia="zh-CN"/>
                    </w:rPr>
                  </w:pPr>
                  <w:r>
                    <w:rPr>
                      <w:rFonts w:hint="eastAsia" w:ascii="Times New Roman" w:hAnsi="Times New Roman" w:cs="Times New Roman"/>
                      <w:lang w:val="en-US" w:eastAsia="zh-CN"/>
                    </w:rPr>
                    <w:t>t</w:t>
                  </w:r>
                </w:p>
              </w:tc>
              <w:tc>
                <w:tcPr>
                  <w:tcW w:w="2538" w:type="dxa"/>
                  <w:vAlign w:val="top"/>
                </w:tcPr>
                <w:p>
                  <w:pPr>
                    <w:jc w:val="center"/>
                    <w:rPr>
                      <w:rFonts w:hint="default" w:ascii="Times New Roman" w:hAnsi="Times New Roman" w:eastAsia="宋体" w:cs="宋体"/>
                      <w:color w:val="000000" w:themeColor="text1"/>
                      <w:kern w:val="0"/>
                      <w:sz w:val="21"/>
                      <w:szCs w:val="18"/>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18"/>
                      <w:lang w:val="en-US" w:eastAsia="zh-CN"/>
                      <w14:textFill>
                        <w14:solidFill>
                          <w14:schemeClr w14:val="tx1"/>
                        </w14:solidFill>
                      </w14:textFill>
                    </w:rPr>
                    <w:t>36.89</w:t>
                  </w:r>
                </w:p>
              </w:tc>
              <w:tc>
                <w:tcPr>
                  <w:tcW w:w="1649" w:type="dxa"/>
                  <w:vMerge w:val="continue"/>
                  <w:vAlign w:val="top"/>
                </w:tcPr>
                <w:p>
                  <w:pPr>
                    <w:jc w:val="center"/>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1506" w:type="dxa"/>
                  <w:vAlign w:val="top"/>
                </w:tcPr>
                <w:p>
                  <w:pPr>
                    <w:jc w:val="center"/>
                    <w:rPr>
                      <w:rFonts w:hint="eastAsia" w:ascii="Times New Roman" w:hAnsi="Times New Roman" w:cs="Times New Roman" w:eastAsiaTheme="minorEastAsia"/>
                      <w:lang w:val="en-US" w:eastAsia="zh-CN"/>
                    </w:rPr>
                  </w:pPr>
                  <w:r>
                    <w:rPr>
                      <w:rFonts w:hint="eastAsia" w:ascii="Times New Roman" w:hAnsi="Times New Roman" w:cs="Times New Roman"/>
                      <w:lang w:val="en-US" w:eastAsia="zh-CN"/>
                    </w:rPr>
                    <w:t>7</w:t>
                  </w:r>
                </w:p>
              </w:tc>
              <w:tc>
                <w:tcPr>
                  <w:tcW w:w="1953" w:type="dxa"/>
                  <w:vAlign w:val="top"/>
                </w:tcPr>
                <w:p>
                  <w:pPr>
                    <w:jc w:val="center"/>
                    <w:rPr>
                      <w:rFonts w:hint="default" w:ascii="Times New Roman" w:hAnsi="Times New Roman" w:cs="Times New Roman"/>
                    </w:rPr>
                  </w:pPr>
                  <w:r>
                    <w:rPr>
                      <w:rFonts w:hint="default" w:ascii="Times New Roman" w:hAnsi="Times New Roman" w:cs="Times New Roman"/>
                    </w:rPr>
                    <w:t>柴油</w:t>
                  </w:r>
                </w:p>
              </w:tc>
              <w:tc>
                <w:tcPr>
                  <w:tcW w:w="1532" w:type="dxa"/>
                  <w:vAlign w:val="top"/>
                </w:tcPr>
                <w:p>
                  <w:pPr>
                    <w:jc w:val="center"/>
                    <w:rPr>
                      <w:rFonts w:hint="default" w:ascii="Times New Roman" w:hAnsi="Times New Roman" w:cs="Times New Roman"/>
                    </w:rPr>
                  </w:pPr>
                  <w:r>
                    <w:rPr>
                      <w:rFonts w:hint="default" w:ascii="Times New Roman" w:hAnsi="Times New Roman" w:cs="Times New Roman"/>
                    </w:rPr>
                    <w:t>t</w:t>
                  </w:r>
                </w:p>
              </w:tc>
              <w:tc>
                <w:tcPr>
                  <w:tcW w:w="2538" w:type="dxa"/>
                  <w:vAlign w:val="top"/>
                </w:tcPr>
                <w:p>
                  <w:pPr>
                    <w:jc w:val="center"/>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4.67</w:t>
                  </w:r>
                </w:p>
              </w:tc>
              <w:tc>
                <w:tcPr>
                  <w:tcW w:w="1649" w:type="dxa"/>
                  <w:vMerge w:val="continue"/>
                  <w:vAlign w:val="top"/>
                </w:tcPr>
                <w:p>
                  <w:pPr>
                    <w:jc w:val="center"/>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97" w:hRule="atLeast"/>
                <w:jc w:val="center"/>
              </w:trPr>
              <w:tc>
                <w:tcPr>
                  <w:tcW w:w="9178" w:type="dxa"/>
                  <w:gridSpan w:val="5"/>
                  <w:vAlign w:val="top"/>
                </w:tcPr>
                <w:p>
                  <w:pPr>
                    <w:jc w:val="left"/>
                    <w:rPr>
                      <w:rFonts w:hint="default" w:ascii="Times New Roman" w:hAnsi="Times New Roman" w:cs="Times New Roman"/>
                    </w:rPr>
                  </w:pPr>
                  <w:r>
                    <w:rPr>
                      <w:rFonts w:hint="default" w:ascii="Times New Roman" w:hAnsi="Times New Roman" w:cs="Times New Roman"/>
                    </w:rPr>
                    <w:t>注：</w:t>
                  </w:r>
                </w:p>
                <w:p>
                  <w:pPr>
                    <w:jc w:val="left"/>
                    <w:rPr>
                      <w:rFonts w:hint="default" w:ascii="Times New Roman" w:hAnsi="Times New Roman" w:cs="Times New Roman"/>
                    </w:rPr>
                  </w:pPr>
                  <w:r>
                    <w:rPr>
                      <w:rFonts w:hint="default" w:ascii="Times New Roman" w:hAnsi="Times New Roman" w:cs="Times New Roman"/>
                    </w:rPr>
                    <w:t>1</w:t>
                  </w:r>
                  <w:r>
                    <w:rPr>
                      <w:rFonts w:hint="eastAsia" w:ascii="Times New Roman" w:hAnsi="Times New Roman" w:cs="Times New Roman"/>
                      <w:lang w:eastAsia="zh-CN"/>
                    </w:rPr>
                    <w:t>、</w:t>
                  </w:r>
                  <w:r>
                    <w:rPr>
                      <w:rFonts w:hint="eastAsia" w:ascii="Times New Roman" w:hAnsi="Times New Roman" w:cs="Times New Roman"/>
                      <w:lang w:val="en-US" w:eastAsia="zh-CN"/>
                    </w:rPr>
                    <w:t>本项目</w:t>
                  </w:r>
                  <w:r>
                    <w:rPr>
                      <w:rFonts w:hint="default" w:ascii="Times New Roman" w:hAnsi="Times New Roman" w:cs="Times New Roman"/>
                    </w:rPr>
                    <w:t>砂、卵石料从</w:t>
                  </w:r>
                  <w:r>
                    <w:rPr>
                      <w:rFonts w:hint="eastAsia" w:ascii="Times New Roman" w:hAnsi="Times New Roman" w:cs="Times New Roman"/>
                      <w:lang w:val="en-US" w:eastAsia="zh-CN"/>
                    </w:rPr>
                    <w:t>宣汉县境内砂石料厂购买</w:t>
                  </w:r>
                  <w:r>
                    <w:rPr>
                      <w:rFonts w:hint="default" w:ascii="Times New Roman" w:hAnsi="Times New Roman" w:cs="Times New Roman"/>
                    </w:rPr>
                    <w:t>；</w:t>
                  </w:r>
                </w:p>
                <w:p>
                  <w:pPr>
                    <w:jc w:val="left"/>
                    <w:rPr>
                      <w:rFonts w:hint="eastAsia" w:ascii="Times New Roman" w:hAnsi="Times New Roman" w:cs="Times New Roman" w:eastAsiaTheme="minorEastAsia"/>
                      <w:lang w:eastAsia="zh-CN"/>
                    </w:rPr>
                  </w:pPr>
                  <w:r>
                    <w:rPr>
                      <w:rFonts w:hint="default" w:ascii="Times New Roman" w:hAnsi="Times New Roman" w:cs="Times New Roman"/>
                    </w:rPr>
                    <w:t>2、本项目所需的外来建筑材料：水泥、钢材、木材、柴油等，均</w:t>
                  </w:r>
                  <w:r>
                    <w:rPr>
                      <w:rFonts w:hint="eastAsia" w:ascii="Times New Roman" w:hAnsi="Times New Roman" w:cs="Times New Roman"/>
                      <w:lang w:val="en-US" w:eastAsia="zh-CN"/>
                    </w:rPr>
                    <w:t>就近</w:t>
                  </w:r>
                  <w:r>
                    <w:rPr>
                      <w:rFonts w:hint="default" w:ascii="Times New Roman" w:hAnsi="Times New Roman" w:cs="Times New Roman"/>
                    </w:rPr>
                    <w:t>在</w:t>
                  </w:r>
                  <w:r>
                    <w:rPr>
                      <w:rFonts w:hint="eastAsia" w:ascii="Times New Roman" w:hAnsi="Times New Roman" w:cs="Times New Roman"/>
                      <w:lang w:val="en-US" w:eastAsia="zh-CN"/>
                    </w:rPr>
                    <w:t>宣汉县</w:t>
                  </w:r>
                  <w:r>
                    <w:rPr>
                      <w:rFonts w:hint="default" w:ascii="Times New Roman" w:hAnsi="Times New Roman" w:cs="Times New Roman"/>
                    </w:rPr>
                    <w:t>建材市场</w:t>
                  </w:r>
                  <w:r>
                    <w:rPr>
                      <w:rFonts w:hint="eastAsia" w:ascii="Times New Roman" w:hAnsi="Times New Roman" w:cs="Times New Roman"/>
                      <w:lang w:val="en-US" w:eastAsia="zh-CN"/>
                    </w:rPr>
                    <w:t>内</w:t>
                  </w:r>
                  <w:r>
                    <w:rPr>
                      <w:rFonts w:hint="default" w:ascii="Times New Roman" w:hAnsi="Times New Roman" w:cs="Times New Roman"/>
                    </w:rPr>
                    <w:t>购买</w:t>
                  </w:r>
                  <w:r>
                    <w:rPr>
                      <w:rFonts w:hint="eastAsia" w:ascii="Times New Roman" w:hAnsi="Times New Roman" w:cs="Times New Roman"/>
                      <w:lang w:eastAsia="zh-CN"/>
                    </w:rPr>
                    <w:t>；</w:t>
                  </w:r>
                </w:p>
                <w:p>
                  <w:pPr>
                    <w:jc w:val="left"/>
                    <w:rPr>
                      <w:rFonts w:hint="eastAsia" w:ascii="Times New Roman" w:hAnsi="Times New Roman" w:cs="Times New Roman" w:eastAsiaTheme="minorEastAsia"/>
                      <w:lang w:eastAsia="zh-CN"/>
                    </w:rPr>
                  </w:pPr>
                  <w:r>
                    <w:rPr>
                      <w:rFonts w:hint="default" w:ascii="Times New Roman" w:hAnsi="Times New Roman" w:cs="Times New Roman"/>
                    </w:rPr>
                    <w:t>3、本项目预制件在施工现场使用模具进行制作</w:t>
                  </w:r>
                  <w:r>
                    <w:rPr>
                      <w:rFonts w:hint="eastAsia" w:ascii="Times New Roman" w:hAnsi="Times New Roman" w:cs="Times New Roman"/>
                      <w:lang w:eastAsia="zh-CN"/>
                    </w:rPr>
                    <w:t>；</w:t>
                  </w:r>
                </w:p>
                <w:p>
                  <w:pPr>
                    <w:jc w:val="left"/>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4</w:t>
                  </w:r>
                  <w:r>
                    <w:rPr>
                      <w:rFonts w:hint="default" w:ascii="Times New Roman" w:hAnsi="Times New Roman" w:cs="Times New Roman"/>
                    </w:rPr>
                    <w:t>、本项目现场不进行石材加工</w:t>
                  </w:r>
                  <w:r>
                    <w:rPr>
                      <w:rFonts w:hint="eastAsia" w:ascii="Times New Roman" w:hAnsi="Times New Roman" w:cs="Times New Roman"/>
                      <w:lang w:eastAsia="zh-CN"/>
                    </w:rPr>
                    <w:t>；</w:t>
                  </w:r>
                  <w:r>
                    <w:rPr>
                      <w:rFonts w:hint="default" w:ascii="Times New Roman" w:hAnsi="Times New Roman" w:cs="Times New Roman"/>
                    </w:rPr>
                    <w:br w:type="textWrapping"/>
                  </w:r>
                  <w:r>
                    <w:rPr>
                      <w:rFonts w:hint="eastAsia" w:ascii="Times New Roman" w:hAnsi="Times New Roman" w:cs="Times New Roman"/>
                      <w:lang w:val="en-US" w:eastAsia="zh-CN"/>
                    </w:rPr>
                    <w:t>5、受项目施工规模及运输条件限制，本项目不使用商品混凝土，施工现场拌合。</w:t>
                  </w:r>
                </w:p>
              </w:tc>
            </w:tr>
          </w:tbl>
          <w:p>
            <w:pPr>
              <w:autoSpaceDE w:val="0"/>
              <w:autoSpaceDN w:val="0"/>
              <w:adjustRightInd w:val="0"/>
              <w:snapToGrid w:val="0"/>
              <w:spacing w:line="360" w:lineRule="auto"/>
              <w:jc w:val="center"/>
              <w:rPr>
                <w:rFonts w:hint="default" w:ascii="Times New Roman" w:hAnsi="Times New Roman" w:eastAsia="宋体" w:cs="Times New Roman"/>
                <w:b/>
                <w:kern w:val="0"/>
                <w:sz w:val="24"/>
                <w:szCs w:val="24"/>
                <w:lang w:val="en-US" w:eastAsia="zh-CN"/>
              </w:rPr>
            </w:pPr>
          </w:p>
          <w:p>
            <w:pPr>
              <w:autoSpaceDE w:val="0"/>
              <w:autoSpaceDN w:val="0"/>
              <w:adjustRightInd w:val="0"/>
              <w:snapToGrid w:val="0"/>
              <w:spacing w:line="360" w:lineRule="auto"/>
              <w:rPr>
                <w:rFonts w:hint="default" w:ascii="Times New Roman" w:hAnsi="Times New Roman" w:cs="Times New Roman" w:eastAsiaTheme="minorEastAsia"/>
                <w:b/>
                <w:kern w:val="0"/>
                <w:sz w:val="24"/>
                <w:szCs w:val="24"/>
                <w:lang w:val="en-US" w:eastAsia="zh-CN"/>
              </w:rPr>
            </w:pPr>
            <w:r>
              <w:rPr>
                <w:rFonts w:hint="eastAsia" w:ascii="Times New Roman" w:hAnsi="Times New Roman" w:cs="Times New Roman"/>
                <w:b/>
                <w:kern w:val="0"/>
                <w:sz w:val="24"/>
                <w:szCs w:val="24"/>
                <w:lang w:val="en-US" w:eastAsia="zh-CN"/>
              </w:rPr>
              <w:t>七、工程占地及土石方平衡</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一</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工厂占地</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1、工程永久占地</w:t>
            </w:r>
          </w:p>
          <w:p>
            <w:pPr>
              <w:autoSpaceDE w:val="0"/>
              <w:autoSpaceDN w:val="0"/>
              <w:adjustRightInd w:val="0"/>
              <w:snapToGrid w:val="0"/>
              <w:spacing w:line="360" w:lineRule="auto"/>
              <w:ind w:firstLine="480" w:firstLineChars="200"/>
              <w:rPr>
                <w:rFonts w:hint="default" w:ascii="Times New Roman" w:hAnsi="Times New Roman" w:cs="Times New Roman"/>
                <w:color w:val="000000" w:themeColor="text1"/>
                <w:sz w:val="24"/>
                <w:szCs w:val="24"/>
                <w:lang w:val="en-US" w:eastAsia="zh-CN"/>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本工程</w:t>
            </w:r>
            <w:r>
              <w:rPr>
                <w:rFonts w:hint="eastAsia" w:ascii="Times New Roman" w:hAnsi="Times New Roman" w:cs="Times New Roman"/>
                <w:color w:val="000000" w:themeColor="text1"/>
                <w:sz w:val="24"/>
                <w:szCs w:val="24"/>
                <w:lang w:val="en-US" w:eastAsia="zh-CN"/>
                <w14:textFill>
                  <w14:solidFill>
                    <w14:schemeClr w14:val="tx1"/>
                  </w14:solidFill>
                </w14:textFill>
              </w:rPr>
              <w:t>均为现有渠道的整治、现有渠道改管、渡槽整治、管道铺设上部覆土回填，不涉及新增占地。</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2、工程临时占地</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项目设置</w:t>
            </w:r>
            <w:r>
              <w:rPr>
                <w:rFonts w:hint="eastAsia" w:ascii="Times New Roman" w:hAnsi="Times New Roman" w:cs="Times New Roman"/>
                <w:color w:val="000000" w:themeColor="text1"/>
                <w:sz w:val="24"/>
                <w:szCs w:val="24"/>
                <w:lang w:val="en-US" w:eastAsia="zh-CN"/>
                <w14:textFill>
                  <w14:solidFill>
                    <w14:schemeClr w14:val="tx1"/>
                  </w14:solidFill>
                </w14:textFill>
              </w:rPr>
              <w:t>14</w:t>
            </w:r>
            <w:r>
              <w:rPr>
                <w:rFonts w:hint="eastAsia" w:ascii="Times New Roman" w:hAnsi="Times New Roman" w:cs="Times New Roman"/>
                <w:color w:val="000000" w:themeColor="text1"/>
                <w:sz w:val="24"/>
                <w:szCs w:val="24"/>
                <w14:textFill>
                  <w14:solidFill>
                    <w14:schemeClr w14:val="tx1"/>
                  </w14:solidFill>
                </w14:textFill>
              </w:rPr>
              <w:t>处</w:t>
            </w:r>
            <w:r>
              <w:rPr>
                <w:rFonts w:hint="eastAsia" w:ascii="Times New Roman" w:hAnsi="Times New Roman" w:cs="Times New Roman"/>
                <w:color w:val="000000" w:themeColor="text1"/>
                <w:sz w:val="24"/>
                <w:szCs w:val="24"/>
                <w:lang w:val="en-US" w:eastAsia="zh-CN"/>
                <w14:textFill>
                  <w14:solidFill>
                    <w14:schemeClr w14:val="tx1"/>
                  </w14:solidFill>
                </w14:textFill>
              </w:rPr>
              <w:t>临时施工场地、14处</w:t>
            </w:r>
            <w:r>
              <w:rPr>
                <w:rFonts w:ascii="Times New Roman" w:hAnsi="Times New Roman" w:cs="Times New Roman"/>
                <w:color w:val="000000" w:themeColor="text1"/>
                <w:sz w:val="24"/>
                <w:szCs w:val="24"/>
                <w14:textFill>
                  <w14:solidFill>
                    <w14:schemeClr w14:val="tx1"/>
                  </w14:solidFill>
                </w14:textFill>
              </w:rPr>
              <w:t>临时堆土场</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1</w:t>
            </w:r>
            <w:r>
              <w:rPr>
                <w:rFonts w:hint="eastAsia" w:ascii="Times New Roman" w:hAnsi="Times New Roman" w:cs="Times New Roman"/>
                <w:color w:val="000000" w:themeColor="text1"/>
                <w:sz w:val="24"/>
                <w:szCs w:val="24"/>
                <w:lang w:val="en-US" w:eastAsia="zh-CN"/>
                <w14:textFill>
                  <w14:solidFill>
                    <w14:schemeClr w14:val="tx1"/>
                  </w14:solidFill>
                </w14:textFill>
              </w:rPr>
              <w:t>1</w:t>
            </w:r>
            <w:r>
              <w:rPr>
                <w:rFonts w:hint="eastAsia" w:ascii="Times New Roman" w:hAnsi="Times New Roman" w:cs="Times New Roman"/>
                <w:color w:val="000000" w:themeColor="text1"/>
                <w:sz w:val="24"/>
                <w:szCs w:val="24"/>
                <w14:textFill>
                  <w14:solidFill>
                    <w14:schemeClr w14:val="tx1"/>
                  </w14:solidFill>
                </w14:textFill>
              </w:rPr>
              <w:t>处淤泥堆放场</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施工便道依托周边已建道路不再单独设置，</w:t>
            </w:r>
            <w:r>
              <w:rPr>
                <w:rFonts w:hint="eastAsia" w:ascii="Times New Roman" w:hAnsi="Times New Roman" w:cs="Times New Roman"/>
                <w:color w:val="000000" w:themeColor="text1"/>
                <w:sz w:val="24"/>
                <w:szCs w:val="24"/>
                <w:lang w:val="en-US" w:eastAsia="zh-CN"/>
                <w14:textFill>
                  <w14:solidFill>
                    <w14:schemeClr w14:val="tx1"/>
                  </w14:solidFill>
                </w14:textFill>
              </w:rPr>
              <w:t>临时</w:t>
            </w:r>
            <w:r>
              <w:rPr>
                <w:rFonts w:hint="eastAsia" w:ascii="Times New Roman" w:hAnsi="Times New Roman" w:cs="Times New Roman"/>
                <w:color w:val="000000" w:themeColor="text1"/>
                <w:sz w:val="24"/>
                <w:szCs w:val="24"/>
                <w14:textFill>
                  <w14:solidFill>
                    <w14:schemeClr w14:val="tx1"/>
                  </w14:solidFill>
                </w14:textFill>
              </w:rPr>
              <w:t>占地类型以未利用地为主，</w:t>
            </w:r>
            <w:r>
              <w:rPr>
                <w:rFonts w:hint="eastAsia" w:ascii="Times New Roman" w:hAnsi="Times New Roman" w:cs="Times New Roman"/>
                <w:color w:val="000000" w:themeColor="text1"/>
                <w:sz w:val="24"/>
                <w:szCs w:val="24"/>
                <w:u w:val="single"/>
                <w14:textFill>
                  <w14:solidFill>
                    <w14:schemeClr w14:val="tx1"/>
                  </w14:solidFill>
                </w14:textFill>
              </w:rPr>
              <w:t>不涉及占用永久基本农田</w:t>
            </w:r>
            <w:r>
              <w:rPr>
                <w:rFonts w:hint="eastAsia"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hint="eastAsia" w:ascii="Times New Roman" w:hAnsi="Times New Roman" w:cs="Times New Roman"/>
                <w:b/>
                <w:kern w:val="0"/>
                <w:sz w:val="21"/>
                <w:szCs w:val="21"/>
                <w:lang w:val="en-US" w:eastAsia="zh-CN"/>
              </w:rPr>
            </w:pPr>
            <w:r>
              <w:rPr>
                <w:rFonts w:hint="eastAsia" w:ascii="Times New Roman" w:hAnsi="Times New Roman" w:cs="Times New Roman"/>
                <w:b w:val="0"/>
                <w:bCs/>
                <w:kern w:val="0"/>
                <w:sz w:val="24"/>
                <w:szCs w:val="24"/>
                <w:lang w:val="en-US" w:eastAsia="zh-CN"/>
              </w:rPr>
              <w:t>根据项目水土保持方案，工程占地情况见下表。</w:t>
            </w:r>
          </w:p>
          <w:p>
            <w:pPr>
              <w:autoSpaceDE w:val="0"/>
              <w:autoSpaceDN w:val="0"/>
              <w:adjustRightInd w:val="0"/>
              <w:snapToGrid w:val="0"/>
              <w:spacing w:line="240" w:lineRule="auto"/>
              <w:jc w:val="center"/>
              <w:rPr>
                <w:rFonts w:hint="default" w:ascii="Times New Roman" w:hAnsi="Times New Roman" w:cs="Times New Roman" w:eastAsiaTheme="minorEastAsia"/>
                <w:b/>
                <w:kern w:val="0"/>
                <w:sz w:val="21"/>
                <w:szCs w:val="21"/>
                <w:lang w:val="en-US" w:eastAsia="zh-CN"/>
              </w:rPr>
            </w:pPr>
            <w:r>
              <w:rPr>
                <w:rFonts w:hint="eastAsia" w:ascii="Times New Roman" w:hAnsi="Times New Roman" w:cs="Times New Roman"/>
                <w:b/>
                <w:kern w:val="0"/>
                <w:sz w:val="21"/>
                <w:szCs w:val="21"/>
                <w:lang w:val="en-US" w:eastAsia="zh-CN"/>
              </w:rPr>
              <w:t>表2-12  工程占地情况一览表         单位：m</w:t>
            </w:r>
            <w:r>
              <w:rPr>
                <w:rFonts w:hint="eastAsia" w:ascii="Times New Roman" w:hAnsi="Times New Roman" w:cs="Times New Roman"/>
                <w:b/>
                <w:kern w:val="0"/>
                <w:sz w:val="21"/>
                <w:szCs w:val="21"/>
                <w:vertAlign w:val="superscript"/>
                <w:lang w:val="en-US" w:eastAsia="zh-CN"/>
              </w:rPr>
              <w:t>2</w:t>
            </w:r>
          </w:p>
          <w:tbl>
            <w:tblPr>
              <w:tblStyle w:val="26"/>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5"/>
              <w:gridCol w:w="1129"/>
              <w:gridCol w:w="1239"/>
              <w:gridCol w:w="709"/>
              <w:gridCol w:w="701"/>
              <w:gridCol w:w="758"/>
              <w:gridCol w:w="778"/>
              <w:gridCol w:w="1936"/>
              <w:gridCol w:w="7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tblHeader/>
                <w:jc w:val="center"/>
              </w:trPr>
              <w:tc>
                <w:tcPr>
                  <w:tcW w:w="1275" w:type="dxa"/>
                  <w:vMerge w:val="restart"/>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b/>
                      <w:bCs/>
                      <w:color w:val="000000" w:themeColor="text1"/>
                      <w:kern w:val="2"/>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类别</w:t>
                  </w:r>
                </w:p>
              </w:tc>
              <w:tc>
                <w:tcPr>
                  <w:tcW w:w="1129" w:type="dxa"/>
                  <w:vMerge w:val="restart"/>
                  <w:tcBorders>
                    <w:tl2br w:val="nil"/>
                    <w:tr2bl w:val="nil"/>
                  </w:tcBorders>
                  <w:shd w:val="clear" w:color="auto" w:fill="auto"/>
                  <w:noWrap/>
                  <w:vAlign w:val="center"/>
                </w:tcPr>
                <w:p>
                  <w:pPr>
                    <w:widowControl/>
                    <w:jc w:val="center"/>
                    <w:textAlignment w:val="center"/>
                    <w:rPr>
                      <w:rFonts w:hint="eastAsia" w:ascii="Times New Roman" w:hAnsi="Times New Roman" w:eastAsia="宋体" w:cs="Times New Roman"/>
                      <w:b/>
                      <w:bCs/>
                      <w:color w:val="000000" w:themeColor="text1"/>
                      <w:kern w:val="2"/>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kern w:val="2"/>
                      <w:sz w:val="21"/>
                      <w:szCs w:val="21"/>
                      <w:lang w:val="en-US" w:eastAsia="zh-CN"/>
                      <w14:textFill>
                        <w14:solidFill>
                          <w14:schemeClr w14:val="tx1"/>
                        </w14:solidFill>
                      </w14:textFill>
                    </w:rPr>
                    <w:t>分类</w:t>
                  </w:r>
                </w:p>
              </w:tc>
              <w:tc>
                <w:tcPr>
                  <w:tcW w:w="1239" w:type="dxa"/>
                  <w:vMerge w:val="restart"/>
                  <w:tcBorders>
                    <w:tl2br w:val="nil"/>
                    <w:tr2bl w:val="nil"/>
                  </w:tcBorders>
                  <w:shd w:val="clear" w:color="auto" w:fill="auto"/>
                  <w:noWrap/>
                  <w:vAlign w:val="center"/>
                </w:tcPr>
                <w:p>
                  <w:pPr>
                    <w:widowControl/>
                    <w:jc w:val="center"/>
                    <w:textAlignment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lang w:bidi="ar"/>
                      <w14:textFill>
                        <w14:solidFill>
                          <w14:schemeClr w14:val="tx1"/>
                        </w14:solidFill>
                      </w14:textFill>
                    </w:rPr>
                    <w:t>占地性质</w:t>
                  </w:r>
                </w:p>
              </w:tc>
              <w:tc>
                <w:tcPr>
                  <w:tcW w:w="5639" w:type="dxa"/>
                  <w:gridSpan w:val="6"/>
                  <w:tcBorders>
                    <w:tl2br w:val="nil"/>
                    <w:tr2bl w:val="nil"/>
                  </w:tcBorders>
                  <w:shd w:val="clear" w:color="auto" w:fill="auto"/>
                  <w:noWrap/>
                  <w:vAlign w:val="center"/>
                </w:tcPr>
                <w:p>
                  <w:pPr>
                    <w:widowControl/>
                    <w:jc w:val="center"/>
                    <w:textAlignment w:val="center"/>
                    <w:rPr>
                      <w:rFonts w:hint="default" w:ascii="Times New Roman" w:hAnsi="Times New Roman" w:eastAsia="宋体" w:cs="Times New Roman"/>
                      <w:b/>
                      <w:bCs/>
                      <w:color w:val="000000" w:themeColor="text1"/>
                      <w:sz w:val="21"/>
                      <w:szCs w:val="21"/>
                      <w:lang w:bidi="ar"/>
                      <w14:textFill>
                        <w14:solidFill>
                          <w14:schemeClr w14:val="tx1"/>
                        </w14:solidFill>
                      </w14:textFill>
                    </w:rPr>
                  </w:pPr>
                  <w:r>
                    <w:rPr>
                      <w:rFonts w:hint="default" w:ascii="Times New Roman" w:hAnsi="Times New Roman" w:eastAsia="宋体" w:cs="Times New Roman"/>
                      <w:b/>
                      <w:bCs/>
                      <w:color w:val="000000" w:themeColor="text1"/>
                      <w:sz w:val="21"/>
                      <w:szCs w:val="21"/>
                      <w:lang w:bidi="ar"/>
                      <w14:textFill>
                        <w14:solidFill>
                          <w14:schemeClr w14:val="tx1"/>
                        </w14:solidFill>
                      </w14:textFill>
                    </w:rPr>
                    <w:t>占地类型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89" w:hRule="atLeast"/>
                <w:tblHeader/>
                <w:jc w:val="center"/>
              </w:trPr>
              <w:tc>
                <w:tcPr>
                  <w:tcW w:w="1275" w:type="dxa"/>
                  <w:vMerge w:val="continue"/>
                  <w:tcBorders>
                    <w:tl2br w:val="nil"/>
                    <w:tr2bl w:val="nil"/>
                  </w:tcBorders>
                  <w:shd w:val="clear" w:color="auto" w:fill="auto"/>
                  <w:vAlign w:val="center"/>
                </w:tcPr>
                <w:p>
                  <w:pPr>
                    <w:widowControl/>
                    <w:jc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p>
              </w:tc>
              <w:tc>
                <w:tcPr>
                  <w:tcW w:w="1129" w:type="dxa"/>
                  <w:vMerge w:val="continue"/>
                  <w:tcBorders>
                    <w:tl2br w:val="nil"/>
                    <w:tr2bl w:val="nil"/>
                  </w:tcBorders>
                  <w:shd w:val="clear" w:color="auto" w:fill="auto"/>
                  <w:noWrap/>
                  <w:vAlign w:val="center"/>
                </w:tcPr>
                <w:p>
                  <w:pPr>
                    <w:widowControl/>
                    <w:jc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p>
              </w:tc>
              <w:tc>
                <w:tcPr>
                  <w:tcW w:w="1239" w:type="dxa"/>
                  <w:vMerge w:val="continue"/>
                  <w:tcBorders>
                    <w:tl2br w:val="nil"/>
                    <w:tr2bl w:val="nil"/>
                  </w:tcBorders>
                  <w:shd w:val="clear" w:color="auto" w:fill="auto"/>
                  <w:vAlign w:val="center"/>
                </w:tcPr>
                <w:p>
                  <w:pPr>
                    <w:widowControl/>
                    <w:jc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p>
              </w:tc>
              <w:tc>
                <w:tcPr>
                  <w:tcW w:w="70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lang w:bidi="ar"/>
                      <w14:textFill>
                        <w14:solidFill>
                          <w14:schemeClr w14:val="tx1"/>
                        </w14:solidFill>
                      </w14:textFill>
                    </w:rPr>
                    <w:t>耕地</w:t>
                  </w:r>
                </w:p>
              </w:tc>
              <w:tc>
                <w:tcPr>
                  <w:tcW w:w="701"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草</w:t>
                  </w:r>
                  <w:r>
                    <w:rPr>
                      <w:rFonts w:hint="default" w:ascii="Times New Roman" w:hAnsi="Times New Roman" w:eastAsia="宋体" w:cs="Times New Roman"/>
                      <w:b/>
                      <w:bCs/>
                      <w:color w:val="000000" w:themeColor="text1"/>
                      <w:sz w:val="21"/>
                      <w:szCs w:val="21"/>
                      <w:lang w:bidi="ar"/>
                      <w14:textFill>
                        <w14:solidFill>
                          <w14:schemeClr w14:val="tx1"/>
                        </w14:solidFill>
                      </w14:textFill>
                    </w:rPr>
                    <w:t>地</w:t>
                  </w:r>
                </w:p>
              </w:tc>
              <w:tc>
                <w:tcPr>
                  <w:tcW w:w="758"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b/>
                      <w:bCs/>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1"/>
                      <w:szCs w:val="21"/>
                      <w:lang w:val="en-US" w:eastAsia="zh-CN"/>
                      <w14:textFill>
                        <w14:solidFill>
                          <w14:schemeClr w14:val="tx1"/>
                        </w14:solidFill>
                      </w14:textFill>
                    </w:rPr>
                    <w:t>未利用地</w:t>
                  </w:r>
                </w:p>
              </w:tc>
              <w:tc>
                <w:tcPr>
                  <w:tcW w:w="77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lang w:bidi="ar"/>
                      <w14:textFill>
                        <w14:solidFill>
                          <w14:schemeClr w14:val="tx1"/>
                        </w14:solidFill>
                      </w14:textFill>
                    </w:rPr>
                    <w:t>交通运输用地</w:t>
                  </w:r>
                </w:p>
              </w:tc>
              <w:tc>
                <w:tcPr>
                  <w:tcW w:w="1936"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林地（乔木林地、</w:t>
                  </w:r>
                </w:p>
                <w:p>
                  <w:pPr>
                    <w:widowControl/>
                    <w:jc w:val="center"/>
                    <w:textAlignment w:val="center"/>
                    <w:rPr>
                      <w:rFonts w:hint="eastAsia" w:ascii="Times New Roman" w:hAnsi="Times New Roman" w:eastAsia="宋体" w:cs="Times New Roman"/>
                      <w:b/>
                      <w:bCs/>
                      <w:color w:val="000000" w:themeColor="text1"/>
                      <w:kern w:val="2"/>
                      <w:sz w:val="21"/>
                      <w:szCs w:val="21"/>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灌木林地，不占用公益林、天然林）</w:t>
                  </w:r>
                </w:p>
              </w:tc>
              <w:tc>
                <w:tcPr>
                  <w:tcW w:w="757" w:type="dxa"/>
                  <w:tcBorders>
                    <w:tl2br w:val="nil"/>
                    <w:tr2bl w:val="nil"/>
                  </w:tcBorders>
                  <w:shd w:val="clear" w:color="auto" w:fill="auto"/>
                  <w:noWrap/>
                  <w:vAlign w:val="center"/>
                </w:tcPr>
                <w:p>
                  <w:pPr>
                    <w:widowControl/>
                    <w:jc w:val="center"/>
                    <w:textAlignment w:val="center"/>
                    <w:rPr>
                      <w:rFonts w:hint="default" w:ascii="Times New Roman" w:hAnsi="Times New Roman" w:eastAsia="宋体" w:cs="Times New Roman"/>
                      <w:b/>
                      <w:bCs/>
                      <w:color w:val="000000" w:themeColor="text1"/>
                      <w:kern w:val="2"/>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lang w:bidi="ar"/>
                      <w14:textFill>
                        <w14:solidFill>
                          <w14:schemeClr w14:val="tx1"/>
                        </w14:solidFill>
                      </w14:textFill>
                    </w:rPr>
                    <w:t>小计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1275"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bidi="ar"/>
                      <w14:textFill>
                        <w14:solidFill>
                          <w14:schemeClr w14:val="tx1"/>
                        </w14:solidFill>
                      </w14:textFill>
                    </w:rPr>
                    <w:t>主体工程区</w:t>
                  </w:r>
                </w:p>
              </w:tc>
              <w:tc>
                <w:tcPr>
                  <w:tcW w:w="1129"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1239"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70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701"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75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77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1936"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75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1275" w:type="dxa"/>
                  <w:vMerge w:val="restart"/>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临时工程区</w:t>
                  </w:r>
                </w:p>
              </w:tc>
              <w:tc>
                <w:tcPr>
                  <w:tcW w:w="112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临时施工场地</w:t>
                  </w:r>
                </w:p>
              </w:tc>
              <w:tc>
                <w:tcPr>
                  <w:tcW w:w="123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新增</w:t>
                  </w:r>
                  <w:r>
                    <w:rPr>
                      <w:rFonts w:hint="default" w:ascii="Times New Roman" w:hAnsi="Times New Roman" w:eastAsia="宋体" w:cs="Times New Roman"/>
                      <w:color w:val="000000" w:themeColor="text1"/>
                      <w:kern w:val="2"/>
                      <w:sz w:val="21"/>
                      <w:szCs w:val="21"/>
                      <w14:textFill>
                        <w14:solidFill>
                          <w14:schemeClr w14:val="tx1"/>
                        </w14:solidFill>
                      </w14:textFill>
                    </w:rPr>
                    <w:t>临时占地</w:t>
                  </w:r>
                </w:p>
              </w:tc>
              <w:tc>
                <w:tcPr>
                  <w:tcW w:w="70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701"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750</w:t>
                  </w:r>
                </w:p>
              </w:tc>
              <w:tc>
                <w:tcPr>
                  <w:tcW w:w="75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7650</w:t>
                  </w:r>
                  <w:r>
                    <w:rPr>
                      <w:rFonts w:hint="default" w:ascii="Times New Roman" w:hAnsi="Times New Roman" w:eastAsia="宋体" w:cs="Times New Roman"/>
                      <w:color w:val="000000" w:themeColor="text1"/>
                      <w:sz w:val="21"/>
                      <w:szCs w:val="21"/>
                      <w:lang w:bidi="ar"/>
                      <w14:textFill>
                        <w14:solidFill>
                          <w14:schemeClr w14:val="tx1"/>
                        </w14:solidFill>
                      </w14:textFill>
                    </w:rPr>
                    <w:t xml:space="preserve"> </w:t>
                  </w:r>
                </w:p>
              </w:tc>
              <w:tc>
                <w:tcPr>
                  <w:tcW w:w="77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1936"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75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8400</w:t>
                  </w:r>
                  <w:r>
                    <w:rPr>
                      <w:rFonts w:hint="default" w:ascii="Times New Roman" w:hAnsi="Times New Roman" w:eastAsia="宋体" w:cs="Times New Roman"/>
                      <w:color w:val="000000" w:themeColor="text1"/>
                      <w:sz w:val="21"/>
                      <w:szCs w:val="21"/>
                      <w:lang w:bidi="ar"/>
                      <w14:textFill>
                        <w14:solidFill>
                          <w14:schemeClr w14:val="tx1"/>
                        </w14:solidFill>
                      </w14:textFill>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1275" w:type="dxa"/>
                  <w:vMerge w:val="continue"/>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sz w:val="21"/>
                      <w:szCs w:val="21"/>
                      <w:lang w:bidi="ar"/>
                      <w14:textFill>
                        <w14:solidFill>
                          <w14:schemeClr w14:val="tx1"/>
                        </w14:solidFill>
                      </w14:textFill>
                    </w:rPr>
                  </w:pPr>
                </w:p>
              </w:tc>
              <w:tc>
                <w:tcPr>
                  <w:tcW w:w="112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临时堆土场</w:t>
                  </w:r>
                </w:p>
              </w:tc>
              <w:tc>
                <w:tcPr>
                  <w:tcW w:w="123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新增</w:t>
                  </w:r>
                  <w:r>
                    <w:rPr>
                      <w:rFonts w:hint="default" w:ascii="Times New Roman" w:hAnsi="Times New Roman" w:eastAsia="宋体" w:cs="Times New Roman"/>
                      <w:color w:val="000000" w:themeColor="text1"/>
                      <w:kern w:val="2"/>
                      <w:sz w:val="21"/>
                      <w:szCs w:val="21"/>
                      <w14:textFill>
                        <w14:solidFill>
                          <w14:schemeClr w14:val="tx1"/>
                        </w14:solidFill>
                      </w14:textFill>
                    </w:rPr>
                    <w:t>临时占地</w:t>
                  </w:r>
                </w:p>
              </w:tc>
              <w:tc>
                <w:tcPr>
                  <w:tcW w:w="70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701"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355</w:t>
                  </w:r>
                </w:p>
              </w:tc>
              <w:tc>
                <w:tcPr>
                  <w:tcW w:w="75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2445</w:t>
                  </w:r>
                  <w:r>
                    <w:rPr>
                      <w:rFonts w:hint="default" w:ascii="Times New Roman" w:hAnsi="Times New Roman" w:eastAsia="宋体" w:cs="Times New Roman"/>
                      <w:color w:val="000000" w:themeColor="text1"/>
                      <w:sz w:val="21"/>
                      <w:szCs w:val="21"/>
                      <w:lang w:bidi="ar"/>
                      <w14:textFill>
                        <w14:solidFill>
                          <w14:schemeClr w14:val="tx1"/>
                        </w14:solidFill>
                      </w14:textFill>
                    </w:rPr>
                    <w:t xml:space="preserve"> </w:t>
                  </w:r>
                </w:p>
              </w:tc>
              <w:tc>
                <w:tcPr>
                  <w:tcW w:w="77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1936"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75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2800</w:t>
                  </w:r>
                  <w:r>
                    <w:rPr>
                      <w:rFonts w:hint="default" w:ascii="Times New Roman" w:hAnsi="Times New Roman" w:eastAsia="宋体" w:cs="Times New Roman"/>
                      <w:color w:val="000000" w:themeColor="text1"/>
                      <w:sz w:val="21"/>
                      <w:szCs w:val="21"/>
                      <w:lang w:bidi="ar"/>
                      <w14:textFill>
                        <w14:solidFill>
                          <w14:schemeClr w14:val="tx1"/>
                        </w14:solidFill>
                      </w14:textFill>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1275" w:type="dxa"/>
                  <w:vMerge w:val="continue"/>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12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cs="Times New Roman"/>
                      <w:color w:val="000000" w:themeColor="text1"/>
                      <w:sz w:val="21"/>
                      <w:szCs w:val="21"/>
                      <w14:textFill>
                        <w14:solidFill>
                          <w14:schemeClr w14:val="tx1"/>
                        </w14:solidFill>
                      </w14:textFill>
                    </w:rPr>
                    <w:t>淤泥堆放场</w:t>
                  </w:r>
                </w:p>
              </w:tc>
              <w:tc>
                <w:tcPr>
                  <w:tcW w:w="123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新增</w:t>
                  </w:r>
                  <w:r>
                    <w:rPr>
                      <w:rFonts w:hint="default" w:ascii="Times New Roman" w:hAnsi="Times New Roman" w:eastAsia="宋体" w:cs="Times New Roman"/>
                      <w:color w:val="000000" w:themeColor="text1"/>
                      <w:kern w:val="2"/>
                      <w:sz w:val="21"/>
                      <w:szCs w:val="21"/>
                      <w14:textFill>
                        <w14:solidFill>
                          <w14:schemeClr w14:val="tx1"/>
                        </w14:solidFill>
                      </w14:textFill>
                    </w:rPr>
                    <w:t>临时占地</w:t>
                  </w:r>
                </w:p>
              </w:tc>
              <w:tc>
                <w:tcPr>
                  <w:tcW w:w="709"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701"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198</w:t>
                  </w:r>
                </w:p>
              </w:tc>
              <w:tc>
                <w:tcPr>
                  <w:tcW w:w="75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2002</w:t>
                  </w:r>
                  <w:r>
                    <w:rPr>
                      <w:rFonts w:hint="default" w:ascii="Times New Roman" w:hAnsi="Times New Roman" w:eastAsia="宋体" w:cs="Times New Roman"/>
                      <w:color w:val="000000" w:themeColor="text1"/>
                      <w:sz w:val="21"/>
                      <w:szCs w:val="21"/>
                      <w:lang w:bidi="ar"/>
                      <w14:textFill>
                        <w14:solidFill>
                          <w14:schemeClr w14:val="tx1"/>
                        </w14:solidFill>
                      </w14:textFill>
                    </w:rPr>
                    <w:t xml:space="preserve"> </w:t>
                  </w:r>
                </w:p>
              </w:tc>
              <w:tc>
                <w:tcPr>
                  <w:tcW w:w="77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1936"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0</w:t>
                  </w:r>
                </w:p>
              </w:tc>
              <w:tc>
                <w:tcPr>
                  <w:tcW w:w="75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
                      <w14:textFill>
                        <w14:solidFill>
                          <w14:schemeClr w14:val="tx1"/>
                        </w14:solidFill>
                      </w14:textFill>
                    </w:rPr>
                    <w:t>2200</w:t>
                  </w:r>
                  <w:r>
                    <w:rPr>
                      <w:rFonts w:hint="default" w:ascii="Times New Roman" w:hAnsi="Times New Roman" w:eastAsia="宋体" w:cs="Times New Roman"/>
                      <w:color w:val="000000" w:themeColor="text1"/>
                      <w:sz w:val="21"/>
                      <w:szCs w:val="21"/>
                      <w:lang w:bidi="ar"/>
                      <w14:textFill>
                        <w14:solidFill>
                          <w14:schemeClr w14:val="tx1"/>
                        </w14:solidFill>
                      </w14:textFill>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3643" w:type="dxa"/>
                  <w:gridSpan w:val="3"/>
                  <w:tcBorders>
                    <w:tl2br w:val="nil"/>
                    <w:tr2bl w:val="nil"/>
                  </w:tcBorders>
                  <w:shd w:val="clear" w:color="auto" w:fill="auto"/>
                  <w:vAlign w:val="center"/>
                </w:tcPr>
                <w:p>
                  <w:pPr>
                    <w:widowControl/>
                    <w:jc w:val="center"/>
                    <w:rPr>
                      <w:rFonts w:hint="default" w:ascii="Times New Roman" w:hAnsi="Times New Roman" w:eastAsia="宋体" w:cs="Times New Roman"/>
                      <w:color w:val="000000" w:themeColor="text1"/>
                      <w:sz w:val="21"/>
                      <w:szCs w:val="21"/>
                      <w:lang w:bidi="ar"/>
                      <w14:textFill>
                        <w14:solidFill>
                          <w14:schemeClr w14:val="tx1"/>
                        </w14:solidFill>
                      </w14:textFill>
                    </w:rPr>
                  </w:pPr>
                  <w:r>
                    <w:rPr>
                      <w:rFonts w:hint="default" w:ascii="Times New Roman" w:hAnsi="Times New Roman" w:eastAsia="宋体" w:cs="Times New Roman"/>
                      <w:color w:val="000000" w:themeColor="text1"/>
                      <w:sz w:val="21"/>
                      <w:szCs w:val="21"/>
                      <w:lang w:bidi="ar"/>
                      <w14:textFill>
                        <w14:solidFill>
                          <w14:schemeClr w14:val="tx1"/>
                        </w14:solidFill>
                      </w14:textFill>
                    </w:rPr>
                    <w:t>合计</w:t>
                  </w:r>
                </w:p>
              </w:tc>
              <w:tc>
                <w:tcPr>
                  <w:tcW w:w="709"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0</w:t>
                  </w:r>
                </w:p>
              </w:tc>
              <w:tc>
                <w:tcPr>
                  <w:tcW w:w="701"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1303</w:t>
                  </w:r>
                </w:p>
              </w:tc>
              <w:tc>
                <w:tcPr>
                  <w:tcW w:w="75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12097</w:t>
                  </w:r>
                </w:p>
              </w:tc>
              <w:tc>
                <w:tcPr>
                  <w:tcW w:w="778"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0</w:t>
                  </w:r>
                </w:p>
              </w:tc>
              <w:tc>
                <w:tcPr>
                  <w:tcW w:w="1936"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0</w:t>
                  </w:r>
                </w:p>
              </w:tc>
              <w:tc>
                <w:tcPr>
                  <w:tcW w:w="75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t>13400</w:t>
                  </w:r>
                </w:p>
              </w:tc>
            </w:tr>
          </w:tbl>
          <w:p>
            <w:pPr>
              <w:autoSpaceDE w:val="0"/>
              <w:autoSpaceDN w:val="0"/>
              <w:adjustRightInd w:val="0"/>
              <w:snapToGrid w:val="0"/>
              <w:spacing w:line="240" w:lineRule="auto"/>
              <w:jc w:val="center"/>
              <w:rPr>
                <w:rFonts w:hint="default" w:ascii="Times New Roman" w:hAnsi="Times New Roman" w:cs="Times New Roman" w:eastAsiaTheme="minorEastAsia"/>
                <w:b/>
                <w:kern w:val="0"/>
                <w:sz w:val="21"/>
                <w:szCs w:val="21"/>
                <w:lang w:val="en-US" w:eastAsia="zh-CN"/>
              </w:rPr>
            </w:pPr>
          </w:p>
          <w:p>
            <w:pPr>
              <w:autoSpaceDE w:val="0"/>
              <w:autoSpaceDN w:val="0"/>
              <w:adjustRightInd w:val="0"/>
              <w:snapToGrid w:val="0"/>
              <w:spacing w:line="360" w:lineRule="auto"/>
              <w:ind w:firstLine="482" w:firstLineChars="200"/>
              <w:rPr>
                <w:rFonts w:hint="default" w:ascii="Times New Roman" w:hAnsi="Times New Roman" w:cs="Times New Roman" w:eastAsiaTheme="minorEastAsia"/>
                <w:b/>
                <w:kern w:val="0"/>
                <w:sz w:val="24"/>
                <w:szCs w:val="24"/>
                <w:lang w:val="en-US" w:eastAsia="zh-CN"/>
              </w:rPr>
            </w:pPr>
            <w:r>
              <w:rPr>
                <w:rFonts w:hint="eastAsia" w:ascii="Times New Roman" w:hAnsi="Times New Roman" w:cs="Times New Roman"/>
                <w:b/>
                <w:kern w:val="0"/>
                <w:sz w:val="24"/>
                <w:szCs w:val="24"/>
                <w:lang w:eastAsia="zh-CN"/>
              </w:rPr>
              <w:t>（</w:t>
            </w:r>
            <w:r>
              <w:rPr>
                <w:rFonts w:hint="eastAsia" w:ascii="Times New Roman" w:hAnsi="Times New Roman" w:cs="Times New Roman"/>
                <w:b/>
                <w:kern w:val="0"/>
                <w:sz w:val="24"/>
                <w:szCs w:val="24"/>
                <w:lang w:val="en-US" w:eastAsia="zh-CN"/>
              </w:rPr>
              <w:t>二</w:t>
            </w:r>
            <w:r>
              <w:rPr>
                <w:rFonts w:hint="eastAsia" w:ascii="Times New Roman" w:hAnsi="Times New Roman" w:cs="Times New Roman"/>
                <w:b/>
                <w:kern w:val="0"/>
                <w:sz w:val="24"/>
                <w:szCs w:val="24"/>
                <w:lang w:eastAsia="zh-CN"/>
              </w:rPr>
              <w:t>）</w:t>
            </w:r>
            <w:r>
              <w:rPr>
                <w:rFonts w:hint="eastAsia" w:ascii="Times New Roman" w:hAnsi="Times New Roman" w:cs="Times New Roman"/>
                <w:b/>
                <w:kern w:val="0"/>
                <w:sz w:val="24"/>
                <w:szCs w:val="24"/>
                <w:lang w:val="en-US" w:eastAsia="zh-CN"/>
              </w:rPr>
              <w:t>土石方平衡</w:t>
            </w:r>
          </w:p>
          <w:p>
            <w:pPr>
              <w:autoSpaceDE w:val="0"/>
              <w:autoSpaceDN w:val="0"/>
              <w:adjustRightInd w:val="0"/>
              <w:snapToGrid w:val="0"/>
              <w:spacing w:line="360" w:lineRule="auto"/>
              <w:ind w:firstLine="480"/>
              <w:rPr>
                <w:rFonts w:hint="eastAsia" w:ascii="Times New Roman" w:hAnsi="Times New Roman" w:cs="Times New Roman" w:eastAsiaTheme="minorEastAsia"/>
                <w:kern w:val="0"/>
                <w:sz w:val="24"/>
                <w:szCs w:val="24"/>
                <w:lang w:eastAsia="zh-CN"/>
              </w:rPr>
            </w:pPr>
            <w:r>
              <w:rPr>
                <w:rFonts w:ascii="Times New Roman" w:hAnsi="Times New Roman" w:cs="Times New Roman"/>
                <w:kern w:val="0"/>
                <w:sz w:val="24"/>
                <w:szCs w:val="24"/>
              </w:rPr>
              <w:t>1、表土剥离和</w:t>
            </w:r>
            <w:r>
              <w:rPr>
                <w:rFonts w:hint="eastAsia" w:ascii="Times New Roman" w:hAnsi="Times New Roman" w:cs="Times New Roman"/>
                <w:kern w:val="0"/>
                <w:sz w:val="24"/>
                <w:szCs w:val="24"/>
                <w:lang w:val="en-US" w:eastAsia="zh-CN"/>
              </w:rPr>
              <w:t>迹地恢复</w:t>
            </w:r>
            <w:r>
              <w:rPr>
                <w:rFonts w:ascii="Times New Roman" w:hAnsi="Times New Roman" w:cs="Times New Roman"/>
                <w:kern w:val="0"/>
                <w:sz w:val="24"/>
                <w:szCs w:val="24"/>
              </w:rPr>
              <w:t>覆土</w:t>
            </w:r>
          </w:p>
          <w:p>
            <w:pPr>
              <w:autoSpaceDE w:val="0"/>
              <w:autoSpaceDN w:val="0"/>
              <w:adjustRightInd w:val="0"/>
              <w:snapToGrid w:val="0"/>
              <w:spacing w:line="360" w:lineRule="auto"/>
              <w:ind w:firstLine="480"/>
              <w:rPr>
                <w:rFonts w:hint="default" w:ascii="Times New Roman" w:hAnsi="Times New Roman" w:cs="Times New Roman" w:eastAsiaTheme="minorEastAsia"/>
                <w:kern w:val="0"/>
                <w:sz w:val="24"/>
                <w:szCs w:val="24"/>
                <w:lang w:val="en-US" w:eastAsia="zh-CN"/>
              </w:rPr>
            </w:pPr>
            <w:r>
              <w:rPr>
                <w:rFonts w:hint="eastAsia" w:ascii="Times New Roman" w:hAnsi="Times New Roman" w:cs="Times New Roman"/>
                <w:color w:val="000000" w:themeColor="text1"/>
                <w:sz w:val="24"/>
                <w:szCs w:val="24"/>
                <w:lang w:val="en-US" w:eastAsia="zh-CN"/>
                <w14:textFill>
                  <w14:solidFill>
                    <w14:schemeClr w14:val="tx1"/>
                  </w14:solidFill>
                </w14:textFill>
              </w:rPr>
              <w:t>各渠道整治、临时工程在</w:t>
            </w:r>
            <w:r>
              <w:rPr>
                <w:rFonts w:ascii="Times New Roman" w:hAnsi="Times New Roman" w:cs="Times New Roman"/>
                <w:color w:val="000000" w:themeColor="text1"/>
                <w:sz w:val="24"/>
                <w:szCs w:val="24"/>
                <w14:textFill>
                  <w14:solidFill>
                    <w14:schemeClr w14:val="tx1"/>
                  </w14:solidFill>
                </w14:textFill>
              </w:rPr>
              <w:t>开工前对占用</w:t>
            </w:r>
            <w:r>
              <w:rPr>
                <w:rFonts w:hint="eastAsia" w:ascii="Times New Roman" w:hAnsi="Times New Roman" w:cs="Times New Roman"/>
                <w:color w:val="000000" w:themeColor="text1"/>
                <w:sz w:val="24"/>
                <w:szCs w:val="24"/>
                <w14:textFill>
                  <w14:solidFill>
                    <w14:schemeClr w14:val="tx1"/>
                  </w14:solidFill>
                </w14:textFill>
              </w:rPr>
              <w:t>土地</w:t>
            </w:r>
            <w:r>
              <w:rPr>
                <w:rFonts w:ascii="Times New Roman" w:hAnsi="Times New Roman" w:cs="Times New Roman"/>
                <w:color w:val="000000" w:themeColor="text1"/>
                <w:sz w:val="24"/>
                <w:szCs w:val="24"/>
                <w14:textFill>
                  <w14:solidFill>
                    <w14:schemeClr w14:val="tx1"/>
                  </w14:solidFill>
                </w14:textFill>
              </w:rPr>
              <w:t>进行表土剥离，剥离厚度30cm，</w:t>
            </w:r>
            <w:r>
              <w:rPr>
                <w:rFonts w:hint="eastAsia" w:ascii="Times New Roman" w:hAnsi="Times New Roman" w:cs="Times New Roman"/>
                <w:color w:val="000000" w:themeColor="text1"/>
                <w:sz w:val="24"/>
                <w:szCs w:val="24"/>
                <w:lang w:val="en-US" w:eastAsia="zh-CN"/>
                <w14:textFill>
                  <w14:solidFill>
                    <w14:schemeClr w14:val="tx1"/>
                  </w14:solidFill>
                </w14:textFill>
              </w:rPr>
              <w:t>主体工程</w:t>
            </w:r>
            <w:r>
              <w:rPr>
                <w:rFonts w:ascii="Times New Roman" w:hAnsi="Times New Roman" w:cs="Times New Roman"/>
                <w:color w:val="000000" w:themeColor="text1"/>
                <w:sz w:val="24"/>
                <w:szCs w:val="24"/>
                <w14:textFill>
                  <w14:solidFill>
                    <w14:schemeClr w14:val="tx1"/>
                  </w14:solidFill>
                </w14:textFill>
              </w:rPr>
              <w:t>剥离量</w:t>
            </w:r>
            <w:r>
              <w:rPr>
                <w:rFonts w:hint="eastAsia" w:ascii="Times New Roman" w:hAnsi="Times New Roman" w:cs="Times New Roman"/>
                <w:color w:val="000000" w:themeColor="text1"/>
                <w:sz w:val="24"/>
                <w:szCs w:val="24"/>
                <w14:textFill>
                  <w14:solidFill>
                    <w14:schemeClr w14:val="tx1"/>
                  </w14:solidFill>
                </w14:textFill>
              </w:rPr>
              <w:t>4</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9491</w:t>
            </w:r>
            <w:r>
              <w:rPr>
                <w:rFonts w:ascii="Times New Roman" w:hAnsi="Times New Roman" w:cs="Times New Roman"/>
                <w:color w:val="000000" w:themeColor="text1"/>
                <w:sz w:val="24"/>
                <w:szCs w:val="24"/>
                <w14:textFill>
                  <w14:solidFill>
                    <w14:schemeClr w14:val="tx1"/>
                  </w14:solidFill>
                </w14:textFill>
              </w:rPr>
              <w:t>万m</w:t>
            </w:r>
            <w:r>
              <w:rPr>
                <w:rFonts w:ascii="Times New Roman" w:hAnsi="Times New Roman" w:cs="Times New Roman"/>
                <w:color w:val="000000" w:themeColor="text1"/>
                <w:sz w:val="24"/>
                <w:szCs w:val="24"/>
                <w:vertAlign w:val="superscript"/>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临时工程</w:t>
            </w:r>
            <w:r>
              <w:rPr>
                <w:rFonts w:ascii="Times New Roman" w:hAnsi="Times New Roman" w:cs="Times New Roman"/>
                <w:color w:val="000000" w:themeColor="text1"/>
                <w:sz w:val="24"/>
                <w:szCs w:val="24"/>
                <w14:textFill>
                  <w14:solidFill>
                    <w14:schemeClr w14:val="tx1"/>
                  </w14:solidFill>
                </w14:textFill>
              </w:rPr>
              <w:t>剥离量</w:t>
            </w:r>
            <w:r>
              <w:rPr>
                <w:rFonts w:hint="eastAsia" w:ascii="Times New Roman" w:hAnsi="Times New Roman" w:cs="Times New Roman"/>
                <w:color w:val="000000" w:themeColor="text1"/>
                <w:sz w:val="24"/>
                <w:szCs w:val="24"/>
                <w:lang w:val="en-US" w:eastAsia="zh-CN"/>
                <w14:textFill>
                  <w14:solidFill>
                    <w14:schemeClr w14:val="tx1"/>
                  </w14:solidFill>
                </w14:textFill>
              </w:rPr>
              <w:t>0.76</w:t>
            </w:r>
            <w:r>
              <w:rPr>
                <w:rFonts w:ascii="Times New Roman" w:hAnsi="Times New Roman" w:cs="Times New Roman"/>
                <w:color w:val="000000" w:themeColor="text1"/>
                <w:sz w:val="24"/>
                <w:szCs w:val="24"/>
                <w14:textFill>
                  <w14:solidFill>
                    <w14:schemeClr w14:val="tx1"/>
                  </w14:solidFill>
                </w14:textFill>
              </w:rPr>
              <w:t>万m</w:t>
            </w:r>
            <w:r>
              <w:rPr>
                <w:rFonts w:ascii="Times New Roman" w:hAnsi="Times New Roman" w:cs="Times New Roman"/>
                <w:color w:val="000000" w:themeColor="text1"/>
                <w:sz w:val="24"/>
                <w:szCs w:val="24"/>
                <w:vertAlign w:val="superscript"/>
                <w14:textFill>
                  <w14:solidFill>
                    <w14:schemeClr w14:val="tx1"/>
                  </w14:solidFill>
                </w14:textFill>
              </w:rPr>
              <w:t>3</w:t>
            </w:r>
            <w:r>
              <w:rPr>
                <w:rFonts w:hint="eastAsia" w:ascii="Times New Roman" w:hAnsi="Times New Roman" w:cs="Times New Roman"/>
                <w:color w:val="000000" w:themeColor="text1"/>
                <w:sz w:val="24"/>
                <w:szCs w:val="24"/>
                <w:vertAlign w:val="baseline"/>
                <w:lang w:eastAsia="zh-CN"/>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表土暂时堆存于</w:t>
            </w:r>
            <w:r>
              <w:rPr>
                <w:rFonts w:hint="eastAsia" w:ascii="Times New Roman" w:hAnsi="Times New Roman" w:cs="Times New Roman"/>
                <w:color w:val="000000" w:themeColor="text1"/>
                <w:sz w:val="24"/>
                <w:szCs w:val="24"/>
                <w:lang w:val="en-US" w:eastAsia="zh-CN"/>
                <w14:textFill>
                  <w14:solidFill>
                    <w14:schemeClr w14:val="tx1"/>
                  </w14:solidFill>
                </w14:textFill>
              </w:rPr>
              <w:t>各工区</w:t>
            </w:r>
            <w:r>
              <w:rPr>
                <w:rFonts w:hint="eastAsia" w:ascii="Times New Roman" w:hAnsi="Times New Roman" w:cs="Times New Roman"/>
                <w:color w:val="000000" w:themeColor="text1"/>
                <w:sz w:val="24"/>
                <w:szCs w:val="24"/>
                <w14:textFill>
                  <w14:solidFill>
                    <w14:schemeClr w14:val="tx1"/>
                  </w14:solidFill>
                </w14:textFill>
              </w:rPr>
              <w:t>临时堆土场内覆盖压实</w:t>
            </w:r>
            <w:r>
              <w:rPr>
                <w:rFonts w:ascii="Times New Roman" w:hAnsi="Times New Roman" w:cs="Times New Roman"/>
                <w:color w:val="000000" w:themeColor="text1"/>
                <w:sz w:val="24"/>
                <w:szCs w:val="24"/>
                <w14:textFill>
                  <w14:solidFill>
                    <w14:schemeClr w14:val="tx1"/>
                  </w14:solidFill>
                </w14:textFill>
              </w:rPr>
              <w:t>，后期用于</w:t>
            </w:r>
            <w:r>
              <w:rPr>
                <w:rFonts w:hint="eastAsia" w:ascii="Times New Roman" w:hAnsi="Times New Roman" w:cs="Times New Roman"/>
                <w:color w:val="000000" w:themeColor="text1"/>
                <w:sz w:val="24"/>
                <w:szCs w:val="24"/>
                <w:lang w:val="en-US" w:eastAsia="zh-CN"/>
                <w14:textFill>
                  <w14:solidFill>
                    <w14:schemeClr w14:val="tx1"/>
                  </w14:solidFill>
                </w14:textFill>
              </w:rPr>
              <w:t>渠道、管道上部回填和临时工程的迹地恢复</w:t>
            </w:r>
            <w:r>
              <w:rPr>
                <w:rFonts w:ascii="Times New Roman" w:hAnsi="Times New Roman" w:cs="Times New Roman"/>
                <w:color w:val="000000" w:themeColor="text1"/>
                <w:sz w:val="24"/>
                <w:szCs w:val="24"/>
                <w14:textFill>
                  <w14:solidFill>
                    <w14:schemeClr w14:val="tx1"/>
                  </w14:solidFill>
                </w14:textFill>
              </w:rPr>
              <w:t>，覆土厚度</w:t>
            </w:r>
            <w:r>
              <w:rPr>
                <w:rFonts w:hint="eastAsia" w:ascii="Times New Roman" w:hAnsi="Times New Roman" w:cs="Times New Roman"/>
                <w:color w:val="000000" w:themeColor="text1"/>
                <w:sz w:val="24"/>
                <w:szCs w:val="24"/>
                <w:lang w:val="en-US" w:eastAsia="zh-CN"/>
                <w14:textFill>
                  <w14:solidFill>
                    <w14:schemeClr w14:val="tx1"/>
                  </w14:solidFill>
                </w14:textFill>
              </w:rPr>
              <w:t>2</w:t>
            </w:r>
            <w:r>
              <w:rPr>
                <w:rFonts w:ascii="Times New Roman" w:hAnsi="Times New Roman" w:cs="Times New Roman"/>
                <w:color w:val="000000" w:themeColor="text1"/>
                <w:sz w:val="24"/>
                <w:szCs w:val="24"/>
                <w14:textFill>
                  <w14:solidFill>
                    <w14:schemeClr w14:val="tx1"/>
                  </w14:solidFill>
                </w14:textFill>
              </w:rPr>
              <w:t>0~</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0cm，覆土量</w:t>
            </w:r>
            <w:r>
              <w:rPr>
                <w:rFonts w:hint="eastAsia" w:ascii="Times New Roman" w:hAnsi="Times New Roman" w:cs="Times New Roman"/>
                <w:color w:val="000000" w:themeColor="text1"/>
                <w:sz w:val="24"/>
                <w:szCs w:val="24"/>
                <w:lang w:val="en-US" w:eastAsia="zh-CN"/>
                <w14:textFill>
                  <w14:solidFill>
                    <w14:schemeClr w14:val="tx1"/>
                  </w14:solidFill>
                </w14:textFill>
              </w:rPr>
              <w:t>4.9491</w:t>
            </w:r>
            <w:r>
              <w:rPr>
                <w:rFonts w:ascii="Times New Roman" w:hAnsi="Times New Roman" w:cs="Times New Roman"/>
                <w:color w:val="000000" w:themeColor="text1"/>
                <w:sz w:val="24"/>
                <w:szCs w:val="24"/>
                <w14:textFill>
                  <w14:solidFill>
                    <w14:schemeClr w14:val="tx1"/>
                  </w14:solidFill>
                </w14:textFill>
              </w:rPr>
              <w:t>万m</w:t>
            </w:r>
            <w:r>
              <w:rPr>
                <w:rFonts w:ascii="Times New Roman" w:hAnsi="Times New Roman" w:cs="Times New Roman"/>
                <w:color w:val="000000" w:themeColor="text1"/>
                <w:sz w:val="24"/>
                <w:szCs w:val="24"/>
                <w:vertAlign w:val="superscript"/>
                <w14:textFill>
                  <w14:solidFill>
                    <w14:schemeClr w14:val="tx1"/>
                  </w14:solidFill>
                </w14:textFill>
              </w:rPr>
              <w:t>3</w:t>
            </w:r>
            <w:r>
              <w:rPr>
                <w:rFonts w:hint="eastAsia" w:ascii="Times New Roman" w:hAnsi="Times New Roman" w:cs="Times New Roman"/>
                <w:color w:val="000000" w:themeColor="text1"/>
                <w:sz w:val="24"/>
                <w:szCs w:val="24"/>
                <w14:textFill>
                  <w14:solidFill>
                    <w14:schemeClr w14:val="tx1"/>
                  </w14:solidFill>
                </w14:textFill>
              </w:rPr>
              <w:t>，剥离表土全部利用</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rPr>
                <w:rFonts w:hint="default" w:ascii="Times New Roman" w:hAnsi="Times New Roman" w:cs="Times New Roman" w:eastAsiaTheme="minorEastAsia"/>
                <w:kern w:val="0"/>
                <w:sz w:val="24"/>
                <w:szCs w:val="24"/>
                <w:lang w:val="en-US" w:eastAsia="zh-CN"/>
              </w:rPr>
            </w:pPr>
            <w:r>
              <w:rPr>
                <w:rFonts w:hint="eastAsia" w:ascii="Times New Roman" w:hAnsi="Times New Roman" w:cs="Times New Roman"/>
                <w:kern w:val="0"/>
                <w:sz w:val="24"/>
                <w:szCs w:val="24"/>
                <w:lang w:val="en-US" w:eastAsia="zh-CN"/>
              </w:rPr>
              <w:t>2、石方开挖</w:t>
            </w:r>
          </w:p>
          <w:p>
            <w:pPr>
              <w:autoSpaceDE w:val="0"/>
              <w:autoSpaceDN w:val="0"/>
              <w:adjustRightInd w:val="0"/>
              <w:snapToGrid w:val="0"/>
              <w:spacing w:line="360" w:lineRule="auto"/>
              <w:ind w:firstLine="480"/>
              <w:rPr>
                <w:rFonts w:hint="eastAsia" w:ascii="Times New Roman" w:hAnsi="Times New Roman" w:cs="Times New Roman"/>
                <w:kern w:val="0"/>
                <w:sz w:val="24"/>
                <w:szCs w:val="24"/>
                <w:lang w:val="en-US" w:eastAsia="zh-CN"/>
              </w:rPr>
            </w:pPr>
            <w:r>
              <w:rPr>
                <w:rFonts w:hint="eastAsia" w:ascii="Times New Roman" w:hAnsi="Times New Roman" w:cs="Times New Roman"/>
                <w:color w:val="000000" w:themeColor="text1"/>
                <w:sz w:val="24"/>
                <w:szCs w:val="24"/>
                <w:lang w:val="en-US" w:eastAsia="zh-CN"/>
                <w14:textFill>
                  <w14:solidFill>
                    <w14:schemeClr w14:val="tx1"/>
                  </w14:solidFill>
                </w14:textFill>
              </w:rPr>
              <w:t>主体工程</w:t>
            </w:r>
            <w:r>
              <w:rPr>
                <w:rFonts w:hint="eastAsia" w:ascii="Times New Roman" w:hAnsi="Times New Roman" w:cs="Times New Roman"/>
                <w:kern w:val="0"/>
                <w:sz w:val="24"/>
                <w:szCs w:val="24"/>
                <w:lang w:val="en-US" w:eastAsia="zh-CN"/>
              </w:rPr>
              <w:t>石方开挖162m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lang w:val="en-US" w:eastAsia="zh-CN"/>
              </w:rPr>
              <w:t>，均来自于观音岩水库灌区，临时工程石方开挖86m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vertAlign w:val="baseline"/>
                <w:lang w:val="en-US" w:eastAsia="zh-CN"/>
              </w:rPr>
              <w:t>，均</w:t>
            </w:r>
            <w:r>
              <w:rPr>
                <w:rFonts w:hint="eastAsia" w:ascii="Times New Roman" w:hAnsi="Times New Roman" w:cs="Times New Roman"/>
                <w:kern w:val="0"/>
                <w:sz w:val="24"/>
                <w:szCs w:val="24"/>
                <w:lang w:val="en-US" w:eastAsia="zh-CN"/>
              </w:rPr>
              <w:t>用于渠堤基础回填。</w:t>
            </w:r>
          </w:p>
          <w:p>
            <w:pPr>
              <w:autoSpaceDE w:val="0"/>
              <w:autoSpaceDN w:val="0"/>
              <w:adjustRightInd w:val="0"/>
              <w:snapToGrid w:val="0"/>
              <w:spacing w:line="360" w:lineRule="auto"/>
              <w:ind w:firstLine="480"/>
              <w:rPr>
                <w:rFonts w:ascii="Times New Roman" w:hAnsi="Times New Roman" w:cs="Times New Roman"/>
                <w:kern w:val="0"/>
                <w:sz w:val="24"/>
                <w:szCs w:val="24"/>
              </w:rPr>
            </w:pPr>
            <w:r>
              <w:rPr>
                <w:rFonts w:hint="eastAsia" w:ascii="Times New Roman" w:hAnsi="Times New Roman" w:cs="Times New Roman"/>
                <w:kern w:val="0"/>
                <w:sz w:val="24"/>
                <w:szCs w:val="24"/>
                <w:lang w:val="en-US" w:eastAsia="zh-CN"/>
              </w:rPr>
              <w:t>3</w:t>
            </w:r>
            <w:r>
              <w:rPr>
                <w:rFonts w:ascii="Times New Roman" w:hAnsi="Times New Roman" w:cs="Times New Roman"/>
                <w:kern w:val="0"/>
                <w:sz w:val="24"/>
                <w:szCs w:val="24"/>
              </w:rPr>
              <w:t>、土石方平衡</w:t>
            </w:r>
          </w:p>
          <w:p>
            <w:pPr>
              <w:autoSpaceDE w:val="0"/>
              <w:autoSpaceDN w:val="0"/>
              <w:adjustRightInd w:val="0"/>
              <w:snapToGrid w:val="0"/>
              <w:spacing w:line="360" w:lineRule="auto"/>
              <w:ind w:firstLine="480"/>
              <w:rPr>
                <w:rFonts w:ascii="Times New Roman" w:hAnsi="Times New Roman" w:cs="Times New Roman"/>
                <w:sz w:val="24"/>
                <w:szCs w:val="24"/>
              </w:rPr>
            </w:pPr>
            <w:r>
              <w:rPr>
                <w:rFonts w:ascii="Times New Roman" w:hAnsi="Times New Roman" w:cs="Times New Roman"/>
                <w:kern w:val="0"/>
                <w:sz w:val="24"/>
                <w:szCs w:val="24"/>
              </w:rPr>
              <w:t>本</w:t>
            </w:r>
            <w:r>
              <w:rPr>
                <w:rFonts w:ascii="Times New Roman" w:hAnsi="Times New Roman" w:cs="Times New Roman"/>
                <w:sz w:val="24"/>
                <w:szCs w:val="24"/>
              </w:rPr>
              <w:t>工程可利用开挖料</w:t>
            </w:r>
            <w:r>
              <w:rPr>
                <w:rFonts w:hint="eastAsia" w:ascii="Times New Roman" w:hAnsi="Times New Roman" w:cs="Times New Roman"/>
                <w:sz w:val="24"/>
                <w:szCs w:val="24"/>
              </w:rPr>
              <w:t>回</w:t>
            </w:r>
            <w:r>
              <w:rPr>
                <w:rFonts w:ascii="Times New Roman" w:hAnsi="Times New Roman" w:cs="Times New Roman"/>
                <w:sz w:val="24"/>
                <w:szCs w:val="24"/>
              </w:rPr>
              <w:t>用于</w:t>
            </w:r>
            <w:r>
              <w:rPr>
                <w:rFonts w:hint="eastAsia" w:ascii="Times New Roman" w:hAnsi="Times New Roman" w:cs="Times New Roman"/>
                <w:sz w:val="24"/>
                <w:szCs w:val="24"/>
                <w:lang w:val="en-US" w:eastAsia="zh-CN"/>
              </w:rPr>
              <w:t>渠堤</w:t>
            </w:r>
            <w:r>
              <w:rPr>
                <w:rFonts w:ascii="Times New Roman" w:hAnsi="Times New Roman" w:cs="Times New Roman"/>
                <w:sz w:val="24"/>
                <w:szCs w:val="24"/>
              </w:rPr>
              <w:t>工程填筑，</w:t>
            </w:r>
            <w:r>
              <w:rPr>
                <w:rFonts w:hint="eastAsia" w:ascii="Times New Roman" w:hAnsi="Times New Roman" w:cs="Times New Roman"/>
                <w:sz w:val="24"/>
                <w:szCs w:val="24"/>
                <w:lang w:val="en-US" w:eastAsia="zh-CN"/>
              </w:rPr>
              <w:t>无多余弃方产生</w:t>
            </w:r>
            <w:r>
              <w:rPr>
                <w:rFonts w:ascii="Times New Roman" w:hAnsi="Times New Roman" w:cs="Times New Roman"/>
                <w:sz w:val="24"/>
                <w:szCs w:val="24"/>
              </w:rPr>
              <w:t>。</w:t>
            </w:r>
          </w:p>
          <w:p>
            <w:pPr>
              <w:autoSpaceDE w:val="0"/>
              <w:autoSpaceDN w:val="0"/>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表2-1</w:t>
            </w:r>
            <w:r>
              <w:rPr>
                <w:rFonts w:hint="eastAsia" w:ascii="Times New Roman" w:hAnsi="Times New Roman" w:eastAsia="宋体" w:cs="Times New Roman"/>
                <w:b/>
                <w:bCs/>
                <w:kern w:val="0"/>
                <w:szCs w:val="21"/>
                <w:lang w:val="en-US" w:eastAsia="zh-CN"/>
              </w:rPr>
              <w:t>3</w:t>
            </w:r>
            <w:r>
              <w:rPr>
                <w:rFonts w:ascii="Times New Roman" w:hAnsi="Times New Roman" w:eastAsia="宋体" w:cs="Times New Roman"/>
                <w:b/>
                <w:bCs/>
                <w:kern w:val="0"/>
                <w:szCs w:val="21"/>
              </w:rPr>
              <w:t xml:space="preserve">  </w:t>
            </w:r>
            <w:r>
              <w:rPr>
                <w:rFonts w:hint="eastAsia" w:ascii="Times New Roman" w:hAnsi="Times New Roman" w:eastAsia="宋体" w:cs="Times New Roman"/>
                <w:b/>
                <w:bCs/>
                <w:kern w:val="0"/>
                <w:szCs w:val="21"/>
                <w:lang w:val="en-US" w:eastAsia="zh-CN"/>
              </w:rPr>
              <w:t>工程</w:t>
            </w:r>
            <w:r>
              <w:rPr>
                <w:rFonts w:ascii="Times New Roman" w:hAnsi="Times New Roman" w:eastAsia="宋体" w:cs="Times New Roman"/>
                <w:b/>
                <w:bCs/>
                <w:kern w:val="0"/>
                <w:szCs w:val="21"/>
              </w:rPr>
              <w:t>土石方平衡表   单位：万m</w:t>
            </w:r>
            <w:r>
              <w:rPr>
                <w:rFonts w:ascii="Times New Roman" w:hAnsi="Times New Roman" w:eastAsia="宋体" w:cs="Times New Roman"/>
                <w:b/>
                <w:bCs/>
                <w:kern w:val="0"/>
                <w:szCs w:val="21"/>
                <w:vertAlign w:val="superscript"/>
              </w:rPr>
              <w:t>3</w:t>
            </w:r>
          </w:p>
          <w:tbl>
            <w:tblPr>
              <w:tblStyle w:val="27"/>
              <w:tblW w:w="92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11"/>
              <w:gridCol w:w="1255"/>
              <w:gridCol w:w="1132"/>
              <w:gridCol w:w="900"/>
              <w:gridCol w:w="941"/>
              <w:gridCol w:w="981"/>
              <w:gridCol w:w="873"/>
              <w:gridCol w:w="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vMerge w:val="restart"/>
                  <w:vAlign w:val="center"/>
                </w:tcPr>
                <w:p>
                  <w:pPr>
                    <w:jc w:val="center"/>
                    <w:rPr>
                      <w:rFonts w:hint="eastAsia" w:ascii="Times New Roman" w:hAnsi="Times New Roman" w:cs="Times New Roman" w:eastAsiaTheme="minorEastAsia"/>
                      <w:b/>
                      <w:bCs/>
                      <w:szCs w:val="21"/>
                      <w:lang w:val="en-US" w:eastAsia="zh-CN"/>
                    </w:rPr>
                  </w:pPr>
                  <w:r>
                    <w:rPr>
                      <w:rFonts w:hint="eastAsia" w:ascii="Times New Roman" w:hAnsi="Times New Roman" w:cs="Times New Roman"/>
                      <w:b/>
                      <w:bCs/>
                      <w:szCs w:val="21"/>
                      <w:lang w:val="en-US" w:eastAsia="zh-CN"/>
                    </w:rPr>
                    <w:t>类别</w:t>
                  </w:r>
                </w:p>
              </w:tc>
              <w:tc>
                <w:tcPr>
                  <w:tcW w:w="2387" w:type="dxa"/>
                  <w:gridSpan w:val="2"/>
                  <w:vAlign w:val="center"/>
                </w:tcPr>
                <w:p>
                  <w:pPr>
                    <w:jc w:val="center"/>
                    <w:rPr>
                      <w:rFonts w:ascii="Times New Roman" w:hAnsi="Times New Roman" w:cs="Times New Roman"/>
                      <w:b/>
                      <w:bCs/>
                      <w:szCs w:val="21"/>
                    </w:rPr>
                  </w:pPr>
                  <w:r>
                    <w:rPr>
                      <w:rFonts w:ascii="Times New Roman" w:hAnsi="Times New Roman" w:cs="Times New Roman"/>
                      <w:b/>
                      <w:bCs/>
                      <w:szCs w:val="21"/>
                    </w:rPr>
                    <w:t>挖方</w:t>
                  </w:r>
                </w:p>
              </w:tc>
              <w:tc>
                <w:tcPr>
                  <w:tcW w:w="900" w:type="dxa"/>
                  <w:vMerge w:val="restart"/>
                  <w:vAlign w:val="center"/>
                </w:tcPr>
                <w:p>
                  <w:pPr>
                    <w:jc w:val="center"/>
                    <w:rPr>
                      <w:rFonts w:ascii="Times New Roman" w:hAnsi="Times New Roman" w:cs="Times New Roman"/>
                      <w:b/>
                      <w:bCs/>
                      <w:szCs w:val="21"/>
                    </w:rPr>
                  </w:pPr>
                  <w:r>
                    <w:rPr>
                      <w:rFonts w:ascii="Times New Roman" w:hAnsi="Times New Roman" w:cs="Times New Roman"/>
                      <w:b/>
                      <w:bCs/>
                      <w:szCs w:val="21"/>
                    </w:rPr>
                    <w:t>填方</w:t>
                  </w:r>
                </w:p>
              </w:tc>
              <w:tc>
                <w:tcPr>
                  <w:tcW w:w="941" w:type="dxa"/>
                  <w:vMerge w:val="restart"/>
                  <w:vAlign w:val="center"/>
                </w:tcPr>
                <w:p>
                  <w:pPr>
                    <w:jc w:val="center"/>
                    <w:rPr>
                      <w:rFonts w:ascii="Times New Roman" w:hAnsi="Times New Roman" w:cs="Times New Roman"/>
                      <w:b/>
                      <w:bCs/>
                      <w:szCs w:val="21"/>
                    </w:rPr>
                  </w:pPr>
                  <w:r>
                    <w:rPr>
                      <w:rFonts w:ascii="Times New Roman" w:hAnsi="Times New Roman" w:cs="Times New Roman"/>
                      <w:b/>
                      <w:bCs/>
                      <w:szCs w:val="21"/>
                    </w:rPr>
                    <w:t>调入</w:t>
                  </w:r>
                </w:p>
              </w:tc>
              <w:tc>
                <w:tcPr>
                  <w:tcW w:w="981" w:type="dxa"/>
                  <w:vMerge w:val="restart"/>
                  <w:vAlign w:val="center"/>
                </w:tcPr>
                <w:p>
                  <w:pPr>
                    <w:jc w:val="center"/>
                    <w:rPr>
                      <w:rFonts w:ascii="Times New Roman" w:hAnsi="Times New Roman" w:cs="Times New Roman"/>
                      <w:b/>
                      <w:bCs/>
                      <w:szCs w:val="21"/>
                    </w:rPr>
                  </w:pPr>
                  <w:r>
                    <w:rPr>
                      <w:rFonts w:ascii="Times New Roman" w:hAnsi="Times New Roman" w:cs="Times New Roman"/>
                      <w:b/>
                      <w:bCs/>
                      <w:szCs w:val="21"/>
                    </w:rPr>
                    <w:t>调出</w:t>
                  </w:r>
                </w:p>
              </w:tc>
              <w:tc>
                <w:tcPr>
                  <w:tcW w:w="873" w:type="dxa"/>
                  <w:vMerge w:val="restart"/>
                  <w:vAlign w:val="center"/>
                </w:tcPr>
                <w:p>
                  <w:pPr>
                    <w:jc w:val="center"/>
                    <w:rPr>
                      <w:rFonts w:ascii="Times New Roman" w:hAnsi="Times New Roman" w:cs="Times New Roman"/>
                      <w:b/>
                      <w:bCs/>
                      <w:szCs w:val="21"/>
                    </w:rPr>
                  </w:pPr>
                  <w:r>
                    <w:rPr>
                      <w:rFonts w:ascii="Times New Roman" w:hAnsi="Times New Roman" w:cs="Times New Roman"/>
                      <w:b/>
                      <w:bCs/>
                      <w:szCs w:val="21"/>
                    </w:rPr>
                    <w:t>利用方</w:t>
                  </w:r>
                </w:p>
              </w:tc>
              <w:tc>
                <w:tcPr>
                  <w:tcW w:w="989" w:type="dxa"/>
                  <w:vMerge w:val="restart"/>
                  <w:vAlign w:val="center"/>
                </w:tcPr>
                <w:p>
                  <w:pPr>
                    <w:jc w:val="center"/>
                    <w:rPr>
                      <w:rFonts w:ascii="Times New Roman" w:hAnsi="Times New Roman" w:cs="Times New Roman"/>
                      <w:b/>
                      <w:bCs/>
                      <w:szCs w:val="21"/>
                    </w:rPr>
                  </w:pPr>
                  <w:r>
                    <w:rPr>
                      <w:rFonts w:ascii="Times New Roman" w:hAnsi="Times New Roman" w:cs="Times New Roman"/>
                      <w:b/>
                      <w:bCs/>
                      <w:szCs w:val="21"/>
                    </w:rPr>
                    <w:t>弃方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8" w:hRule="atLeast"/>
              </w:trPr>
              <w:tc>
                <w:tcPr>
                  <w:tcW w:w="2211" w:type="dxa"/>
                  <w:vMerge w:val="continue"/>
                  <w:vAlign w:val="center"/>
                </w:tcPr>
                <w:p>
                  <w:pPr>
                    <w:jc w:val="center"/>
                    <w:rPr>
                      <w:rFonts w:hint="default" w:ascii="Times New Roman" w:hAnsi="Times New Roman" w:cs="Times New Roman" w:eastAsiaTheme="minorEastAsia"/>
                      <w:szCs w:val="21"/>
                      <w:lang w:val="en-US" w:eastAsia="zh-CN"/>
                    </w:rPr>
                  </w:pPr>
                </w:p>
              </w:tc>
              <w:tc>
                <w:tcPr>
                  <w:tcW w:w="1255" w:type="dxa"/>
                  <w:vAlign w:val="center"/>
                </w:tcPr>
                <w:p>
                  <w:pPr>
                    <w:jc w:val="center"/>
                    <w:rPr>
                      <w:rFonts w:ascii="Times New Roman" w:hAnsi="Times New Roman" w:cs="Times New Roman" w:eastAsiaTheme="minorEastAsia"/>
                      <w:b/>
                      <w:bCs/>
                      <w:kern w:val="2"/>
                      <w:sz w:val="21"/>
                      <w:szCs w:val="21"/>
                      <w:lang w:val="en-US" w:eastAsia="zh-CN" w:bidi="ar-SA"/>
                    </w:rPr>
                  </w:pPr>
                  <w:r>
                    <w:rPr>
                      <w:rFonts w:ascii="Times New Roman" w:hAnsi="Times New Roman" w:cs="Times New Roman"/>
                      <w:b/>
                      <w:bCs/>
                      <w:szCs w:val="21"/>
                    </w:rPr>
                    <w:t>土方</w:t>
                  </w:r>
                </w:p>
              </w:tc>
              <w:tc>
                <w:tcPr>
                  <w:tcW w:w="1132" w:type="dxa"/>
                  <w:vAlign w:val="center"/>
                </w:tcPr>
                <w:p>
                  <w:pPr>
                    <w:jc w:val="center"/>
                    <w:rPr>
                      <w:rFonts w:ascii="Times New Roman" w:hAnsi="Times New Roman" w:cs="Times New Roman" w:eastAsiaTheme="minorEastAsia"/>
                      <w:b/>
                      <w:bCs/>
                      <w:kern w:val="2"/>
                      <w:sz w:val="21"/>
                      <w:szCs w:val="21"/>
                      <w:lang w:val="en-US" w:eastAsia="zh-CN" w:bidi="ar-SA"/>
                    </w:rPr>
                  </w:pPr>
                  <w:r>
                    <w:rPr>
                      <w:rFonts w:ascii="Times New Roman" w:hAnsi="Times New Roman" w:cs="Times New Roman"/>
                      <w:b/>
                      <w:bCs/>
                      <w:szCs w:val="21"/>
                    </w:rPr>
                    <w:t>石方</w:t>
                  </w:r>
                </w:p>
              </w:tc>
              <w:tc>
                <w:tcPr>
                  <w:tcW w:w="900" w:type="dxa"/>
                  <w:vMerge w:val="continue"/>
                  <w:vAlign w:val="center"/>
                </w:tcPr>
                <w:p>
                  <w:pPr>
                    <w:jc w:val="center"/>
                    <w:rPr>
                      <w:rFonts w:hint="default" w:ascii="Times New Roman" w:hAnsi="Times New Roman" w:cs="Times New Roman" w:eastAsiaTheme="minorEastAsia"/>
                      <w:szCs w:val="21"/>
                      <w:lang w:val="en-US" w:eastAsia="zh-CN"/>
                    </w:rPr>
                  </w:pPr>
                </w:p>
              </w:tc>
              <w:tc>
                <w:tcPr>
                  <w:tcW w:w="941" w:type="dxa"/>
                  <w:vMerge w:val="continue"/>
                  <w:vAlign w:val="center"/>
                </w:tcPr>
                <w:p>
                  <w:pPr>
                    <w:jc w:val="center"/>
                    <w:rPr>
                      <w:rFonts w:hint="eastAsia" w:ascii="Times New Roman" w:hAnsi="Times New Roman" w:cs="Times New Roman" w:eastAsiaTheme="minorEastAsia"/>
                      <w:szCs w:val="21"/>
                      <w:lang w:eastAsia="zh-CN"/>
                    </w:rPr>
                  </w:pPr>
                </w:p>
              </w:tc>
              <w:tc>
                <w:tcPr>
                  <w:tcW w:w="981" w:type="dxa"/>
                  <w:vMerge w:val="continue"/>
                  <w:vAlign w:val="center"/>
                </w:tcPr>
                <w:p>
                  <w:pPr>
                    <w:jc w:val="center"/>
                    <w:rPr>
                      <w:rFonts w:hint="eastAsia" w:ascii="Times New Roman" w:hAnsi="Times New Roman" w:cs="Times New Roman" w:eastAsiaTheme="minorEastAsia"/>
                      <w:szCs w:val="21"/>
                      <w:lang w:eastAsia="zh-CN"/>
                    </w:rPr>
                  </w:pPr>
                </w:p>
              </w:tc>
              <w:tc>
                <w:tcPr>
                  <w:tcW w:w="873" w:type="dxa"/>
                  <w:vMerge w:val="continue"/>
                  <w:vAlign w:val="center"/>
                </w:tcPr>
                <w:p>
                  <w:pPr>
                    <w:jc w:val="center"/>
                    <w:rPr>
                      <w:rFonts w:ascii="Times New Roman" w:hAnsi="Times New Roman" w:cs="Times New Roman"/>
                      <w:szCs w:val="21"/>
                    </w:rPr>
                  </w:pPr>
                </w:p>
              </w:tc>
              <w:tc>
                <w:tcPr>
                  <w:tcW w:w="98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2211" w:type="dxa"/>
                  <w:vAlign w:val="center"/>
                </w:tcPr>
                <w:p>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主体工程</w:t>
                  </w:r>
                </w:p>
              </w:tc>
              <w:tc>
                <w:tcPr>
                  <w:tcW w:w="1255"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4.9491</w:t>
                  </w:r>
                </w:p>
              </w:tc>
              <w:tc>
                <w:tcPr>
                  <w:tcW w:w="1132"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0.0162</w:t>
                  </w:r>
                </w:p>
              </w:tc>
              <w:tc>
                <w:tcPr>
                  <w:tcW w:w="900" w:type="dxa"/>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3.6520</w:t>
                  </w:r>
                </w:p>
              </w:tc>
              <w:tc>
                <w:tcPr>
                  <w:tcW w:w="941" w:type="dxa"/>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w:t>
                  </w:r>
                </w:p>
              </w:tc>
              <w:tc>
                <w:tcPr>
                  <w:tcW w:w="981" w:type="dxa"/>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w:t>
                  </w:r>
                </w:p>
              </w:tc>
              <w:tc>
                <w:tcPr>
                  <w:tcW w:w="873"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1.2809</w:t>
                  </w:r>
                </w:p>
              </w:tc>
              <w:tc>
                <w:tcPr>
                  <w:tcW w:w="989"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2211"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临时占地工程</w:t>
                  </w:r>
                </w:p>
              </w:tc>
              <w:tc>
                <w:tcPr>
                  <w:tcW w:w="1255"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0.76</w:t>
                  </w:r>
                </w:p>
              </w:tc>
              <w:tc>
                <w:tcPr>
                  <w:tcW w:w="1132"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0.0086</w:t>
                  </w:r>
                </w:p>
              </w:tc>
              <w:tc>
                <w:tcPr>
                  <w:tcW w:w="900"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w:t>
                  </w:r>
                </w:p>
              </w:tc>
              <w:tc>
                <w:tcPr>
                  <w:tcW w:w="941"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w:t>
                  </w:r>
                </w:p>
              </w:tc>
              <w:tc>
                <w:tcPr>
                  <w:tcW w:w="981" w:type="dxa"/>
                  <w:vAlign w:val="center"/>
                </w:tcPr>
                <w:p>
                  <w:pPr>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w:t>
                  </w:r>
                </w:p>
              </w:tc>
              <w:tc>
                <w:tcPr>
                  <w:tcW w:w="873"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0.7686</w:t>
                  </w:r>
                </w:p>
              </w:tc>
              <w:tc>
                <w:tcPr>
                  <w:tcW w:w="989"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2211" w:type="dxa"/>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合计</w:t>
                  </w:r>
                </w:p>
              </w:tc>
              <w:tc>
                <w:tcPr>
                  <w:tcW w:w="1255"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5.7091</w:t>
                  </w:r>
                </w:p>
              </w:tc>
              <w:tc>
                <w:tcPr>
                  <w:tcW w:w="1132" w:type="dxa"/>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0.0248</w:t>
                  </w:r>
                </w:p>
              </w:tc>
              <w:tc>
                <w:tcPr>
                  <w:tcW w:w="900"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3.6520</w:t>
                  </w:r>
                </w:p>
              </w:tc>
              <w:tc>
                <w:tcPr>
                  <w:tcW w:w="941"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w:t>
                  </w:r>
                </w:p>
              </w:tc>
              <w:tc>
                <w:tcPr>
                  <w:tcW w:w="981"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w:t>
                  </w:r>
                </w:p>
              </w:tc>
              <w:tc>
                <w:tcPr>
                  <w:tcW w:w="873"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2.0495</w:t>
                  </w:r>
                </w:p>
              </w:tc>
              <w:tc>
                <w:tcPr>
                  <w:tcW w:w="989" w:type="dxa"/>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0</w:t>
                  </w:r>
                </w:p>
              </w:tc>
            </w:tr>
          </w:tbl>
          <w:p>
            <w:pPr>
              <w:autoSpaceDE w:val="0"/>
              <w:autoSpaceDN w:val="0"/>
              <w:adjustRightInd w:val="0"/>
              <w:snapToGrid w:val="0"/>
              <w:spacing w:line="360" w:lineRule="auto"/>
              <w:rPr>
                <w:rFonts w:ascii="Times New Roman" w:hAnsi="Times New Roman" w:cs="Times New Roman"/>
                <w:color w:val="000000" w:themeColor="text1"/>
                <w:sz w:val="24"/>
                <w:szCs w:val="24"/>
                <w14:textFill>
                  <w14:solidFill>
                    <w14:schemeClr w14:val="tx1"/>
                  </w14:solidFill>
                </w14:textFill>
              </w:rPr>
            </w:pPr>
          </w:p>
          <w:p>
            <w:pPr>
              <w:autoSpaceDE w:val="0"/>
              <w:autoSpaceDN w:val="0"/>
              <w:adjustRightInd w:val="0"/>
              <w:snapToGrid w:val="0"/>
              <w:spacing w:line="360" w:lineRule="auto"/>
              <w:rPr>
                <w:rFonts w:hint="default" w:ascii="Times New Roman" w:hAnsi="Times New Roman" w:cs="Times New Roman" w:eastAsiaTheme="minorEastAsia"/>
                <w:b/>
                <w:bCs/>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14:textFill>
                  <w14:solidFill>
                    <w14:schemeClr w14:val="tx1"/>
                  </w14:solidFill>
                </w14:textFill>
              </w:rPr>
              <w:t>八</w:t>
            </w:r>
            <w:r>
              <w:rPr>
                <w:rFonts w:ascii="Times New Roman" w:hAnsi="Times New Roman" w:cs="Times New Roman"/>
                <w:b/>
                <w:bCs/>
                <w:color w:val="000000" w:themeColor="text1"/>
                <w:sz w:val="24"/>
                <w:szCs w:val="24"/>
                <w14:textFill>
                  <w14:solidFill>
                    <w14:schemeClr w14:val="tx1"/>
                  </w14:solidFill>
                </w14:textFill>
              </w:rPr>
              <w:t>、</w:t>
            </w:r>
            <w:r>
              <w:rPr>
                <w:rFonts w:hint="eastAsia" w:ascii="Times New Roman" w:hAnsi="Times New Roman" w:cs="Times New Roman"/>
                <w:b/>
                <w:bCs/>
                <w:color w:val="000000" w:themeColor="text1"/>
                <w:sz w:val="24"/>
                <w:szCs w:val="24"/>
                <w:lang w:val="en-US" w:eastAsia="zh-CN"/>
                <w14:textFill>
                  <w14:solidFill>
                    <w14:schemeClr w14:val="tx1"/>
                  </w14:solidFill>
                </w14:textFill>
              </w:rPr>
              <w:t>施工组织设计</w:t>
            </w:r>
          </w:p>
          <w:p>
            <w:pPr>
              <w:autoSpaceDE w:val="0"/>
              <w:autoSpaceDN w:val="0"/>
              <w:adjustRightInd w:val="0"/>
              <w:snapToGrid w:val="0"/>
              <w:spacing w:line="360" w:lineRule="auto"/>
              <w:ind w:firstLine="480" w:firstLineChars="200"/>
              <w:rPr>
                <w:rFonts w:hint="eastAsia" w:ascii="Times New Roman" w:hAnsi="Times New Roman"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kern w:val="0"/>
                <w:sz w:val="24"/>
                <w:szCs w:val="24"/>
                <w14:textFill>
                  <w14:solidFill>
                    <w14:schemeClr w14:val="tx1"/>
                  </w14:solidFill>
                </w14:textFill>
              </w:rPr>
              <w:t>1、施工道路</w:t>
            </w:r>
          </w:p>
          <w:p>
            <w:pPr>
              <w:autoSpaceDE w:val="0"/>
              <w:autoSpaceDN w:val="0"/>
              <w:adjustRightInd w:val="0"/>
              <w:snapToGrid w:val="0"/>
              <w:spacing w:line="360" w:lineRule="auto"/>
              <w:ind w:firstLine="480" w:firstLineChars="200"/>
              <w:rPr>
                <w:rFonts w:hint="eastAsia" w:ascii="Times New Roman" w:hAnsi="Times New Roman" w:cs="Times New Roman"/>
                <w:kern w:val="0"/>
                <w:sz w:val="24"/>
                <w:szCs w:val="24"/>
              </w:rPr>
            </w:pPr>
            <w:r>
              <w:rPr>
                <w:rFonts w:hint="eastAsia" w:ascii="Times New Roman" w:hAnsi="Times New Roman" w:cs="Times New Roman"/>
                <w:color w:val="000000" w:themeColor="text1"/>
                <w:kern w:val="0"/>
                <w:sz w:val="24"/>
                <w:szCs w:val="24"/>
                <w14:textFill>
                  <w14:solidFill>
                    <w14:schemeClr w14:val="tx1"/>
                  </w14:solidFill>
                </w14:textFill>
              </w:rPr>
              <w:t>工程对外交通主要利用</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所在场镇</w:t>
            </w:r>
            <w:r>
              <w:rPr>
                <w:rFonts w:hint="eastAsia" w:ascii="Times New Roman" w:hAnsi="Times New Roman" w:cs="Times New Roman"/>
                <w:color w:val="000000" w:themeColor="text1"/>
                <w:kern w:val="0"/>
                <w:sz w:val="24"/>
                <w:szCs w:val="24"/>
                <w14:textFill>
                  <w14:solidFill>
                    <w14:schemeClr w14:val="tx1"/>
                  </w14:solidFill>
                </w14:textFill>
              </w:rPr>
              <w:t>现有交通条件</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和田间</w:t>
            </w:r>
            <w:r>
              <w:rPr>
                <w:rFonts w:hint="eastAsia" w:ascii="Times New Roman" w:hAnsi="Times New Roman" w:cs="Times New Roman"/>
                <w:color w:val="000000" w:themeColor="text1"/>
                <w:kern w:val="0"/>
                <w:sz w:val="24"/>
                <w:szCs w:val="24"/>
                <w14:textFill>
                  <w14:solidFill>
                    <w14:schemeClr w14:val="tx1"/>
                  </w14:solidFill>
                </w14:textFill>
              </w:rPr>
              <w:t>机耕道，工程对外运输以公路运输为主</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内部沿渠道运输采用小型</w:t>
            </w:r>
            <w:r>
              <w:rPr>
                <w:rFonts w:hint="eastAsia" w:ascii="Times New Roman" w:hAnsi="Times New Roman" w:cs="Times New Roman"/>
                <w:kern w:val="0"/>
                <w:sz w:val="24"/>
                <w:szCs w:val="24"/>
                <w:lang w:val="en-US" w:eastAsia="zh-CN"/>
              </w:rPr>
              <w:t>双胶轮车为主</w:t>
            </w:r>
            <w:r>
              <w:rPr>
                <w:rFonts w:hint="eastAsia" w:ascii="Times New Roman" w:hAnsi="Times New Roman" w:cs="Times New Roman"/>
                <w:kern w:val="0"/>
                <w:sz w:val="24"/>
                <w:szCs w:val="24"/>
              </w:rPr>
              <w:t>。因本工程无重特大件运输要求，工区各级公路均能满足渠道工程施工对外来物资的运输要求。</w:t>
            </w:r>
          </w:p>
          <w:p>
            <w:pPr>
              <w:autoSpaceDE w:val="0"/>
              <w:autoSpaceDN w:val="0"/>
              <w:adjustRightInd w:val="0"/>
              <w:snapToGrid w:val="0"/>
              <w:spacing w:line="360" w:lineRule="auto"/>
              <w:ind w:firstLine="480" w:firstLineChars="200"/>
              <w:rPr>
                <w:rFonts w:hint="eastAsia" w:ascii="Times New Roman" w:hAnsi="Times New Roman" w:cs="Times New Roman"/>
                <w:kern w:val="0"/>
                <w:sz w:val="24"/>
                <w:szCs w:val="24"/>
              </w:rPr>
            </w:pPr>
            <w:r>
              <w:rPr>
                <w:rFonts w:hint="eastAsia" w:ascii="Times New Roman" w:hAnsi="Times New Roman" w:cs="Times New Roman"/>
                <w:kern w:val="0"/>
                <w:sz w:val="24"/>
                <w:szCs w:val="24"/>
              </w:rPr>
              <w:t>布置主要以对外交通为依托，并利用已有道路、巡</w:t>
            </w:r>
            <w:r>
              <w:rPr>
                <w:rFonts w:hint="eastAsia" w:ascii="Times New Roman" w:hAnsi="Times New Roman" w:cs="Times New Roman"/>
                <w:kern w:val="0"/>
                <w:sz w:val="24"/>
                <w:szCs w:val="24"/>
                <w:lang w:val="en-US" w:eastAsia="zh-CN"/>
              </w:rPr>
              <w:t>渠</w:t>
            </w:r>
            <w:r>
              <w:rPr>
                <w:rFonts w:hint="eastAsia" w:ascii="Times New Roman" w:hAnsi="Times New Roman" w:cs="Times New Roman"/>
                <w:kern w:val="0"/>
                <w:sz w:val="24"/>
                <w:szCs w:val="24"/>
              </w:rPr>
              <w:t>道路将各</w:t>
            </w:r>
            <w:r>
              <w:rPr>
                <w:rFonts w:hint="eastAsia" w:ascii="Times New Roman" w:hAnsi="Times New Roman" w:cs="Times New Roman"/>
                <w:kern w:val="0"/>
                <w:sz w:val="24"/>
                <w:szCs w:val="24"/>
                <w:lang w:val="en-US" w:eastAsia="zh-CN"/>
              </w:rPr>
              <w:t>临时施工场地、临时堆土场</w:t>
            </w:r>
            <w:r>
              <w:rPr>
                <w:rFonts w:hint="eastAsia" w:ascii="Times New Roman" w:hAnsi="Times New Roman" w:cs="Times New Roman"/>
                <w:kern w:val="0"/>
                <w:sz w:val="24"/>
                <w:szCs w:val="24"/>
              </w:rPr>
              <w:t>、渠系建筑物等连成交通网</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val="en-US" w:eastAsia="zh-CN"/>
              </w:rPr>
              <w:t>根据项目设计方案，不新增临时施工便道</w:t>
            </w:r>
            <w:r>
              <w:rPr>
                <w:rFonts w:hint="eastAsia" w:ascii="Times New Roman" w:hAnsi="Times New Roman" w:cs="Times New Roman"/>
                <w:kern w:val="0"/>
                <w:sz w:val="24"/>
                <w:szCs w:val="24"/>
              </w:rPr>
              <w:t>。</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2、水、电、通讯系统</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（1）供水</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根据当地的水源条件，施工用水取自周边居民自来水/地下井水，主要供应主体工程施工、砼拌合及养护、各施工区生产用水等。根据工程具体及工区分布情况，施工供水运输采用移动箱型式水车进行供应。</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（2）供电</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本项目靠近场镇段供电由市政电网供电，远离场镇段由柴油发电机供电。</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（3）通讯系统</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工程区内微波通讯已覆盖，无线、有线通讯均方便，施工期采用移动通讯和沿线乡镇固定电话相结合的方式解决。</w:t>
            </w:r>
          </w:p>
          <w:p>
            <w:pPr>
              <w:numPr>
                <w:ilvl w:val="0"/>
                <w:numId w:val="0"/>
              </w:numPr>
              <w:autoSpaceDE w:val="0"/>
              <w:autoSpaceDN w:val="0"/>
              <w:adjustRightInd w:val="0"/>
              <w:snapToGrid w:val="0"/>
              <w:spacing w:line="360" w:lineRule="auto"/>
              <w:ind w:firstLine="480" w:firstLineChars="200"/>
              <w:rPr>
                <w:rFonts w:hint="default"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3、材料供应</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砂石料可从宣汉县各砂石料厂处购买。水泥、钢材、木材、汽油、柴油等，均在宣汉县建材市场购买，综合运距5~20km。</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4、机械修理条件</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渠道沿线的乡、镇具有一定机械修配能力，能为工程的汽修、机修提供服务，本项目不设置机械修理区域。</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5、综合加工系统</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本工程钢筋、木材、混凝土预制构件用量较少，且分散供应，根据工程施工需要为便于管理，各施工区内集中设置综合加工系统（包括木材加工厂、钢筋加工厂等）。</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6、混凝土及砂浆拌和站</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由于工程混凝土浇筑点及砂浆用料点较分散，根据工区分布情况，每个工区设置1台0.4m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lang w:val="en-US" w:eastAsia="zh-CN"/>
              </w:rPr>
              <w:t>混凝土拌和机（共计14台）与1台0.25m</w:t>
            </w:r>
            <w:r>
              <w:rPr>
                <w:rFonts w:hint="eastAsia" w:ascii="Times New Roman" w:hAnsi="Times New Roman" w:cs="Times New Roman"/>
                <w:kern w:val="0"/>
                <w:sz w:val="24"/>
                <w:szCs w:val="24"/>
                <w:vertAlign w:val="superscript"/>
                <w:lang w:val="en-US" w:eastAsia="zh-CN"/>
              </w:rPr>
              <w:t>3</w:t>
            </w:r>
            <w:r>
              <w:rPr>
                <w:rFonts w:hint="eastAsia" w:ascii="Times New Roman" w:hAnsi="Times New Roman" w:cs="Times New Roman"/>
                <w:kern w:val="0"/>
                <w:sz w:val="24"/>
                <w:szCs w:val="24"/>
                <w:lang w:val="en-US" w:eastAsia="zh-CN"/>
              </w:rPr>
              <w:t>砂浆拌和机（共计14台）。</w:t>
            </w:r>
          </w:p>
          <w:p>
            <w:pPr>
              <w:numPr>
                <w:ilvl w:val="0"/>
                <w:numId w:val="0"/>
              </w:numPr>
              <w:autoSpaceDE w:val="0"/>
              <w:autoSpaceDN w:val="0"/>
              <w:adjustRightInd w:val="0"/>
              <w:snapToGrid w:val="0"/>
              <w:spacing w:line="360" w:lineRule="auto"/>
              <w:ind w:firstLine="480" w:firstLineChars="200"/>
              <w:rPr>
                <w:rFonts w:hint="default"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7、弃渣规划</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渠道弃渣（主要为渠道拆除废弃土石方）就近在临时堆土场堆放，部分可利用的土石方在施工阶段回填，剩余渠道拆除建渣运至市政指定建筑垃圾消纳场进行处理。</w:t>
            </w:r>
          </w:p>
          <w:p>
            <w:pPr>
              <w:numPr>
                <w:ilvl w:val="0"/>
                <w:numId w:val="0"/>
              </w:numPr>
              <w:autoSpaceDE w:val="0"/>
              <w:autoSpaceDN w:val="0"/>
              <w:adjustRightInd w:val="0"/>
              <w:snapToGrid w:val="0"/>
              <w:spacing w:line="360" w:lineRule="auto"/>
              <w:ind w:firstLine="482" w:firstLineChars="200"/>
              <w:rPr>
                <w:rFonts w:hint="eastAsia" w:ascii="Times New Roman" w:hAnsi="Times New Roman" w:cs="Times New Roman"/>
                <w:b/>
                <w:bCs/>
                <w:kern w:val="0"/>
                <w:sz w:val="24"/>
                <w:szCs w:val="24"/>
                <w:lang w:val="en-US" w:eastAsia="zh-CN"/>
              </w:rPr>
            </w:pPr>
            <w:r>
              <w:rPr>
                <w:rFonts w:hint="eastAsia" w:ascii="Times New Roman" w:hAnsi="Times New Roman" w:cs="Times New Roman"/>
                <w:b/>
                <w:bCs/>
                <w:kern w:val="0"/>
                <w:sz w:val="24"/>
                <w:szCs w:val="24"/>
                <w:lang w:val="en-US" w:eastAsia="zh-CN"/>
              </w:rPr>
              <w:t>8、渠道排水</w:t>
            </w:r>
          </w:p>
          <w:p>
            <w:pPr>
              <w:numPr>
                <w:ilvl w:val="0"/>
                <w:numId w:val="0"/>
              </w:numPr>
              <w:autoSpaceDE w:val="0"/>
              <w:autoSpaceDN w:val="0"/>
              <w:adjustRightInd w:val="0"/>
              <w:snapToGrid w:val="0"/>
              <w:spacing w:line="360" w:lineRule="auto"/>
              <w:ind w:firstLine="482" w:firstLineChars="200"/>
              <w:rPr>
                <w:rFonts w:hint="eastAsia" w:ascii="Times New Roman" w:hAnsi="Times New Roman" w:cs="Times New Roman"/>
                <w:b/>
                <w:bCs/>
                <w:kern w:val="0"/>
                <w:sz w:val="24"/>
                <w:szCs w:val="24"/>
                <w:lang w:val="en-US" w:eastAsia="zh-CN"/>
              </w:rPr>
            </w:pPr>
            <w:r>
              <w:rPr>
                <w:rFonts w:hint="eastAsia" w:ascii="Times New Roman" w:hAnsi="Times New Roman" w:cs="Times New Roman"/>
                <w:b/>
                <w:bCs/>
                <w:kern w:val="0"/>
                <w:sz w:val="24"/>
                <w:szCs w:val="24"/>
                <w:lang w:val="en-US" w:eastAsia="zh-CN"/>
              </w:rPr>
              <w:t>对于渠道整治工程，本项目14个工区各自独立，无水力联系。各工区选择在非农灌集中季节进行施工，最大限度降低对农灌的影响。同时，施工期可通过关闭进水闸在渠道枯水期内施工，施工期若遇降雨，则暂停施工，待降雨结束后，恢复施工前将渠内雨水泵入隔油沉淀池进行处理后洒水降尘，可保证本项目施工期间无来水。因此，本项目施工期局部按需设置施工导流，若渠道无水则可不设置施工导流。</w:t>
            </w:r>
          </w:p>
          <w:p>
            <w:pPr>
              <w:autoSpaceDE w:val="0"/>
              <w:autoSpaceDN w:val="0"/>
              <w:adjustRightInd w:val="0"/>
              <w:snapToGrid w:val="0"/>
              <w:spacing w:line="360" w:lineRule="auto"/>
              <w:ind w:firstLine="480" w:firstLineChars="200"/>
              <w:rPr>
                <w:rFonts w:ascii="Times New Roman" w:hAnsi="Times New Roman" w:cs="Times New Roman"/>
                <w:b w:val="0"/>
                <w:bCs w:val="0"/>
                <w:sz w:val="24"/>
                <w:szCs w:val="24"/>
              </w:rPr>
            </w:pPr>
            <w:r>
              <w:rPr>
                <w:rFonts w:hint="eastAsia" w:ascii="Times New Roman" w:hAnsi="Times New Roman" w:cs="Times New Roman"/>
                <w:b w:val="0"/>
                <w:bCs w:val="0"/>
                <w:sz w:val="24"/>
                <w:szCs w:val="24"/>
                <w:lang w:val="en-US" w:eastAsia="zh-CN"/>
              </w:rPr>
              <w:t>9</w:t>
            </w:r>
            <w:r>
              <w:rPr>
                <w:rFonts w:ascii="Times New Roman" w:hAnsi="Times New Roman" w:cs="Times New Roman"/>
                <w:b w:val="0"/>
                <w:bCs w:val="0"/>
                <w:sz w:val="24"/>
                <w:szCs w:val="24"/>
              </w:rPr>
              <w:t>、施工期环保手册</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（1）组织机构</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为切实做到施工过程中对周围环境、水利的保护工作，搞好本工程的环境保护、水土保持等各项工作，将环保、水保工作落实到受控状态，得到可靠的保证。根据《中华人民共和国环境保护法》、国务院《建筑工程环境保护管理条例》、交通部《公路路基路面环保技术规范》和其他有关环保法律、法规，为防止和减少环保事故，保证全体建设者的生命和财产环保，特成立项目环境保护领导小组，并明确机构各级成员的环境保护责任。</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组长：1名</w:t>
            </w:r>
            <w:r>
              <w:rPr>
                <w:rFonts w:hint="eastAsia" w:ascii="Times New Roman" w:hAnsi="Times New Roman" w:cs="Times New Roman"/>
                <w:sz w:val="24"/>
                <w:szCs w:val="24"/>
              </w:rPr>
              <w:t>、</w:t>
            </w:r>
            <w:r>
              <w:rPr>
                <w:rFonts w:ascii="Times New Roman" w:hAnsi="Times New Roman" w:cs="Times New Roman"/>
                <w:sz w:val="24"/>
                <w:szCs w:val="24"/>
              </w:rPr>
              <w:t>副组长：1名</w:t>
            </w:r>
            <w:r>
              <w:rPr>
                <w:rFonts w:hint="eastAsia" w:ascii="Times New Roman" w:hAnsi="Times New Roman" w:cs="Times New Roman"/>
                <w:sz w:val="24"/>
                <w:szCs w:val="24"/>
              </w:rPr>
              <w:t>、</w:t>
            </w:r>
            <w:r>
              <w:rPr>
                <w:rFonts w:ascii="Times New Roman" w:hAnsi="Times New Roman" w:cs="Times New Roman"/>
                <w:sz w:val="24"/>
                <w:szCs w:val="24"/>
              </w:rPr>
              <w:t>成员：4~5名</w:t>
            </w:r>
            <w:r>
              <w:rPr>
                <w:rFonts w:hint="eastAsia" w:ascii="Times New Roman" w:hAnsi="Times New Roman" w:cs="Times New Roman"/>
                <w:sz w:val="24"/>
                <w:szCs w:val="24"/>
              </w:rPr>
              <w:t>。</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领导小组下设办公室于工程科，负责环境保护日常管理工作，做到认真落实建设项目“三同时”制度，以确保项目实施顺利进行。</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（2）环保程序</w:t>
            </w:r>
          </w:p>
          <w:p>
            <w:pPr>
              <w:spacing w:line="360" w:lineRule="auto"/>
              <w:jc w:val="center"/>
              <w:rPr>
                <w:rFonts w:ascii="Times New Roman" w:hAnsi="Times New Roman" w:eastAsia="宋体" w:cs="Times New Roman"/>
                <w:b/>
                <w:sz w:val="24"/>
                <w:szCs w:val="24"/>
              </w:rPr>
            </w:pPr>
            <w:r>
              <w:rPr>
                <w:rFonts w:ascii="Times New Roman" w:hAnsi="Times New Roman" w:eastAsia="宋体" w:cs="Times New Roman"/>
                <w:sz w:val="24"/>
                <w:szCs w:val="24"/>
              </w:rPr>
              <mc:AlternateContent>
                <mc:Choice Requires="wpg">
                  <w:drawing>
                    <wp:inline distT="0" distB="0" distL="0" distR="0">
                      <wp:extent cx="4441190" cy="3167380"/>
                      <wp:effectExtent l="0" t="0" r="0" b="52070"/>
                      <wp:docPr id="238" name="组合 238"/>
                      <wp:cNvGraphicFramePr/>
                      <a:graphic xmlns:a="http://schemas.openxmlformats.org/drawingml/2006/main">
                        <a:graphicData uri="http://schemas.microsoft.com/office/word/2010/wordprocessingGroup">
                          <wpg:wgp>
                            <wpg:cNvGrpSpPr/>
                            <wpg:grpSpPr>
                              <a:xfrm>
                                <a:off x="0" y="0"/>
                                <a:ext cx="4441190" cy="3167380"/>
                                <a:chOff x="0" y="0"/>
                                <a:chExt cx="6170" cy="5169"/>
                              </a:xfrm>
                            </wpg:grpSpPr>
                            <wps:wsp>
                              <wps:cNvPr id="55" name="Text Box 1084"/>
                              <wps:cNvSpPr txBox="1">
                                <a:spLocks noChangeArrowheads="1"/>
                              </wps:cNvSpPr>
                              <wps:spPr bwMode="auto">
                                <a:xfrm>
                                  <a:off x="1232" y="4331"/>
                                  <a:ext cx="802" cy="383"/>
                                </a:xfrm>
                                <a:prstGeom prst="rect">
                                  <a:avLst/>
                                </a:prstGeom>
                                <a:solidFill>
                                  <a:srgbClr val="FFFFFF"/>
                                </a:solidFill>
                                <a:ln>
                                  <a:noFill/>
                                </a:ln>
                              </wps:spPr>
                              <wps:txbx>
                                <w:txbxContent>
                                  <w:p>
                                    <w:pPr>
                                      <w:rPr>
                                        <w:szCs w:val="21"/>
                                      </w:rPr>
                                    </w:pPr>
                                    <w:r>
                                      <w:rPr>
                                        <w:rFonts w:hint="eastAsia"/>
                                        <w:szCs w:val="21"/>
                                      </w:rPr>
                                      <w:t>通过</w:t>
                                    </w:r>
                                  </w:p>
                                </w:txbxContent>
                              </wps:txbx>
                              <wps:bodyPr rot="0" vert="horz" wrap="square" lIns="91440" tIns="45720" rIns="91440" bIns="45720" anchor="t" anchorCtr="0" upright="1">
                                <a:noAutofit/>
                              </wps:bodyPr>
                            </wps:wsp>
                            <wps:wsp>
                              <wps:cNvPr id="56" name="Text Box 1085"/>
                              <wps:cNvSpPr txBox="1">
                                <a:spLocks noChangeArrowheads="1"/>
                              </wps:cNvSpPr>
                              <wps:spPr bwMode="auto">
                                <a:xfrm>
                                  <a:off x="1232" y="1914"/>
                                  <a:ext cx="818" cy="383"/>
                                </a:xfrm>
                                <a:prstGeom prst="rect">
                                  <a:avLst/>
                                </a:prstGeom>
                                <a:solidFill>
                                  <a:srgbClr val="FFFFFF"/>
                                </a:solidFill>
                                <a:ln>
                                  <a:noFill/>
                                </a:ln>
                              </wps:spPr>
                              <wps:txbx>
                                <w:txbxContent>
                                  <w:p>
                                    <w:pPr>
                                      <w:rPr>
                                        <w:szCs w:val="21"/>
                                      </w:rPr>
                                    </w:pPr>
                                    <w:r>
                                      <w:rPr>
                                        <w:rFonts w:hint="eastAsia"/>
                                        <w:szCs w:val="21"/>
                                      </w:rPr>
                                      <w:t>批准</w:t>
                                    </w:r>
                                  </w:p>
                                </w:txbxContent>
                              </wps:txbx>
                              <wps:bodyPr rot="0" vert="horz" wrap="square" lIns="91440" tIns="45720" rIns="91440" bIns="45720" anchor="t" anchorCtr="0" upright="1">
                                <a:noAutofit/>
                              </wps:bodyPr>
                            </wps:wsp>
                            <wps:wsp>
                              <wps:cNvPr id="57" name="Text Box 1086"/>
                              <wps:cNvSpPr txBox="1">
                                <a:spLocks noChangeArrowheads="1"/>
                              </wps:cNvSpPr>
                              <wps:spPr bwMode="auto">
                                <a:xfrm>
                                  <a:off x="778" y="0"/>
                                  <a:ext cx="3081" cy="383"/>
                                </a:xfrm>
                                <a:prstGeom prst="rect">
                                  <a:avLst/>
                                </a:prstGeom>
                                <a:solidFill>
                                  <a:srgbClr val="FFFFFF"/>
                                </a:solidFill>
                                <a:ln w="12700">
                                  <a:solidFill>
                                    <a:srgbClr val="000000"/>
                                  </a:solidFill>
                                  <a:miter lim="800000"/>
                                </a:ln>
                              </wps:spPr>
                              <wps:txbx>
                                <w:txbxContent>
                                  <w:p>
                                    <w:pPr>
                                      <w:ind w:firstLine="420" w:firstLineChars="200"/>
                                      <w:rPr>
                                        <w:szCs w:val="21"/>
                                      </w:rPr>
                                    </w:pPr>
                                    <w:r>
                                      <w:rPr>
                                        <w:rFonts w:hint="eastAsia"/>
                                        <w:szCs w:val="21"/>
                                      </w:rPr>
                                      <w:t>分析本工程对环境的影响因素</w:t>
                                    </w:r>
                                  </w:p>
                                </w:txbxContent>
                              </wps:txbx>
                              <wps:bodyPr rot="0" vert="horz" wrap="square" lIns="91440" tIns="10800" rIns="91440" bIns="45720" anchor="t" anchorCtr="0" upright="1">
                                <a:noAutofit/>
                              </wps:bodyPr>
                            </wps:wsp>
                            <wps:wsp>
                              <wps:cNvPr id="58" name="Text Box 1087"/>
                              <wps:cNvSpPr txBox="1">
                                <a:spLocks noChangeArrowheads="1"/>
                              </wps:cNvSpPr>
                              <wps:spPr bwMode="auto">
                                <a:xfrm>
                                  <a:off x="778" y="638"/>
                                  <a:ext cx="3081" cy="383"/>
                                </a:xfrm>
                                <a:prstGeom prst="rect">
                                  <a:avLst/>
                                </a:prstGeom>
                                <a:solidFill>
                                  <a:srgbClr val="FFFFFF"/>
                                </a:solidFill>
                                <a:ln w="12700">
                                  <a:solidFill>
                                    <a:srgbClr val="000000"/>
                                  </a:solidFill>
                                  <a:miter lim="800000"/>
                                </a:ln>
                              </wps:spPr>
                              <wps:txbx>
                                <w:txbxContent>
                                  <w:p>
                                    <w:pPr>
                                      <w:ind w:firstLine="210" w:firstLineChars="100"/>
                                      <w:rPr>
                                        <w:szCs w:val="21"/>
                                      </w:rPr>
                                    </w:pPr>
                                    <w:r>
                                      <w:rPr>
                                        <w:rFonts w:hint="eastAsia"/>
                                        <w:szCs w:val="21"/>
                                      </w:rPr>
                                      <w:t>制定环境保护措施和环境管理计划</w:t>
                                    </w:r>
                                  </w:p>
                                </w:txbxContent>
                              </wps:txbx>
                              <wps:bodyPr rot="0" vert="horz" wrap="square" lIns="91440" tIns="10800" rIns="91440" bIns="45720" anchor="t" anchorCtr="0" upright="1">
                                <a:noAutofit/>
                              </wps:bodyPr>
                            </wps:wsp>
                            <wpg:grpSp>
                              <wpg:cNvPr id="250" name="Group 1088"/>
                              <wpg:cNvGrpSpPr/>
                              <wpg:grpSpPr>
                                <a:xfrm>
                                  <a:off x="0" y="2284"/>
                                  <a:ext cx="1387" cy="1149"/>
                                  <a:chOff x="0" y="0"/>
                                  <a:chExt cx="1576" cy="1404"/>
                                </a:xfrm>
                              </wpg:grpSpPr>
                              <wps:wsp>
                                <wps:cNvPr id="60" name="Text Box 1089"/>
                                <wps:cNvSpPr txBox="1">
                                  <a:spLocks noChangeArrowheads="1"/>
                                </wps:cNvSpPr>
                                <wps:spPr bwMode="auto">
                                  <a:xfrm>
                                    <a:off x="0" y="0"/>
                                    <a:ext cx="1576" cy="468"/>
                                  </a:xfrm>
                                  <a:prstGeom prst="rect">
                                    <a:avLst/>
                                  </a:prstGeom>
                                  <a:solidFill>
                                    <a:srgbClr val="FFFFFF"/>
                                  </a:solidFill>
                                  <a:ln w="12700">
                                    <a:solidFill>
                                      <a:srgbClr val="000000"/>
                                    </a:solidFill>
                                    <a:miter lim="800000"/>
                                  </a:ln>
                                </wps:spPr>
                                <wps:txbx>
                                  <w:txbxContent>
                                    <w:p>
                                      <w:pPr>
                                        <w:ind w:firstLine="105" w:firstLineChars="50"/>
                                        <w:rPr>
                                          <w:szCs w:val="21"/>
                                        </w:rPr>
                                      </w:pPr>
                                      <w:r>
                                        <w:rPr>
                                          <w:rFonts w:hint="eastAsia"/>
                                          <w:szCs w:val="21"/>
                                        </w:rPr>
                                        <w:t>配置环保设备</w:t>
                                      </w:r>
                                    </w:p>
                                  </w:txbxContent>
                                </wps:txbx>
                                <wps:bodyPr rot="0" vert="horz" wrap="square" lIns="91440" tIns="0" rIns="91440" bIns="45720" anchor="t" anchorCtr="0" upright="1">
                                  <a:noAutofit/>
                                </wps:bodyPr>
                              </wps:wsp>
                              <wps:wsp>
                                <wps:cNvPr id="61" name="Text Box 1090"/>
                                <wps:cNvSpPr txBox="1">
                                  <a:spLocks noChangeArrowheads="1"/>
                                </wps:cNvSpPr>
                                <wps:spPr bwMode="auto">
                                  <a:xfrm>
                                    <a:off x="0" y="468"/>
                                    <a:ext cx="1576" cy="468"/>
                                  </a:xfrm>
                                  <a:prstGeom prst="rect">
                                    <a:avLst/>
                                  </a:prstGeom>
                                  <a:solidFill>
                                    <a:srgbClr val="FFFFFF"/>
                                  </a:solidFill>
                                  <a:ln w="12700">
                                    <a:solidFill>
                                      <a:srgbClr val="000000"/>
                                    </a:solidFill>
                                    <a:miter lim="800000"/>
                                  </a:ln>
                                </wps:spPr>
                                <wps:txbx>
                                  <w:txbxContent>
                                    <w:p>
                                      <w:pPr>
                                        <w:ind w:firstLine="210" w:firstLineChars="100"/>
                                        <w:rPr>
                                          <w:szCs w:val="21"/>
                                        </w:rPr>
                                      </w:pPr>
                                      <w:r>
                                        <w:rPr>
                                          <w:rFonts w:hint="eastAsia"/>
                                          <w:szCs w:val="21"/>
                                        </w:rPr>
                                        <w:t>工艺改进</w:t>
                                      </w:r>
                                    </w:p>
                                  </w:txbxContent>
                                </wps:txbx>
                                <wps:bodyPr rot="0" vert="horz" wrap="square" lIns="91440" tIns="0" rIns="91440" bIns="45720" anchor="t" anchorCtr="0" upright="1">
                                  <a:noAutofit/>
                                </wps:bodyPr>
                              </wps:wsp>
                              <wps:wsp>
                                <wps:cNvPr id="62" name="Text Box 1091"/>
                                <wps:cNvSpPr txBox="1">
                                  <a:spLocks noChangeArrowheads="1"/>
                                </wps:cNvSpPr>
                                <wps:spPr bwMode="auto">
                                  <a:xfrm>
                                    <a:off x="0" y="936"/>
                                    <a:ext cx="1576" cy="468"/>
                                  </a:xfrm>
                                  <a:prstGeom prst="rect">
                                    <a:avLst/>
                                  </a:prstGeom>
                                  <a:solidFill>
                                    <a:srgbClr val="FFFFFF"/>
                                  </a:solidFill>
                                  <a:ln w="12700">
                                    <a:solidFill>
                                      <a:srgbClr val="000000"/>
                                    </a:solidFill>
                                    <a:miter lim="800000"/>
                                  </a:ln>
                                </wps:spPr>
                                <wps:txbx>
                                  <w:txbxContent>
                                    <w:p>
                                      <w:pPr>
                                        <w:ind w:firstLine="210" w:firstLineChars="100"/>
                                        <w:rPr>
                                          <w:szCs w:val="21"/>
                                        </w:rPr>
                                      </w:pPr>
                                      <w:r>
                                        <w:rPr>
                                          <w:rFonts w:hint="eastAsia"/>
                                          <w:szCs w:val="21"/>
                                        </w:rPr>
                                        <w:t>环保培训</w:t>
                                      </w:r>
                                    </w:p>
                                  </w:txbxContent>
                                </wps:txbx>
                                <wps:bodyPr rot="0" vert="horz" wrap="square" lIns="91440" tIns="10800" rIns="91440" bIns="45720" anchor="t" anchorCtr="0" upright="1">
                                  <a:noAutofit/>
                                </wps:bodyPr>
                              </wps:wsp>
                            </wpg:grpSp>
                            <wpg:grpSp>
                              <wpg:cNvPr id="251" name="Group 1092"/>
                              <wpg:cNvGrpSpPr/>
                              <wpg:grpSpPr>
                                <a:xfrm>
                                  <a:off x="1387" y="2284"/>
                                  <a:ext cx="3235" cy="1149"/>
                                  <a:chOff x="0" y="0"/>
                                  <a:chExt cx="3853" cy="1404"/>
                                </a:xfrm>
                              </wpg:grpSpPr>
                              <wps:wsp>
                                <wps:cNvPr id="64" name="Text Box 1093"/>
                                <wps:cNvSpPr txBox="1">
                                  <a:spLocks noChangeArrowheads="1"/>
                                </wps:cNvSpPr>
                                <wps:spPr bwMode="auto">
                                  <a:xfrm>
                                    <a:off x="0" y="0"/>
                                    <a:ext cx="2102" cy="624"/>
                                  </a:xfrm>
                                  <a:prstGeom prst="rect">
                                    <a:avLst/>
                                  </a:prstGeom>
                                  <a:solidFill>
                                    <a:srgbClr val="FFFFFF"/>
                                  </a:solidFill>
                                  <a:ln w="12700">
                                    <a:solidFill>
                                      <a:srgbClr val="000000"/>
                                    </a:solidFill>
                                    <a:miter lim="800000"/>
                                  </a:ln>
                                </wps:spPr>
                                <wps:txbx>
                                  <w:txbxContent>
                                    <w:p>
                                      <w:pPr>
                                        <w:ind w:firstLine="105" w:firstLineChars="50"/>
                                        <w:rPr>
                                          <w:szCs w:val="21"/>
                                        </w:rPr>
                                      </w:pPr>
                                      <w:r>
                                        <w:rPr>
                                          <w:rFonts w:hint="eastAsia"/>
                                          <w:szCs w:val="21"/>
                                        </w:rPr>
                                        <w:t>施工现场环境控制</w:t>
                                      </w:r>
                                    </w:p>
                                  </w:txbxContent>
                                </wps:txbx>
                                <wps:bodyPr rot="0" vert="horz" wrap="square" lIns="91440" tIns="45720" rIns="91440" bIns="45720" anchor="t" anchorCtr="0" upright="1">
                                  <a:noAutofit/>
                                </wps:bodyPr>
                              </wps:wsp>
                              <wps:wsp>
                                <wps:cNvPr id="65" name="Text Box 1094"/>
                                <wps:cNvSpPr txBox="1">
                                  <a:spLocks noChangeArrowheads="1"/>
                                </wps:cNvSpPr>
                                <wps:spPr bwMode="auto">
                                  <a:xfrm>
                                    <a:off x="0" y="780"/>
                                    <a:ext cx="2102" cy="624"/>
                                  </a:xfrm>
                                  <a:prstGeom prst="rect">
                                    <a:avLst/>
                                  </a:prstGeom>
                                  <a:solidFill>
                                    <a:srgbClr val="FFFFFF"/>
                                  </a:solidFill>
                                  <a:ln w="12700">
                                    <a:solidFill>
                                      <a:srgbClr val="000000"/>
                                    </a:solidFill>
                                    <a:miter lim="800000"/>
                                  </a:ln>
                                </wps:spPr>
                                <wps:txbx>
                                  <w:txbxContent>
                                    <w:p>
                                      <w:pPr>
                                        <w:ind w:firstLine="105" w:firstLineChars="50"/>
                                        <w:rPr>
                                          <w:szCs w:val="21"/>
                                        </w:rPr>
                                      </w:pPr>
                                      <w:r>
                                        <w:rPr>
                                          <w:rFonts w:hint="eastAsia"/>
                                          <w:szCs w:val="21"/>
                                        </w:rPr>
                                        <w:t>临时驻地环境控制</w:t>
                                      </w:r>
                                    </w:p>
                                  </w:txbxContent>
                                </wps:txbx>
                                <wps:bodyPr rot="0" vert="horz" wrap="square" lIns="91440" tIns="45720" rIns="91440" bIns="45720" anchor="t" anchorCtr="0" upright="1">
                                  <a:noAutofit/>
                                </wps:bodyPr>
                              </wps:wsp>
                              <wps:wsp>
                                <wps:cNvPr id="66" name="Text Box 1095"/>
                                <wps:cNvSpPr txBox="1">
                                  <a:spLocks noChangeArrowheads="1"/>
                                </wps:cNvSpPr>
                                <wps:spPr bwMode="auto">
                                  <a:xfrm>
                                    <a:off x="2102" y="0"/>
                                    <a:ext cx="1751" cy="1404"/>
                                  </a:xfrm>
                                  <a:prstGeom prst="rect">
                                    <a:avLst/>
                                  </a:prstGeom>
                                  <a:solidFill>
                                    <a:srgbClr val="FFFFFF"/>
                                  </a:solidFill>
                                  <a:ln w="12700">
                                    <a:solidFill>
                                      <a:srgbClr val="000000"/>
                                    </a:solidFill>
                                    <a:miter lim="800000"/>
                                  </a:ln>
                                </wps:spPr>
                                <wps:txbx>
                                  <w:txbxContent>
                                    <w:p>
                                      <w:pPr>
                                        <w:ind w:firstLine="105" w:firstLineChars="50"/>
                                        <w:rPr>
                                          <w:szCs w:val="21"/>
                                        </w:rPr>
                                      </w:pPr>
                                    </w:p>
                                    <w:p>
                                      <w:pPr>
                                        <w:rPr>
                                          <w:szCs w:val="21"/>
                                        </w:rPr>
                                      </w:pPr>
                                      <w:r>
                                        <w:rPr>
                                          <w:rFonts w:hint="eastAsia"/>
                                          <w:szCs w:val="21"/>
                                        </w:rPr>
                                        <w:t>环境监察记录</w:t>
                                      </w:r>
                                    </w:p>
                                  </w:txbxContent>
                                </wps:txbx>
                                <wps:bodyPr rot="0" vert="horz" wrap="square" lIns="91440" tIns="45720" rIns="91440" bIns="45720" anchor="t" anchorCtr="0" upright="1">
                                  <a:noAutofit/>
                                </wps:bodyPr>
                              </wps:wsp>
                            </wpg:grpSp>
                            <wps:wsp>
                              <wps:cNvPr id="67" name="AutoShape 1096"/>
                              <wps:cNvSpPr>
                                <a:spLocks noChangeArrowheads="1"/>
                              </wps:cNvSpPr>
                              <wps:spPr bwMode="auto">
                                <a:xfrm>
                                  <a:off x="1240" y="1275"/>
                                  <a:ext cx="2157" cy="851"/>
                                </a:xfrm>
                                <a:prstGeom prst="flowChartDecision">
                                  <a:avLst/>
                                </a:prstGeom>
                                <a:solidFill>
                                  <a:srgbClr val="FFFFFF"/>
                                </a:solidFill>
                                <a:ln w="12700">
                                  <a:solidFill>
                                    <a:srgbClr val="000000"/>
                                  </a:solidFill>
                                  <a:miter lim="800000"/>
                                </a:ln>
                              </wps:spPr>
                              <wps:txbx>
                                <w:txbxContent>
                                  <w:p>
                                    <w:pPr>
                                      <w:ind w:firstLine="210" w:firstLineChars="100"/>
                                      <w:rPr>
                                        <w:szCs w:val="21"/>
                                      </w:rPr>
                                    </w:pPr>
                                    <w:r>
                                      <w:rPr>
                                        <w:rFonts w:hint="eastAsia"/>
                                        <w:szCs w:val="21"/>
                                      </w:rPr>
                                      <w:t>审批</w:t>
                                    </w:r>
                                  </w:p>
                                </w:txbxContent>
                              </wps:txbx>
                              <wps:bodyPr rot="0" vert="horz" wrap="square" lIns="91440" tIns="45720" rIns="91440" bIns="45720" anchor="t" anchorCtr="0" upright="1">
                                <a:noAutofit/>
                              </wps:bodyPr>
                            </wps:wsp>
                            <wps:wsp>
                              <wps:cNvPr id="68" name="Line 1097"/>
                              <wps:cNvCnPr>
                                <a:cxnSpLocks noChangeShapeType="1"/>
                              </wps:cNvCnPr>
                              <wps:spPr bwMode="auto">
                                <a:xfrm>
                                  <a:off x="2319" y="383"/>
                                  <a:ext cx="0" cy="255"/>
                                </a:xfrm>
                                <a:prstGeom prst="line">
                                  <a:avLst/>
                                </a:prstGeom>
                                <a:noFill/>
                                <a:ln w="12700">
                                  <a:solidFill>
                                    <a:srgbClr val="000000"/>
                                  </a:solidFill>
                                  <a:round/>
                                  <a:tailEnd type="triangle" w="med" len="med"/>
                                </a:ln>
                              </wps:spPr>
                              <wps:bodyPr/>
                            </wps:wsp>
                            <wps:wsp>
                              <wps:cNvPr id="69" name="Line 1098"/>
                              <wps:cNvCnPr>
                                <a:cxnSpLocks noChangeShapeType="1"/>
                              </wps:cNvCnPr>
                              <wps:spPr bwMode="auto">
                                <a:xfrm>
                                  <a:off x="2319" y="1021"/>
                                  <a:ext cx="0" cy="255"/>
                                </a:xfrm>
                                <a:prstGeom prst="line">
                                  <a:avLst/>
                                </a:prstGeom>
                                <a:noFill/>
                                <a:ln w="12700">
                                  <a:solidFill>
                                    <a:srgbClr val="000000"/>
                                  </a:solidFill>
                                  <a:round/>
                                  <a:tailEnd type="triangle" w="med" len="med"/>
                                </a:ln>
                              </wps:spPr>
                              <wps:bodyPr/>
                            </wps:wsp>
                            <wps:wsp>
                              <wps:cNvPr id="70" name="Line 1099"/>
                              <wps:cNvCnPr>
                                <a:cxnSpLocks noChangeShapeType="1"/>
                              </wps:cNvCnPr>
                              <wps:spPr bwMode="auto">
                                <a:xfrm flipH="1">
                                  <a:off x="2319" y="2083"/>
                                  <a:ext cx="6" cy="213"/>
                                </a:xfrm>
                                <a:prstGeom prst="line">
                                  <a:avLst/>
                                </a:prstGeom>
                                <a:noFill/>
                                <a:ln w="12700">
                                  <a:solidFill>
                                    <a:srgbClr val="000000"/>
                                  </a:solidFill>
                                  <a:round/>
                                  <a:tailEnd type="triangle" w="med" len="med"/>
                                </a:ln>
                              </wps:spPr>
                              <wps:bodyPr/>
                            </wps:wsp>
                            <wps:wsp>
                              <wps:cNvPr id="71" name="Text Box 1100"/>
                              <wps:cNvSpPr txBox="1">
                                <a:spLocks noChangeArrowheads="1"/>
                              </wps:cNvSpPr>
                              <wps:spPr bwMode="auto">
                                <a:xfrm>
                                  <a:off x="4321" y="1404"/>
                                  <a:ext cx="1849" cy="383"/>
                                </a:xfrm>
                                <a:prstGeom prst="rect">
                                  <a:avLst/>
                                </a:prstGeom>
                                <a:solidFill>
                                  <a:srgbClr val="FFFFFF"/>
                                </a:solidFill>
                                <a:ln w="12700">
                                  <a:solidFill>
                                    <a:srgbClr val="000000"/>
                                  </a:solidFill>
                                  <a:miter lim="800000"/>
                                </a:ln>
                              </wps:spPr>
                              <wps:txbx>
                                <w:txbxContent>
                                  <w:p>
                                    <w:pPr>
                                      <w:ind w:firstLine="210" w:firstLineChars="100"/>
                                      <w:rPr>
                                        <w:szCs w:val="21"/>
                                      </w:rPr>
                                    </w:pPr>
                                    <w:r>
                                      <w:rPr>
                                        <w:rFonts w:hint="eastAsia"/>
                                        <w:szCs w:val="21"/>
                                      </w:rPr>
                                      <w:t>修正环境管理计划</w:t>
                                    </w:r>
                                  </w:p>
                                </w:txbxContent>
                              </wps:txbx>
                              <wps:bodyPr rot="0" vert="horz" wrap="square" lIns="91440" tIns="10800" rIns="91440" bIns="45720" anchor="t" anchorCtr="0" upright="1">
                                <a:noAutofit/>
                              </wps:bodyPr>
                            </wps:wsp>
                            <wps:wsp>
                              <wps:cNvPr id="72" name="Line 1101"/>
                              <wps:cNvCnPr>
                                <a:cxnSpLocks noChangeShapeType="1"/>
                              </wps:cNvCnPr>
                              <wps:spPr bwMode="auto">
                                <a:xfrm>
                                  <a:off x="3397" y="1659"/>
                                  <a:ext cx="924" cy="0"/>
                                </a:xfrm>
                                <a:prstGeom prst="line">
                                  <a:avLst/>
                                </a:prstGeom>
                                <a:noFill/>
                                <a:ln w="12700">
                                  <a:solidFill>
                                    <a:srgbClr val="000000"/>
                                  </a:solidFill>
                                  <a:round/>
                                  <a:tailEnd type="triangle" w="med" len="med"/>
                                </a:ln>
                              </wps:spPr>
                              <wps:bodyPr/>
                            </wps:wsp>
                            <wps:wsp>
                              <wps:cNvPr id="73" name="Line 1102"/>
                              <wps:cNvCnPr>
                                <a:cxnSpLocks noChangeShapeType="1"/>
                              </wps:cNvCnPr>
                              <wps:spPr bwMode="auto">
                                <a:xfrm>
                                  <a:off x="5246" y="893"/>
                                  <a:ext cx="0" cy="511"/>
                                </a:xfrm>
                                <a:prstGeom prst="line">
                                  <a:avLst/>
                                </a:prstGeom>
                                <a:noFill/>
                                <a:ln w="12700">
                                  <a:solidFill>
                                    <a:srgbClr val="000000"/>
                                  </a:solidFill>
                                  <a:round/>
                                </a:ln>
                              </wps:spPr>
                              <wps:bodyPr/>
                            </wps:wsp>
                            <wps:wsp>
                              <wps:cNvPr id="74" name="Line 1103"/>
                              <wps:cNvCnPr>
                                <a:cxnSpLocks noChangeShapeType="1"/>
                              </wps:cNvCnPr>
                              <wps:spPr bwMode="auto">
                                <a:xfrm>
                                  <a:off x="3859" y="879"/>
                                  <a:ext cx="1387" cy="0"/>
                                </a:xfrm>
                                <a:prstGeom prst="line">
                                  <a:avLst/>
                                </a:prstGeom>
                                <a:noFill/>
                                <a:ln w="12700">
                                  <a:solidFill>
                                    <a:srgbClr val="000000"/>
                                  </a:solidFill>
                                  <a:round/>
                                  <a:headEnd type="triangle" w="med" len="med"/>
                                </a:ln>
                              </wps:spPr>
                              <wps:bodyPr/>
                            </wps:wsp>
                            <wps:wsp>
                              <wps:cNvPr id="75" name="AutoShape 1104"/>
                              <wps:cNvSpPr>
                                <a:spLocks noChangeArrowheads="1"/>
                              </wps:cNvSpPr>
                              <wps:spPr bwMode="auto">
                                <a:xfrm>
                                  <a:off x="924" y="3688"/>
                                  <a:ext cx="2465" cy="872"/>
                                </a:xfrm>
                                <a:prstGeom prst="flowChartDecision">
                                  <a:avLst/>
                                </a:prstGeom>
                                <a:solidFill>
                                  <a:srgbClr val="FFFFFF"/>
                                </a:solidFill>
                                <a:ln w="12700">
                                  <a:solidFill>
                                    <a:srgbClr val="000000"/>
                                  </a:solidFill>
                                  <a:miter lim="800000"/>
                                </a:ln>
                              </wps:spPr>
                              <wps:txbx>
                                <w:txbxContent>
                                  <w:p>
                                    <w:pPr>
                                      <w:ind w:firstLine="105" w:firstLineChars="50"/>
                                      <w:rPr>
                                        <w:szCs w:val="21"/>
                                      </w:rPr>
                                    </w:pPr>
                                    <w:r>
                                      <w:rPr>
                                        <w:rFonts w:hint="eastAsia"/>
                                        <w:szCs w:val="21"/>
                                      </w:rPr>
                                      <w:t>环保检查评审</w:t>
                                    </w:r>
                                  </w:p>
                                </w:txbxContent>
                              </wps:txbx>
                              <wps:bodyPr rot="0" vert="horz" wrap="square" lIns="91440" tIns="45720" rIns="91440" bIns="45720" anchor="t" anchorCtr="0" upright="1">
                                <a:noAutofit/>
                              </wps:bodyPr>
                            </wps:wsp>
                            <wps:wsp>
                              <wps:cNvPr id="76" name="Text Box 1105"/>
                              <wps:cNvSpPr txBox="1">
                                <a:spLocks noChangeArrowheads="1"/>
                              </wps:cNvSpPr>
                              <wps:spPr bwMode="auto">
                                <a:xfrm>
                                  <a:off x="770" y="4786"/>
                                  <a:ext cx="2619" cy="383"/>
                                </a:xfrm>
                                <a:prstGeom prst="rect">
                                  <a:avLst/>
                                </a:prstGeom>
                                <a:solidFill>
                                  <a:srgbClr val="FFFFFF"/>
                                </a:solidFill>
                                <a:ln w="12700">
                                  <a:solidFill>
                                    <a:srgbClr val="000000"/>
                                  </a:solidFill>
                                  <a:miter lim="800000"/>
                                </a:ln>
                              </wps:spPr>
                              <wps:txbx>
                                <w:txbxContent>
                                  <w:p>
                                    <w:pPr>
                                      <w:ind w:firstLine="315" w:firstLineChars="150"/>
                                      <w:rPr>
                                        <w:szCs w:val="21"/>
                                      </w:rPr>
                                    </w:pPr>
                                    <w:r>
                                      <w:rPr>
                                        <w:rFonts w:hint="eastAsia"/>
                                        <w:szCs w:val="21"/>
                                      </w:rPr>
                                      <w:t>执行下阶段环境管理计划</w:t>
                                    </w:r>
                                  </w:p>
                                </w:txbxContent>
                              </wps:txbx>
                              <wps:bodyPr rot="0" vert="horz" wrap="square" lIns="91440" tIns="10800" rIns="91440" bIns="45720" anchor="t" anchorCtr="0" upright="1">
                                <a:noAutofit/>
                              </wps:bodyPr>
                            </wps:wsp>
                            <wps:wsp>
                              <wps:cNvPr id="77" name="Line 1106"/>
                              <wps:cNvCnPr>
                                <a:cxnSpLocks noChangeShapeType="1"/>
                              </wps:cNvCnPr>
                              <wps:spPr bwMode="auto">
                                <a:xfrm>
                                  <a:off x="2165" y="3433"/>
                                  <a:ext cx="0" cy="255"/>
                                </a:xfrm>
                                <a:prstGeom prst="line">
                                  <a:avLst/>
                                </a:prstGeom>
                                <a:noFill/>
                                <a:ln w="12700">
                                  <a:solidFill>
                                    <a:srgbClr val="000000"/>
                                  </a:solidFill>
                                  <a:round/>
                                  <a:tailEnd type="triangle" w="med" len="med"/>
                                </a:ln>
                              </wps:spPr>
                              <wps:bodyPr/>
                            </wps:wsp>
                            <wps:wsp>
                              <wps:cNvPr id="78" name="Line 1107"/>
                              <wps:cNvCnPr>
                                <a:cxnSpLocks noChangeShapeType="1"/>
                              </wps:cNvCnPr>
                              <wps:spPr bwMode="auto">
                                <a:xfrm flipH="1">
                                  <a:off x="6008" y="2110"/>
                                  <a:ext cx="8" cy="1941"/>
                                </a:xfrm>
                                <a:prstGeom prst="line">
                                  <a:avLst/>
                                </a:prstGeom>
                                <a:noFill/>
                                <a:ln w="12700">
                                  <a:solidFill>
                                    <a:srgbClr val="000000"/>
                                  </a:solidFill>
                                  <a:round/>
                                </a:ln>
                              </wps:spPr>
                              <wps:bodyPr/>
                            </wps:wsp>
                            <wps:wsp>
                              <wps:cNvPr id="79" name="Line 1108"/>
                              <wps:cNvCnPr>
                                <a:cxnSpLocks noChangeShapeType="1"/>
                              </wps:cNvCnPr>
                              <wps:spPr bwMode="auto">
                                <a:xfrm>
                                  <a:off x="3397" y="4046"/>
                                  <a:ext cx="2619" cy="0"/>
                                </a:xfrm>
                                <a:prstGeom prst="line">
                                  <a:avLst/>
                                </a:prstGeom>
                                <a:noFill/>
                                <a:ln w="12700">
                                  <a:solidFill>
                                    <a:srgbClr val="000000"/>
                                  </a:solidFill>
                                  <a:round/>
                                </a:ln>
                              </wps:spPr>
                              <wps:bodyPr/>
                            </wps:wsp>
                            <wps:wsp>
                              <wps:cNvPr id="80" name="Line 1109"/>
                              <wps:cNvCnPr>
                                <a:cxnSpLocks noChangeShapeType="1"/>
                              </wps:cNvCnPr>
                              <wps:spPr bwMode="auto">
                                <a:xfrm>
                                  <a:off x="2319" y="2107"/>
                                  <a:ext cx="3697" cy="0"/>
                                </a:xfrm>
                                <a:prstGeom prst="line">
                                  <a:avLst/>
                                </a:prstGeom>
                                <a:noFill/>
                                <a:ln w="12700">
                                  <a:solidFill>
                                    <a:srgbClr val="000000"/>
                                  </a:solidFill>
                                  <a:round/>
                                  <a:headEnd type="triangle" w="med" len="med"/>
                                </a:ln>
                              </wps:spPr>
                              <wps:bodyPr/>
                            </wps:wsp>
                            <wpg:grpSp>
                              <wpg:cNvPr id="252" name="Group 1110"/>
                              <wpg:cNvGrpSpPr/>
                              <wpg:grpSpPr>
                                <a:xfrm>
                                  <a:off x="2144" y="4531"/>
                                  <a:ext cx="3248" cy="638"/>
                                  <a:chOff x="-15" y="156"/>
                                  <a:chExt cx="3795" cy="780"/>
                                </a:xfrm>
                              </wpg:grpSpPr>
                              <wps:wsp>
                                <wps:cNvPr id="82" name="Text Box 1111"/>
                                <wps:cNvSpPr txBox="1">
                                  <a:spLocks noChangeArrowheads="1"/>
                                </wps:cNvSpPr>
                                <wps:spPr bwMode="auto">
                                  <a:xfrm>
                                    <a:off x="1980" y="468"/>
                                    <a:ext cx="1800" cy="468"/>
                                  </a:xfrm>
                                  <a:prstGeom prst="rect">
                                    <a:avLst/>
                                  </a:prstGeom>
                                  <a:solidFill>
                                    <a:srgbClr val="FFFFFF"/>
                                  </a:solidFill>
                                  <a:ln w="12700">
                                    <a:solidFill>
                                      <a:srgbClr val="000000"/>
                                    </a:solidFill>
                                    <a:miter lim="800000"/>
                                  </a:ln>
                                </wps:spPr>
                                <wps:txbx>
                                  <w:txbxContent>
                                    <w:p>
                                      <w:pPr>
                                        <w:ind w:firstLine="210" w:firstLineChars="100"/>
                                        <w:rPr>
                                          <w:szCs w:val="21"/>
                                        </w:rPr>
                                      </w:pPr>
                                      <w:r>
                                        <w:rPr>
                                          <w:rFonts w:hint="eastAsia"/>
                                          <w:szCs w:val="21"/>
                                        </w:rPr>
                                        <w:t>控制文件归档</w:t>
                                      </w:r>
                                    </w:p>
                                  </w:txbxContent>
                                </wps:txbx>
                                <wps:bodyPr rot="0" vert="horz" wrap="square" lIns="91440" tIns="10800" rIns="91440" bIns="45720" anchor="t" anchorCtr="0" upright="1">
                                  <a:noAutofit/>
                                </wps:bodyPr>
                              </wps:wsp>
                              <wps:wsp>
                                <wps:cNvPr id="83" name="Line 1112"/>
                                <wps:cNvCnPr>
                                  <a:cxnSpLocks noChangeShapeType="1"/>
                                </wps:cNvCnPr>
                                <wps:spPr bwMode="auto">
                                  <a:xfrm>
                                    <a:off x="-15" y="157"/>
                                    <a:ext cx="14" cy="312"/>
                                  </a:xfrm>
                                  <a:prstGeom prst="line">
                                    <a:avLst/>
                                  </a:prstGeom>
                                  <a:noFill/>
                                  <a:ln w="12700">
                                    <a:solidFill>
                                      <a:srgbClr val="000000"/>
                                    </a:solidFill>
                                    <a:round/>
                                    <a:tailEnd type="triangle" w="med" len="med"/>
                                  </a:ln>
                                </wps:spPr>
                                <wps:bodyPr/>
                              </wps:wsp>
                              <wps:wsp>
                                <wps:cNvPr id="84" name="Line 1113"/>
                                <wps:cNvCnPr>
                                  <a:cxnSpLocks noChangeShapeType="1"/>
                                </wps:cNvCnPr>
                                <wps:spPr bwMode="auto">
                                  <a:xfrm>
                                    <a:off x="0" y="156"/>
                                    <a:ext cx="2880" cy="0"/>
                                  </a:xfrm>
                                  <a:prstGeom prst="line">
                                    <a:avLst/>
                                  </a:prstGeom>
                                  <a:noFill/>
                                  <a:ln w="12700">
                                    <a:solidFill>
                                      <a:srgbClr val="000000"/>
                                    </a:solidFill>
                                    <a:round/>
                                  </a:ln>
                                </wps:spPr>
                                <wps:bodyPr/>
                              </wps:wsp>
                              <wps:wsp>
                                <wps:cNvPr id="85" name="Line 1114"/>
                                <wps:cNvCnPr>
                                  <a:cxnSpLocks noChangeShapeType="1"/>
                                </wps:cNvCnPr>
                                <wps:spPr bwMode="auto">
                                  <a:xfrm>
                                    <a:off x="2880" y="156"/>
                                    <a:ext cx="0" cy="312"/>
                                  </a:xfrm>
                                  <a:prstGeom prst="line">
                                    <a:avLst/>
                                  </a:prstGeom>
                                  <a:noFill/>
                                  <a:ln w="12700">
                                    <a:solidFill>
                                      <a:srgbClr val="000000"/>
                                    </a:solidFill>
                                    <a:round/>
                                    <a:tailEnd type="triangle" w="med" len="med"/>
                                  </a:ln>
                                </wps:spPr>
                                <wps:bodyPr/>
                              </wps:wsp>
                            </wpg:grpSp>
                            <wps:wsp>
                              <wps:cNvPr id="86" name="Text Box 1115"/>
                              <wps:cNvSpPr txBox="1">
                                <a:spLocks noChangeArrowheads="1"/>
                              </wps:cNvSpPr>
                              <wps:spPr bwMode="auto">
                                <a:xfrm>
                                  <a:off x="3235" y="1149"/>
                                  <a:ext cx="1079" cy="383"/>
                                </a:xfrm>
                                <a:prstGeom prst="rect">
                                  <a:avLst/>
                                </a:prstGeom>
                                <a:solidFill>
                                  <a:srgbClr val="FFFFFF"/>
                                </a:solidFill>
                                <a:ln>
                                  <a:noFill/>
                                </a:ln>
                              </wps:spPr>
                              <wps:txbx>
                                <w:txbxContent>
                                  <w:p>
                                    <w:pPr>
                                      <w:ind w:firstLine="210" w:firstLineChars="100"/>
                                      <w:rPr>
                                        <w:szCs w:val="21"/>
                                      </w:rPr>
                                    </w:pPr>
                                    <w:r>
                                      <w:rPr>
                                        <w:rFonts w:hint="eastAsia"/>
                                        <w:szCs w:val="21"/>
                                      </w:rPr>
                                      <w:t>未批准</w:t>
                                    </w:r>
                                  </w:p>
                                </w:txbxContent>
                              </wps:txbx>
                              <wps:bodyPr rot="0" vert="horz" wrap="square" lIns="91440" tIns="45720" rIns="91440" bIns="45720" anchor="t" anchorCtr="0" upright="1">
                                <a:noAutofit/>
                              </wps:bodyPr>
                            </wps:wsp>
                            <wps:wsp>
                              <wps:cNvPr id="87" name="Text Box 1116"/>
                              <wps:cNvSpPr txBox="1">
                                <a:spLocks noChangeArrowheads="1"/>
                              </wps:cNvSpPr>
                              <wps:spPr bwMode="auto">
                                <a:xfrm>
                                  <a:off x="3543" y="3591"/>
                                  <a:ext cx="925" cy="383"/>
                                </a:xfrm>
                                <a:prstGeom prst="rect">
                                  <a:avLst/>
                                </a:prstGeom>
                                <a:solidFill>
                                  <a:srgbClr val="FFFFFF"/>
                                </a:solidFill>
                                <a:ln>
                                  <a:noFill/>
                                </a:ln>
                              </wps:spPr>
                              <wps:txbx>
                                <w:txbxContent>
                                  <w:p>
                                    <w:pPr>
                                      <w:rPr>
                                        <w:szCs w:val="21"/>
                                      </w:rPr>
                                    </w:pPr>
                                    <w:r>
                                      <w:rPr>
                                        <w:rFonts w:hint="eastAsia"/>
                                        <w:szCs w:val="21"/>
                                      </w:rPr>
                                      <w:t>未通过</w:t>
                                    </w:r>
                                  </w:p>
                                </w:txbxContent>
                              </wps:txbx>
                              <wps:bodyPr rot="0" vert="horz" wrap="square" lIns="91440" tIns="45720" rIns="91440" bIns="45720" anchor="t" anchorCtr="0" upright="1">
                                <a:noAutofit/>
                              </wps:bodyPr>
                            </wps:wsp>
                          </wpg:wgp>
                        </a:graphicData>
                      </a:graphic>
                    </wp:inline>
                  </w:drawing>
                </mc:Choice>
                <mc:Fallback>
                  <w:pict>
                    <v:group id="_x0000_s1026" o:spid="_x0000_s1026" o:spt="203" style="height:249.4pt;width:349.7pt;" coordsize="6170,5169" o:gfxdata="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">
                      <o:lock v:ext="edit" aspectratio="f"/>
                      <v:shape id="Text Box 1084" o:spid="_x0000_s1026" o:spt="202" type="#_x0000_t202" style="position:absolute;left:1232;top:4331;height:383;width:802;" fillcolor="#FFFFFF" filled="t" stroked="f" coordsize="21600,21600" o:gfxdata="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RPsiq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rPr>
                                  <w:szCs w:val="21"/>
                                </w:rPr>
                              </w:pPr>
                              <w:r>
                                <w:rPr>
                                  <w:rFonts w:hint="eastAsia"/>
                                  <w:szCs w:val="21"/>
                                </w:rPr>
                                <w:t>通过</w:t>
                              </w:r>
                            </w:p>
                          </w:txbxContent>
                        </v:textbox>
                      </v:shape>
                      <v:shape id="Text Box 1085" o:spid="_x0000_s1026" o:spt="202" type="#_x0000_t202" style="position:absolute;left:1232;top:1914;height:383;width:818;" fillcolor="#FFFFFF" filled="t" stroked="f" coordsize="21600,21600" o:gfxdata="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SdLF2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rPr>
                                  <w:szCs w:val="21"/>
                                </w:rPr>
                              </w:pPr>
                              <w:r>
                                <w:rPr>
                                  <w:rFonts w:hint="eastAsia"/>
                                  <w:szCs w:val="21"/>
                                </w:rPr>
                                <w:t>批准</w:t>
                              </w:r>
                            </w:p>
                          </w:txbxContent>
                        </v:textbox>
                      </v:shape>
                      <v:shape id="Text Box 1086" o:spid="_x0000_s1026" o:spt="202" type="#_x0000_t202" style="position:absolute;left:778;top:0;height:383;width:3081;" fillcolor="#FFFFFF" filled="t" stroked="t" coordsize="21600,21600" o:gfxdata="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4x1fb4A&#10;AADbAAAADwAAAAAAAAABACAAAAAiAAAAZHJzL2Rvd25yZXYueG1sUEsBAhQAFAAAAAgAh07iQDMv&#10;BZ47AAAAOQAAABAAAAAAAAAAAQAgAAAADQEAAGRycy9zaGFwZXhtbC54bWxQSwUGAAAAAAYABgBb&#10;AQAAtwMAAAAA&#10;">
                        <v:fill on="t" focussize="0,0"/>
                        <v:stroke weight="1pt" color="#000000" miterlimit="8" joinstyle="miter"/>
                        <v:imagedata o:title=""/>
                        <o:lock v:ext="edit" aspectratio="f"/>
                        <v:textbox inset="2.54mm,0.3mm,2.54mm,1.27mm">
                          <w:txbxContent>
                            <w:p>
                              <w:pPr>
                                <w:ind w:firstLine="420" w:firstLineChars="200"/>
                                <w:rPr>
                                  <w:szCs w:val="21"/>
                                </w:rPr>
                              </w:pPr>
                              <w:r>
                                <w:rPr>
                                  <w:rFonts w:hint="eastAsia"/>
                                  <w:szCs w:val="21"/>
                                </w:rPr>
                                <w:t>分析本工程对环境的影响因素</w:t>
                              </w:r>
                            </w:p>
                          </w:txbxContent>
                        </v:textbox>
                      </v:shape>
                      <v:shape id="Text Box 1087" o:spid="_x0000_s1026" o:spt="202" type="#_x0000_t202" style="position:absolute;left:778;top:638;height:383;width:3081;" fillcolor="#FFFFFF" filled="t" stroked="t" coordsize="21600,21600" o:gfxdata="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WE+EPtwAAANsAAAAP&#10;AAAAAAAAAAEAIAAAACIAAABkcnMvZG93bnJldi54bWxQSwECFAAUAAAACACHTuJAMy8FnjsAAAA5&#10;AAAAEAAAAAAAAAABACAAAAAGAQAAZHJzL3NoYXBleG1sLnhtbFBLBQYAAAAABgAGAFsBAACwAwAA&#10;AAA=&#10;">
                        <v:fill on="t" focussize="0,0"/>
                        <v:stroke weight="1pt" color="#000000" miterlimit="8" joinstyle="miter"/>
                        <v:imagedata o:title=""/>
                        <o:lock v:ext="edit" aspectratio="f"/>
                        <v:textbox inset="2.54mm,0.3mm,2.54mm,1.27mm">
                          <w:txbxContent>
                            <w:p>
                              <w:pPr>
                                <w:ind w:firstLine="210" w:firstLineChars="100"/>
                                <w:rPr>
                                  <w:szCs w:val="21"/>
                                </w:rPr>
                              </w:pPr>
                              <w:r>
                                <w:rPr>
                                  <w:rFonts w:hint="eastAsia"/>
                                  <w:szCs w:val="21"/>
                                </w:rPr>
                                <w:t>制定环境保护措施和环境管理计划</w:t>
                              </w:r>
                            </w:p>
                          </w:txbxContent>
                        </v:textbox>
                      </v:shape>
                      <v:group id="Group 1088" o:spid="_x0000_s1026" o:spt="203" style="position:absolute;left:0;top:2284;height:1149;width:1387;" coordsize="1576,1404" o:gfxdata="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FDNOwvAAAANwAAAAPAAAAAAAAAAEAIAAAACIAAABkcnMvZG93bnJldi54bWxQ&#10;SwECFAAUAAAACACHTuJAMy8FnjsAAAA5AAAAFQAAAAAAAAABACAAAAALAQAAZHJzL2dyb3Vwc2hh&#10;cGV4bWwueG1sUEsFBgAAAAAGAAYAYAEAAMgDAAAAAA==&#10;">
                        <o:lock v:ext="edit" aspectratio="f"/>
                        <v:shape id="Text Box 1089" o:spid="_x0000_s1026" o:spt="202" type="#_x0000_t202" style="position:absolute;left:0;top:0;height:468;width:1576;" fillcolor="#FFFFFF" filled="t" stroked="t" coordsize="21600,21600" o:gfxdata="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2q2ugAAANsA&#10;AAAPAAAAAAAAAAEAIAAAACIAAABkcnMvZG93bnJldi54bWxQSwECFAAUAAAACACHTuJAMy8FnjsA&#10;AAA5AAAAEAAAAAAAAAABACAAAAAJAQAAZHJzL3NoYXBleG1sLnhtbFBLBQYAAAAABgAGAFsBAACz&#10;AwAAAAA=&#10;">
                          <v:fill on="t" focussize="0,0"/>
                          <v:stroke weight="1pt" color="#000000" miterlimit="8" joinstyle="miter"/>
                          <v:imagedata o:title=""/>
                          <o:lock v:ext="edit" aspectratio="f"/>
                          <v:textbox inset="2.54mm,0mm,2.54mm,1.27mm">
                            <w:txbxContent>
                              <w:p>
                                <w:pPr>
                                  <w:ind w:firstLine="105" w:firstLineChars="50"/>
                                  <w:rPr>
                                    <w:szCs w:val="21"/>
                                  </w:rPr>
                                </w:pPr>
                                <w:r>
                                  <w:rPr>
                                    <w:rFonts w:hint="eastAsia"/>
                                    <w:szCs w:val="21"/>
                                  </w:rPr>
                                  <w:t>配置环保设备</w:t>
                                </w:r>
                              </w:p>
                            </w:txbxContent>
                          </v:textbox>
                        </v:shape>
                        <v:shape id="Text Box 1090" o:spid="_x0000_s1026" o:spt="202" type="#_x0000_t202" style="position:absolute;left:0;top:468;height:468;width:1576;" fillcolor="#FFFFFF" filled="t" stroked="t" coordsize="21600,21600" o:gfxdata="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t88tvQAA&#10;ANsAAAAPAAAAAAAAAAEAIAAAACIAAABkcnMvZG93bnJldi54bWxQSwECFAAUAAAACACHTuJAMy8F&#10;njsAAAA5AAAAEAAAAAAAAAABACAAAAAMAQAAZHJzL3NoYXBleG1sLnhtbFBLBQYAAAAABgAGAFsB&#10;AAC2AwAAAAA=&#10;">
                          <v:fill on="t" focussize="0,0"/>
                          <v:stroke weight="1pt" color="#000000" miterlimit="8" joinstyle="miter"/>
                          <v:imagedata o:title=""/>
                          <o:lock v:ext="edit" aspectratio="f"/>
                          <v:textbox inset="2.54mm,0mm,2.54mm,1.27mm">
                            <w:txbxContent>
                              <w:p>
                                <w:pPr>
                                  <w:ind w:firstLine="210" w:firstLineChars="100"/>
                                  <w:rPr>
                                    <w:szCs w:val="21"/>
                                  </w:rPr>
                                </w:pPr>
                                <w:r>
                                  <w:rPr>
                                    <w:rFonts w:hint="eastAsia"/>
                                    <w:szCs w:val="21"/>
                                  </w:rPr>
                                  <w:t>工艺改进</w:t>
                                </w:r>
                              </w:p>
                            </w:txbxContent>
                          </v:textbox>
                        </v:shape>
                        <v:shape id="Text Box 1091" o:spid="_x0000_s1026" o:spt="202" type="#_x0000_t202" style="position:absolute;left:0;top:936;height:468;width:1576;" fillcolor="#FFFFFF" filled="t" stroked="t" coordsize="21600,21600" o:gfxdata="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mXHFi5AAAA2wAA&#10;AA8AAAAAAAAAAQAgAAAAIgAAAGRycy9kb3ducmV2LnhtbFBLAQIUABQAAAAIAIdO4kAzLwWeOwAA&#10;ADkAAAAQAAAAAAAAAAEAIAAAAAgBAABkcnMvc2hhcGV4bWwueG1sUEsFBgAAAAAGAAYAWwEAALID&#10;AAAAAA==&#10;">
                          <v:fill on="t" focussize="0,0"/>
                          <v:stroke weight="1pt" color="#000000" miterlimit="8" joinstyle="miter"/>
                          <v:imagedata o:title=""/>
                          <o:lock v:ext="edit" aspectratio="f"/>
                          <v:textbox inset="2.54mm,0.3mm,2.54mm,1.27mm">
                            <w:txbxContent>
                              <w:p>
                                <w:pPr>
                                  <w:ind w:firstLine="210" w:firstLineChars="100"/>
                                  <w:rPr>
                                    <w:szCs w:val="21"/>
                                  </w:rPr>
                                </w:pPr>
                                <w:r>
                                  <w:rPr>
                                    <w:rFonts w:hint="eastAsia"/>
                                    <w:szCs w:val="21"/>
                                  </w:rPr>
                                  <w:t>环保培训</w:t>
                                </w:r>
                              </w:p>
                            </w:txbxContent>
                          </v:textbox>
                        </v:shape>
                      </v:group>
                      <v:group id="Group 1092" o:spid="_x0000_s1026" o:spt="203" style="position:absolute;left:1387;top:2284;height:1149;width:3235;" coordsize="3853,1404" o:gfxdata="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qQHYrvwAAANwAAAAPAAAAAAAAAAEAIAAAACIAAABkcnMvZG93bnJldi54&#10;bWxQSwECFAAUAAAACACHTuJAMy8FnjsAAAA5AAAAFQAAAAAAAAABACAAAAAOAQAAZHJzL2dyb3Vw&#10;c2hhcGV4bWwueG1sUEsFBgAAAAAGAAYAYAEAAMsDAAAAAA==&#10;">
                        <o:lock v:ext="edit" aspectratio="f"/>
                        <v:shape id="Text Box 1093" o:spid="_x0000_s1026" o:spt="202" type="#_x0000_t202" style="position:absolute;left:0;top:0;height:624;width:2102;" fillcolor="#FFFFFF" filled="t" stroked="t" coordsize="21600,21600" o:gfxdata="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A14Ui/&#10;AAAA2wAAAA8AAAAAAAAAAQAgAAAAIgAAAGRycy9kb3ducmV2LnhtbFBLAQIUABQAAAAIAIdO4kAz&#10;LwWeOwAAADkAAAAQAAAAAAAAAAEAIAAAAA4BAABkcnMvc2hhcGV4bWwueG1sUEsFBgAAAAAGAAYA&#10;WwEAALgDAAAAAA==&#10;">
                          <v:fill on="t" focussize="0,0"/>
                          <v:stroke weight="1pt" color="#000000" miterlimit="8" joinstyle="miter"/>
                          <v:imagedata o:title=""/>
                          <o:lock v:ext="edit" aspectratio="f"/>
                          <v:textbox>
                            <w:txbxContent>
                              <w:p>
                                <w:pPr>
                                  <w:ind w:firstLine="105" w:firstLineChars="50"/>
                                  <w:rPr>
                                    <w:szCs w:val="21"/>
                                  </w:rPr>
                                </w:pPr>
                                <w:r>
                                  <w:rPr>
                                    <w:rFonts w:hint="eastAsia"/>
                                    <w:szCs w:val="21"/>
                                  </w:rPr>
                                  <w:t>施工现场环境控制</w:t>
                                </w:r>
                              </w:p>
                            </w:txbxContent>
                          </v:textbox>
                        </v:shape>
                        <v:shape id="Text Box 1094" o:spid="_x0000_s1026" o:spt="202" type="#_x0000_t202" style="position:absolute;left:0;top:780;height:624;width:2102;" fillcolor="#FFFFFF" filled="t" stroked="t" coordsize="21600,21600" o:gfxdata="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95RNO/&#10;AAAA2wAAAA8AAAAAAAAAAQAgAAAAIgAAAGRycy9kb3ducmV2LnhtbFBLAQIUABQAAAAIAIdO4kAz&#10;LwWeOwAAADkAAAAQAAAAAAAAAAEAIAAAAA4BAABkcnMvc2hhcGV4bWwueG1sUEsFBgAAAAAGAAYA&#10;WwEAALgDAAAAAA==&#10;">
                          <v:fill on="t" focussize="0,0"/>
                          <v:stroke weight="1pt" color="#000000" miterlimit="8" joinstyle="miter"/>
                          <v:imagedata o:title=""/>
                          <o:lock v:ext="edit" aspectratio="f"/>
                          <v:textbox>
                            <w:txbxContent>
                              <w:p>
                                <w:pPr>
                                  <w:ind w:firstLine="105" w:firstLineChars="50"/>
                                  <w:rPr>
                                    <w:szCs w:val="21"/>
                                  </w:rPr>
                                </w:pPr>
                                <w:r>
                                  <w:rPr>
                                    <w:rFonts w:hint="eastAsia"/>
                                    <w:szCs w:val="21"/>
                                  </w:rPr>
                                  <w:t>临时驻地环境控制</w:t>
                                </w:r>
                              </w:p>
                            </w:txbxContent>
                          </v:textbox>
                        </v:shape>
                        <v:shape id="Text Box 1095" o:spid="_x0000_s1026" o:spt="202" type="#_x0000_t202" style="position:absolute;left:2102;top:0;height:1404;width:1751;" fillcolor="#FFFFFF" filled="t" stroked="t" coordsize="21600,21600" o:gfxdata="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6vapL4A&#10;AADbAAAADwAAAAAAAAABACAAAAAiAAAAZHJzL2Rvd25yZXYueG1sUEsBAhQAFAAAAAgAh07iQDMv&#10;BZ47AAAAOQAAABAAAAAAAAAAAQAgAAAADQEAAGRycy9zaGFwZXhtbC54bWxQSwUGAAAAAAYABgBb&#10;AQAAtwMAAAAA&#10;">
                          <v:fill on="t" focussize="0,0"/>
                          <v:stroke weight="1pt" color="#000000" miterlimit="8" joinstyle="miter"/>
                          <v:imagedata o:title=""/>
                          <o:lock v:ext="edit" aspectratio="f"/>
                          <v:textbox>
                            <w:txbxContent>
                              <w:p>
                                <w:pPr>
                                  <w:ind w:firstLine="105" w:firstLineChars="50"/>
                                  <w:rPr>
                                    <w:szCs w:val="21"/>
                                  </w:rPr>
                                </w:pPr>
                              </w:p>
                              <w:p>
                                <w:pPr>
                                  <w:rPr>
                                    <w:szCs w:val="21"/>
                                  </w:rPr>
                                </w:pPr>
                                <w:r>
                                  <w:rPr>
                                    <w:rFonts w:hint="eastAsia"/>
                                    <w:szCs w:val="21"/>
                                  </w:rPr>
                                  <w:t>环境监察记录</w:t>
                                </w:r>
                              </w:p>
                            </w:txbxContent>
                          </v:textbox>
                        </v:shape>
                      </v:group>
                      <v:shape id="AutoShape 1096" o:spid="_x0000_s1026" o:spt="110" type="#_x0000_t110" style="position:absolute;left:1240;top:1275;height:851;width:2157;" fillcolor="#FFFFFF" filled="t" stroked="t" coordsize="21600,21600" o:gfxdata="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MgI5vQAA&#10;ANsAAAAPAAAAAAAAAAEAIAAAACIAAABkcnMvZG93bnJldi54bWxQSwECFAAUAAAACACHTuJAMy8F&#10;njsAAAA5AAAAEAAAAAAAAAABACAAAAAMAQAAZHJzL3NoYXBleG1sLnhtbFBLBQYAAAAABgAGAFsB&#10;AAC2AwAAAAA=&#10;">
                        <v:fill on="t" focussize="0,0"/>
                        <v:stroke weight="1pt" color="#000000" miterlimit="8" joinstyle="miter"/>
                        <v:imagedata o:title=""/>
                        <o:lock v:ext="edit" aspectratio="f"/>
                        <v:textbox>
                          <w:txbxContent>
                            <w:p>
                              <w:pPr>
                                <w:ind w:firstLine="210" w:firstLineChars="100"/>
                                <w:rPr>
                                  <w:szCs w:val="21"/>
                                </w:rPr>
                              </w:pPr>
                              <w:r>
                                <w:rPr>
                                  <w:rFonts w:hint="eastAsia"/>
                                  <w:szCs w:val="21"/>
                                </w:rPr>
                                <w:t>审批</w:t>
                              </w:r>
                            </w:p>
                          </w:txbxContent>
                        </v:textbox>
                      </v:shape>
                      <v:line id="Line 1097" o:spid="_x0000_s1026" o:spt="20" style="position:absolute;left:2319;top:383;height:255;width:0;" filled="f" stroked="t" coordsize="21600,21600" o:gfxdata="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ssfivQAA&#10;ANs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line id="Line 1098" o:spid="_x0000_s1026" o:spt="20" style="position:absolute;left:2319;top:1021;height:255;width:0;" filled="f" stroked="t" coordsize="21600,21600" o:gfxdata="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v5ieb4A&#10;AADb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line id="Line 1099" o:spid="_x0000_s1026" o:spt="20" style="position:absolute;left:2319;top:2083;flip:x;height:213;width:6;" filled="f" stroked="t" coordsize="21600,21600" o:gfxdata="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wuPTG2AAAA2wAAAA8A&#10;AAAAAAAAAQAgAAAAIgAAAGRycy9kb3ducmV2LnhtbFBLAQIUABQAAAAIAIdO4kAzLwWeOwAAADkA&#10;AAAQAAAAAAAAAAEAIAAAAAUBAABkcnMvc2hhcGV4bWwueG1sUEsFBgAAAAAGAAYAWwEAAK8DAAAA&#10;AA==&#10;">
                        <v:fill on="f" focussize="0,0"/>
                        <v:stroke weight="1pt" color="#000000" joinstyle="round" endarrow="block"/>
                        <v:imagedata o:title=""/>
                        <o:lock v:ext="edit" aspectratio="f"/>
                      </v:line>
                      <v:shape id="Text Box 1100" o:spid="_x0000_s1026" o:spt="202" type="#_x0000_t202" style="position:absolute;left:4321;top:1404;height:383;width:1849;" fillcolor="#FFFFFF" filled="t" stroked="t" coordsize="21600,21600" o:gfxdata="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nBTyvQAA&#10;ANsAAAAPAAAAAAAAAAEAIAAAACIAAABkcnMvZG93bnJldi54bWxQSwECFAAUAAAACACHTuJAMy8F&#10;njsAAAA5AAAAEAAAAAAAAAABACAAAAAMAQAAZHJzL3NoYXBleG1sLnhtbFBLBQYAAAAABgAGAFsB&#10;AAC2AwAAAAA=&#10;">
                        <v:fill on="t" focussize="0,0"/>
                        <v:stroke weight="1pt" color="#000000" miterlimit="8" joinstyle="miter"/>
                        <v:imagedata o:title=""/>
                        <o:lock v:ext="edit" aspectratio="f"/>
                        <v:textbox inset="2.54mm,0.3mm,2.54mm,1.27mm">
                          <w:txbxContent>
                            <w:p>
                              <w:pPr>
                                <w:ind w:firstLine="210" w:firstLineChars="100"/>
                                <w:rPr>
                                  <w:szCs w:val="21"/>
                                </w:rPr>
                              </w:pPr>
                              <w:r>
                                <w:rPr>
                                  <w:rFonts w:hint="eastAsia"/>
                                  <w:szCs w:val="21"/>
                                </w:rPr>
                                <w:t>修正环境管理计划</w:t>
                              </w:r>
                            </w:p>
                          </w:txbxContent>
                        </v:textbox>
                      </v:shape>
                      <v:line id="Line 1101" o:spid="_x0000_s1026" o:spt="20" style="position:absolute;left:3397;top:1659;height:0;width:924;" filled="f" stroked="t" coordsize="21600,21600" o:gfxdata="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Nm1b4A&#10;AADbAAAADwAAAAAAAAABACAAAAAiAAAAZHJzL2Rvd25yZXYueG1sUEsBAhQAFAAAAAgAh07iQDMv&#10;BZ47AAAAOQAAABAAAAAAAAAAAQAgAAAADQEAAGRycy9zaGFwZXhtbC54bWxQSwUGAAAAAAYABgBb&#10;AQAAtwMAAAAA&#10;">
                        <v:fill on="f" focussize="0,0"/>
                        <v:stroke weight="1pt" color="#000000" joinstyle="round" endarrow="block"/>
                        <v:imagedata o:title=""/>
                        <o:lock v:ext="edit" aspectratio="f"/>
                      </v:line>
                      <v:line id="Line 1102" o:spid="_x0000_s1026" o:spt="20" style="position:absolute;left:5246;top:893;height:511;width:0;" filled="f" stroked="t" coordsize="21600,21600" o:gfxdata="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nyAf74A&#10;AADb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Line 1103" o:spid="_x0000_s1026" o:spt="20" style="position:absolute;left:3859;top:879;height:0;width:1387;" filled="f" stroked="t" coordsize="21600,21600" o:gfxdata="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L0sNvQAA&#10;ANsAAAAPAAAAAAAAAAEAIAAAACIAAABkcnMvZG93bnJldi54bWxQSwECFAAUAAAACACHTuJAMy8F&#10;njsAAAA5AAAAEAAAAAAAAAABACAAAAAMAQAAZHJzL3NoYXBleG1sLnhtbFBLBQYAAAAABgAGAFsB&#10;AAC2AwAAAAA=&#10;">
                        <v:fill on="f" focussize="0,0"/>
                        <v:stroke weight="1pt" color="#000000" joinstyle="round" startarrow="block"/>
                        <v:imagedata o:title=""/>
                        <o:lock v:ext="edit" aspectratio="f"/>
                      </v:line>
                      <v:shape id="AutoShape 1104" o:spid="_x0000_s1026" o:spt="110" type="#_x0000_t110" style="position:absolute;left:924;top:3688;height:872;width:2465;" fillcolor="#FFFFFF" filled="t" stroked="t" coordsize="21600,21600" o:gfxdata="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XWvCL4A&#10;AADbAAAADwAAAAAAAAABACAAAAAiAAAAZHJzL2Rvd25yZXYueG1sUEsBAhQAFAAAAAgAh07iQDMv&#10;BZ47AAAAOQAAABAAAAAAAAAAAQAgAAAADQEAAGRycy9zaGFwZXhtbC54bWxQSwUGAAAAAAYABgBb&#10;AQAAtwMAAAAA&#10;">
                        <v:fill on="t" focussize="0,0"/>
                        <v:stroke weight="1pt" color="#000000" miterlimit="8" joinstyle="miter"/>
                        <v:imagedata o:title=""/>
                        <o:lock v:ext="edit" aspectratio="f"/>
                        <v:textbox>
                          <w:txbxContent>
                            <w:p>
                              <w:pPr>
                                <w:ind w:firstLine="105" w:firstLineChars="50"/>
                                <w:rPr>
                                  <w:szCs w:val="21"/>
                                </w:rPr>
                              </w:pPr>
                              <w:r>
                                <w:rPr>
                                  <w:rFonts w:hint="eastAsia"/>
                                  <w:szCs w:val="21"/>
                                </w:rPr>
                                <w:t>环保检查评审</w:t>
                              </w:r>
                            </w:p>
                          </w:txbxContent>
                        </v:textbox>
                      </v:shape>
                      <v:shape id="Text Box 1105" o:spid="_x0000_s1026" o:spt="202" type="#_x0000_t202" style="position:absolute;left:770;top:4786;height:383;width:2619;" fillcolor="#FFFFFF" filled="t" stroked="t" coordsize="21600,21600" o:gfxdata="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dYyGugAAANsA&#10;AAAPAAAAAAAAAAEAIAAAACIAAABkcnMvZG93bnJldi54bWxQSwECFAAUAAAACACHTuJAMy8FnjsA&#10;AAA5AAAAEAAAAAAAAAABACAAAAAJAQAAZHJzL3NoYXBleG1sLnhtbFBLBQYAAAAABgAGAFsBAACz&#10;AwAAAAA=&#10;">
                        <v:fill on="t" focussize="0,0"/>
                        <v:stroke weight="1pt" color="#000000" miterlimit="8" joinstyle="miter"/>
                        <v:imagedata o:title=""/>
                        <o:lock v:ext="edit" aspectratio="f"/>
                        <v:textbox inset="2.54mm,0.3mm,2.54mm,1.27mm">
                          <w:txbxContent>
                            <w:p>
                              <w:pPr>
                                <w:ind w:firstLine="315" w:firstLineChars="150"/>
                                <w:rPr>
                                  <w:szCs w:val="21"/>
                                </w:rPr>
                              </w:pPr>
                              <w:r>
                                <w:rPr>
                                  <w:rFonts w:hint="eastAsia"/>
                                  <w:szCs w:val="21"/>
                                </w:rPr>
                                <w:t>执行下阶段环境管理计划</w:t>
                              </w:r>
                            </w:p>
                          </w:txbxContent>
                        </v:textbox>
                      </v:shape>
                      <v:line id="Line 1106" o:spid="_x0000_s1026" o:spt="20" style="position:absolute;left:2165;top:3433;height:255;width:0;" filled="f" stroked="t" coordsize="21600,21600" o:gfxdata="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9MVNvQAA&#10;ANs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line id="Line 1107" o:spid="_x0000_s1026" o:spt="20" style="position:absolute;left:6008;top:2110;flip:x;height:1941;width:8;" filled="f" stroked="t" coordsize="21600,21600" o:gfxdata="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G2BD62AAAA2wAAAA8A&#10;AAAAAAAAAQAgAAAAIgAAAGRycy9kb3ducmV2LnhtbFBLAQIUABQAAAAIAIdO4kAzLwWeOwAAADkA&#10;AAAQAAAAAAAAAAEAIAAAAAUBAABkcnMvc2hhcGV4bWwueG1sUEsFBgAAAAAGAAYAWwEAAK8DAAAA&#10;AA==&#10;">
                        <v:fill on="f" focussize="0,0"/>
                        <v:stroke weight="1pt" color="#000000" joinstyle="round"/>
                        <v:imagedata o:title=""/>
                        <o:lock v:ext="edit" aspectratio="f"/>
                      </v:line>
                      <v:line id="Line 1108" o:spid="_x0000_s1026" o:spt="20" style="position:absolute;left:3397;top:4046;height:0;width:2619;" filled="f" stroked="t" coordsize="21600,21600" o:gfxdata="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lLeV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Line 1109" o:spid="_x0000_s1026" o:spt="20" style="position:absolute;left:2319;top:2107;height:0;width:3697;" filled="f" stroked="t" coordsize="21600,21600" o:gfxdata="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zBPSm2AAAA2wAAAA8A&#10;AAAAAAAAAQAgAAAAIgAAAGRycy9kb3ducmV2LnhtbFBLAQIUABQAAAAIAIdO4kAzLwWeOwAAADkA&#10;AAAQAAAAAAAAAAEAIAAAAAUBAABkcnMvc2hhcGV4bWwueG1sUEsFBgAAAAAGAAYAWwEAAK8DAAAA&#10;AA==&#10;">
                        <v:fill on="f" focussize="0,0"/>
                        <v:stroke weight="1pt" color="#000000" joinstyle="round" startarrow="block"/>
                        <v:imagedata o:title=""/>
                        <o:lock v:ext="edit" aspectratio="f"/>
                      </v:line>
                      <v:group id="Group 1110" o:spid="_x0000_s1026" o:spt="203" style="position:absolute;left:2144;top:4531;height:638;width:3248;" coordorigin="-15,156" coordsize="3795,780" o:gfxdata="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qS6Fy+AAAA3AAAAA8AAAAAAAAAAQAgAAAAIgAAAGRycy9kb3ducmV2Lnht&#10;bFBLAQIUABQAAAAIAIdO4kAzLwWeOwAAADkAAAAVAAAAAAAAAAEAIAAAAA0BAABkcnMvZ3JvdXBz&#10;aGFwZXhtbC54bWxQSwUGAAAAAAYABgBgAQAAygMAAAAA&#10;">
                        <o:lock v:ext="edit" aspectratio="f"/>
                        <v:shape id="Text Box 1111" o:spid="_x0000_s1026" o:spt="202" type="#_x0000_t202" style="position:absolute;left:1980;top:468;height:468;width:1800;" fillcolor="#FFFFFF" filled="t" stroked="t" coordsize="21600,21600" o:gfxdata="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mb+qK5AAAA2wAA&#10;AA8AAAAAAAAAAQAgAAAAIgAAAGRycy9kb3ducmV2LnhtbFBLAQIUABQAAAAIAIdO4kAzLwWeOwAA&#10;ADkAAAAQAAAAAAAAAAEAIAAAAAgBAABkcnMvc2hhcGV4bWwueG1sUEsFBgAAAAAGAAYAWwEAALID&#10;AAAAAA==&#10;">
                          <v:fill on="t" focussize="0,0"/>
                          <v:stroke weight="1pt" color="#000000" miterlimit="8" joinstyle="miter"/>
                          <v:imagedata o:title=""/>
                          <o:lock v:ext="edit" aspectratio="f"/>
                          <v:textbox inset="2.54mm,0.3mm,2.54mm,1.27mm">
                            <w:txbxContent>
                              <w:p>
                                <w:pPr>
                                  <w:ind w:firstLine="210" w:firstLineChars="100"/>
                                  <w:rPr>
                                    <w:szCs w:val="21"/>
                                  </w:rPr>
                                </w:pPr>
                                <w:r>
                                  <w:rPr>
                                    <w:rFonts w:hint="eastAsia"/>
                                    <w:szCs w:val="21"/>
                                  </w:rPr>
                                  <w:t>控制文件归档</w:t>
                                </w:r>
                              </w:p>
                            </w:txbxContent>
                          </v:textbox>
                        </v:shape>
                        <v:line id="Line 1112" o:spid="_x0000_s1026" o:spt="20" style="position:absolute;left:-15;top:157;height:312;width:14;" filled="f" stroked="t" coordsize="21600,21600" o:gfxdata="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GrNpvQAA&#10;ANs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line id="Line 1113" o:spid="_x0000_s1026" o:spt="20" style="position:absolute;left:0;top:156;height:0;width:2880;" filled="f" stroked="t" coordsize="21600,21600" o:gfxdata="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QGgsvQAA&#10;ANs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Line 1114" o:spid="_x0000_s1026" o:spt="20" style="position:absolute;left:2880;top:156;height:312;width:0;" filled="f" stroked="t" coordsize="21600,21600" o:gfxdata="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v46GvQAA&#10;ANs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line>
                      </v:group>
                      <v:shape id="Text Box 1115" o:spid="_x0000_s1026" o:spt="202" type="#_x0000_t202" style="position:absolute;left:3235;top:1149;height:383;width:1079;" fillcolor="#FFFFFF" filled="t" stroked="f" coordsize="21600,21600" o:gfxdata="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9ABq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ind w:firstLine="210" w:firstLineChars="100"/>
                                <w:rPr>
                                  <w:szCs w:val="21"/>
                                </w:rPr>
                              </w:pPr>
                              <w:r>
                                <w:rPr>
                                  <w:rFonts w:hint="eastAsia"/>
                                  <w:szCs w:val="21"/>
                                </w:rPr>
                                <w:t>未批准</w:t>
                              </w:r>
                            </w:p>
                          </w:txbxContent>
                        </v:textbox>
                      </v:shape>
                      <v:shape id="Text Box 1116" o:spid="_x0000_s1026" o:spt="202" type="#_x0000_t202" style="position:absolute;left:3543;top:3591;height:383;width:925;" fillcolor="#FFFFFF" filled="t" stroked="f" coordsize="21600,21600" o:gfxdata="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WxpYG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rPr>
                                  <w:szCs w:val="21"/>
                                </w:rPr>
                              </w:pPr>
                              <w:r>
                                <w:rPr>
                                  <w:rFonts w:hint="eastAsia"/>
                                  <w:szCs w:val="21"/>
                                </w:rPr>
                                <w:t>未通过</w:t>
                              </w:r>
                            </w:p>
                          </w:txbxContent>
                        </v:textbox>
                      </v:shape>
                      <w10:wrap type="none"/>
                      <w10:anchorlock/>
                    </v:group>
                  </w:pict>
                </mc:Fallback>
              </mc:AlternateContent>
            </w:r>
          </w:p>
          <w:p>
            <w:pPr>
              <w:autoSpaceDE w:val="0"/>
              <w:autoSpaceDN w:val="0"/>
              <w:adjustRightInd w:val="0"/>
              <w:snapToGrid w:val="0"/>
              <w:spacing w:line="360" w:lineRule="auto"/>
              <w:jc w:val="center"/>
              <w:rPr>
                <w:rFonts w:ascii="Times New Roman" w:hAnsi="Times New Roman" w:eastAsia="黑体" w:cs="Times New Roman"/>
                <w:szCs w:val="21"/>
              </w:rPr>
            </w:pPr>
            <w:r>
              <w:rPr>
                <w:rFonts w:ascii="Times New Roman" w:hAnsi="Times New Roman" w:eastAsia="黑体" w:cs="Times New Roman"/>
                <w:szCs w:val="21"/>
              </w:rPr>
              <w:t>图2-</w:t>
            </w:r>
            <w:r>
              <w:rPr>
                <w:rFonts w:hint="eastAsia" w:ascii="Times New Roman" w:hAnsi="Times New Roman" w:eastAsia="黑体" w:cs="Times New Roman"/>
                <w:szCs w:val="21"/>
                <w:lang w:val="en-US" w:eastAsia="zh-CN"/>
              </w:rPr>
              <w:t>6</w:t>
            </w:r>
            <w:r>
              <w:rPr>
                <w:rFonts w:ascii="Times New Roman" w:hAnsi="Times New Roman" w:eastAsia="黑体" w:cs="Times New Roman"/>
                <w:szCs w:val="21"/>
              </w:rPr>
              <w:t xml:space="preserve">  环境管理程序</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（3）施工期管理措施</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①人员环保培训及意识教育</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项目部坚持贯彻国家</w:t>
            </w:r>
            <w:r>
              <w:rPr>
                <w:rFonts w:hint="eastAsia" w:ascii="Times New Roman" w:hAnsi="Times New Roman" w:cs="Times New Roman"/>
                <w:sz w:val="24"/>
                <w:szCs w:val="24"/>
              </w:rPr>
              <w:t>《中华人民共和国环境保护法》</w:t>
            </w:r>
            <w:r>
              <w:rPr>
                <w:rFonts w:hint="eastAsia" w:ascii="Times New Roman" w:hAnsi="Times New Roman" w:cs="Times New Roman"/>
                <w:sz w:val="24"/>
                <w:szCs w:val="24"/>
                <w:lang w:eastAsia="zh-CN"/>
              </w:rPr>
              <w:t>《中华人民共和国土地管理法</w:t>
            </w:r>
            <w:r>
              <w:rPr>
                <w:rFonts w:ascii="Times New Roman" w:hAnsi="Times New Roman" w:cs="Times New Roman"/>
                <w:sz w:val="24"/>
                <w:szCs w:val="24"/>
              </w:rPr>
              <w:t>》及交通部、项目办及地方省市有关环境保护的法规，制定环境保护管理办法和实施细则，并建立奖惩制度，将环保的具体措施落实到人头。环境保护工作领导小组在项目经理、副经理和总工程师指导下，制定环保培训计划，对职工进行环境保护教育，学习环境保护的相关知识，使职工明白环境保护的重大意义，了解环境保护的相关知识。</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②环保培训计划</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施工期环保培训计划包括（但不限于）以下内容：</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a.</w:t>
            </w:r>
            <w:r>
              <w:rPr>
                <w:rFonts w:hint="eastAsia" w:ascii="Times New Roman" w:hAnsi="Times New Roman" w:cs="Times New Roman"/>
                <w:sz w:val="24"/>
                <w:szCs w:val="24"/>
              </w:rPr>
              <w:t>《中华人民共和国环境保护法》</w:t>
            </w:r>
            <w:r>
              <w:rPr>
                <w:rFonts w:ascii="Times New Roman" w:hAnsi="Times New Roman" w:cs="Times New Roman"/>
                <w:sz w:val="24"/>
                <w:szCs w:val="24"/>
              </w:rPr>
              <w:t>及国家有关环境保护的法规的学习。</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b.本项目可能对环境有影响的因素分析及对策。</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c.本项目的环境管理方案，环境保护职责及相应的奖惩制度的发布。</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d.具体环保措施的落实。</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e.环保监察计划的实施及环保控制记录的管理。</w:t>
            </w:r>
          </w:p>
          <w:p>
            <w:pPr>
              <w:pStyle w:val="15"/>
              <w:rPr>
                <w:rFonts w:hint="eastAsia"/>
                <w:lang w:val="en-US" w:eastAsia="zh-CN"/>
              </w:rPr>
            </w:pPr>
            <w:r>
              <w:rPr>
                <w:rFonts w:ascii="Times New Roman" w:hAnsi="Times New Roman" w:cs="Times New Roman"/>
                <w:b w:val="0"/>
                <w:bCs w:val="0"/>
                <w:sz w:val="24"/>
                <w:szCs w:val="24"/>
              </w:rPr>
              <w:t>f.环保检查评审方案的发布。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总平面及现场布置</w:t>
            </w:r>
          </w:p>
        </w:tc>
        <w:tc>
          <w:tcPr>
            <w:tcW w:w="9508" w:type="dxa"/>
          </w:tcPr>
          <w:p>
            <w:pPr>
              <w:autoSpaceDE w:val="0"/>
              <w:autoSpaceDN w:val="0"/>
              <w:adjustRightInd w:val="0"/>
              <w:snapToGrid w:val="0"/>
              <w:spacing w:line="360" w:lineRule="auto"/>
              <w:rPr>
                <w:rFonts w:ascii="Times New Roman" w:hAnsi="Times New Roman" w:cs="Times New Roman"/>
                <w:b/>
                <w:kern w:val="0"/>
                <w:sz w:val="24"/>
                <w:szCs w:val="24"/>
              </w:rPr>
            </w:pPr>
            <w:r>
              <w:rPr>
                <w:rFonts w:ascii="Times New Roman" w:hAnsi="Times New Roman" w:cs="Times New Roman"/>
                <w:b/>
                <w:kern w:val="0"/>
                <w:sz w:val="24"/>
                <w:szCs w:val="24"/>
              </w:rPr>
              <w:t>一、工程布局情况</w:t>
            </w:r>
          </w:p>
          <w:p>
            <w:pPr>
              <w:autoSpaceDE w:val="0"/>
              <w:autoSpaceDN w:val="0"/>
              <w:adjustRightInd w:val="0"/>
              <w:snapToGrid w:val="0"/>
              <w:spacing w:line="360" w:lineRule="auto"/>
              <w:ind w:firstLine="435"/>
              <w:rPr>
                <w:rFonts w:hint="eastAsia"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本次整治工程共计分为14个灌区，各独立灌区施工规模较小。</w:t>
            </w:r>
          </w:p>
          <w:p>
            <w:pPr>
              <w:autoSpaceDE w:val="0"/>
              <w:autoSpaceDN w:val="0"/>
              <w:adjustRightInd w:val="0"/>
              <w:snapToGrid w:val="0"/>
              <w:spacing w:line="360" w:lineRule="auto"/>
              <w:ind w:firstLine="435"/>
              <w:rPr>
                <w:rFonts w:hint="eastAsia"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工程主要水源为各小型水库，通过各干支渠和干支管渠为灌区进行供水。为充分利用项目区已建部分山坪塘积蓄水、降低投资、提高用水保证率，通过新建管网将项目区部分蓄水条件较好的山坪塘进行联通，项目区各灌溉系统通过斗管、山坪塘、蓄水池进行自流灌溉。</w:t>
            </w:r>
          </w:p>
          <w:p>
            <w:pPr>
              <w:autoSpaceDE w:val="0"/>
              <w:autoSpaceDN w:val="0"/>
              <w:adjustRightInd w:val="0"/>
              <w:snapToGrid w:val="0"/>
              <w:spacing w:line="360" w:lineRule="auto"/>
              <w:ind w:firstLine="435"/>
              <w:rPr>
                <w:rFonts w:hint="eastAsia"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对于现有渠道的整治、渠道改管道等线路走向不变，不涉及线路比选方案。</w:t>
            </w:r>
          </w:p>
          <w:p>
            <w:pPr>
              <w:autoSpaceDE w:val="0"/>
              <w:autoSpaceDN w:val="0"/>
              <w:adjustRightInd w:val="0"/>
              <w:snapToGrid w:val="0"/>
              <w:spacing w:line="360" w:lineRule="auto"/>
              <w:ind w:firstLine="435"/>
              <w:rPr>
                <w:rFonts w:hint="eastAsia" w:ascii="Times New Roman" w:hAnsi="Times New Roman" w:cs="Times New Roman"/>
                <w:b/>
                <w:bCs/>
                <w:kern w:val="0"/>
                <w:sz w:val="24"/>
                <w:szCs w:val="24"/>
                <w:lang w:val="en-US" w:eastAsia="zh-CN"/>
              </w:rPr>
            </w:pPr>
            <w:r>
              <w:rPr>
                <w:rFonts w:hint="eastAsia" w:ascii="Times New Roman" w:hAnsi="Times New Roman" w:cs="Times New Roman"/>
                <w:b w:val="0"/>
                <w:bCs w:val="0"/>
                <w:kern w:val="0"/>
                <w:sz w:val="24"/>
                <w:szCs w:val="24"/>
                <w:lang w:val="en-US" w:eastAsia="zh-CN"/>
              </w:rPr>
              <w:t>对于新建管道19.763km，布置走向与灌区建设规划及灌区现状相结合，实现管道对灌区具有较好的控灌性，尽可能增大灌区自流灌溉比例，尽量缩短线路长度，避免穿过集中居民点和其他交叉线物较多的区域，便于管道施工和维护，保证输水安全，根据设计方案，新建管道走向唯一，无比选方案。且输水管道以暗管为主，回填后对环境的影响基本消失，从环境保护而言，工程渠道/管线走向布局合理。</w:t>
            </w:r>
          </w:p>
          <w:p>
            <w:pPr>
              <w:autoSpaceDE w:val="0"/>
              <w:autoSpaceDN w:val="0"/>
              <w:adjustRightInd w:val="0"/>
              <w:snapToGrid w:val="0"/>
              <w:spacing w:line="360" w:lineRule="auto"/>
              <w:ind w:firstLine="480" w:firstLineChars="200"/>
              <w:rPr>
                <w:rFonts w:hint="default"/>
                <w:lang w:val="en-US"/>
              </w:rPr>
            </w:pPr>
            <w:r>
              <w:rPr>
                <w:rFonts w:hint="eastAsia" w:ascii="Times New Roman" w:hAnsi="Times New Roman" w:cs="Times New Roman"/>
                <w:kern w:val="0"/>
                <w:sz w:val="24"/>
                <w:szCs w:val="24"/>
                <w:lang w:val="en-US" w:eastAsia="zh-CN"/>
              </w:rPr>
              <w:t>项目平面布置见附图。</w:t>
            </w:r>
          </w:p>
          <w:p>
            <w:pPr>
              <w:autoSpaceDE w:val="0"/>
              <w:autoSpaceDN w:val="0"/>
              <w:adjustRightInd w:val="0"/>
              <w:snapToGrid w:val="0"/>
              <w:spacing w:line="360" w:lineRule="auto"/>
              <w:rPr>
                <w:rFonts w:ascii="Times New Roman" w:hAnsi="Times New Roman" w:cs="Times New Roman"/>
                <w:b/>
                <w:kern w:val="0"/>
                <w:sz w:val="24"/>
                <w:szCs w:val="24"/>
              </w:rPr>
            </w:pPr>
            <w:r>
              <w:rPr>
                <w:rFonts w:ascii="Times New Roman" w:hAnsi="Times New Roman" w:cs="Times New Roman"/>
                <w:b/>
                <w:kern w:val="0"/>
                <w:sz w:val="24"/>
                <w:szCs w:val="24"/>
              </w:rPr>
              <w:t>二、施工布置情况</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1、施工总布置原则</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施工总布置规划首先应因地制宜、有利生产、方便生活、环境友好、节约资源、经济合理，并满足工程建设和运行管理要求。根据工程布置特点和施工布置条件，施工总布置规划遵循以下原则：</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施工总布置方案应力求协调紧凑并经济合理，节约用地，应尽可能做到综合利用和重复使用场地，作好施工前后期的衔接规划。尽量少占耕地，优先利用坡地、荒地，充分利用开挖弃料填平沟壑作为后期施工场地</w:t>
            </w:r>
            <w:r>
              <w:rPr>
                <w:rFonts w:hint="eastAsia" w:ascii="Times New Roman" w:hAnsi="Times New Roman" w:cs="Times New Roman"/>
                <w:sz w:val="24"/>
                <w:szCs w:val="24"/>
                <w:lang w:val="en-US" w:eastAsia="zh-CN"/>
              </w:rPr>
              <w:t>基地恢复</w:t>
            </w:r>
            <w:r>
              <w:rPr>
                <w:rFonts w:ascii="Times New Roman" w:hAnsi="Times New Roman" w:cs="Times New Roman"/>
                <w:sz w:val="24"/>
                <w:szCs w:val="24"/>
              </w:rPr>
              <w:t>。</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（2）各种施工设施的布置应结合场内交通规划及分标方案，力求各类材料物资运输流程合理，尽量避免反向运输和二次倒运，做到减少干扰，方便施工。</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（3）适当简化工地临时设施，降低临建工程投资。</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（4）施工布置应尽量减少对当地环境和交通的影响。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（5）施工前将地表土壤集中堆放，</w:t>
            </w:r>
            <w:r>
              <w:rPr>
                <w:rFonts w:hint="eastAsia" w:ascii="Times New Roman" w:hAnsi="Times New Roman" w:cs="Times New Roman"/>
                <w:color w:val="000000" w:themeColor="text1"/>
                <w:sz w:val="24"/>
                <w:szCs w:val="24"/>
                <w14:textFill>
                  <w14:solidFill>
                    <w14:schemeClr w14:val="tx1"/>
                  </w14:solidFill>
                </w14:textFill>
              </w:rPr>
              <w:t>施工结束</w:t>
            </w:r>
            <w:r>
              <w:rPr>
                <w:rFonts w:ascii="Times New Roman" w:hAnsi="Times New Roman" w:cs="Times New Roman"/>
                <w:color w:val="000000" w:themeColor="text1"/>
                <w:sz w:val="24"/>
                <w:szCs w:val="24"/>
                <w14:textFill>
                  <w14:solidFill>
                    <w14:schemeClr w14:val="tx1"/>
                  </w14:solidFill>
                </w14:textFill>
              </w:rPr>
              <w:t>对施工生产</w:t>
            </w:r>
            <w:r>
              <w:rPr>
                <w:rFonts w:hint="eastAsia" w:ascii="Times New Roman" w:hAnsi="Times New Roman" w:cs="Times New Roman"/>
                <w:color w:val="000000" w:themeColor="text1"/>
                <w:sz w:val="24"/>
                <w:szCs w:val="24"/>
                <w14:textFill>
                  <w14:solidFill>
                    <w14:schemeClr w14:val="tx1"/>
                  </w14:solidFill>
                </w14:textFill>
              </w:rPr>
              <w:t>占地</w:t>
            </w:r>
            <w:r>
              <w:rPr>
                <w:rFonts w:ascii="Times New Roman" w:hAnsi="Times New Roman" w:cs="Times New Roman"/>
                <w:color w:val="000000" w:themeColor="text1"/>
                <w:sz w:val="24"/>
                <w:szCs w:val="24"/>
                <w14:textFill>
                  <w14:solidFill>
                    <w14:schemeClr w14:val="tx1"/>
                  </w14:solidFill>
                </w14:textFill>
              </w:rPr>
              <w:t>进行</w:t>
            </w:r>
            <w:r>
              <w:rPr>
                <w:rFonts w:hint="eastAsia" w:ascii="Times New Roman" w:hAnsi="Times New Roman" w:cs="Times New Roman"/>
                <w:color w:val="000000" w:themeColor="text1"/>
                <w:sz w:val="24"/>
                <w:szCs w:val="24"/>
                <w14:textFill>
                  <w14:solidFill>
                    <w14:schemeClr w14:val="tx1"/>
                  </w14:solidFill>
                </w14:textFill>
              </w:rPr>
              <w:t>迹地恢复</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2、施工总布置</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val="en-US" w:eastAsia="zh-CN"/>
              </w:rPr>
              <w:t>根据项目设计，</w:t>
            </w:r>
            <w:r>
              <w:rPr>
                <w:rFonts w:ascii="Times New Roman" w:hAnsi="Times New Roman" w:cs="Times New Roman"/>
                <w:sz w:val="24"/>
                <w:szCs w:val="24"/>
              </w:rPr>
              <w:t>布置施工工区的场地较为平坦。根据本工程的工程布置特点、地形和场地条件，施工总布置按相对集中布置，以</w:t>
            </w:r>
            <w:r>
              <w:rPr>
                <w:rFonts w:hint="eastAsia" w:ascii="Times New Roman" w:hAnsi="Times New Roman" w:cs="Times New Roman"/>
                <w:sz w:val="24"/>
                <w:szCs w:val="24"/>
              </w:rPr>
              <w:t>降低生态环境影响、</w:t>
            </w:r>
            <w:r>
              <w:rPr>
                <w:rFonts w:ascii="Times New Roman" w:hAnsi="Times New Roman" w:cs="Times New Roman"/>
                <w:sz w:val="24"/>
                <w:szCs w:val="24"/>
              </w:rPr>
              <w:t>利于生活、方便管理、节约投资的原则进行。</w:t>
            </w:r>
          </w:p>
          <w:p>
            <w:pPr>
              <w:autoSpaceDE w:val="0"/>
              <w:autoSpaceDN w:val="0"/>
              <w:adjustRightInd w:val="0"/>
              <w:snapToGrid w:val="0"/>
              <w:spacing w:line="360" w:lineRule="auto"/>
              <w:ind w:firstLine="480" w:firstLineChars="200"/>
              <w:rPr>
                <w:rFonts w:hint="eastAsia" w:ascii="Times New Roman" w:hAnsi="Times New Roman" w:cs="Times New Roman" w:eastAsiaTheme="minorEastAsia"/>
                <w:sz w:val="24"/>
                <w:szCs w:val="24"/>
                <w:lang w:eastAsia="zh-CN"/>
              </w:rPr>
            </w:pPr>
            <w:r>
              <w:rPr>
                <w:sz w:val="24"/>
              </w:rPr>
              <mc:AlternateContent>
                <mc:Choice Requires="wps">
                  <w:drawing>
                    <wp:anchor distT="0" distB="0" distL="114300" distR="114300" simplePos="0" relativeHeight="251738112" behindDoc="0" locked="0" layoutInCell="1" allowOverlap="1">
                      <wp:simplePos x="0" y="0"/>
                      <wp:positionH relativeFrom="column">
                        <wp:posOffset>4893310</wp:posOffset>
                      </wp:positionH>
                      <wp:positionV relativeFrom="paragraph">
                        <wp:posOffset>605155</wp:posOffset>
                      </wp:positionV>
                      <wp:extent cx="297815" cy="173355"/>
                      <wp:effectExtent l="13970" t="13970" r="31115" b="22225"/>
                      <wp:wrapNone/>
                      <wp:docPr id="242" name="流程图: 过程 242"/>
                      <wp:cNvGraphicFramePr/>
                      <a:graphic xmlns:a="http://schemas.openxmlformats.org/drawingml/2006/main">
                        <a:graphicData uri="http://schemas.microsoft.com/office/word/2010/wordprocessingShape">
                          <wps:wsp>
                            <wps:cNvSpPr/>
                            <wps:spPr>
                              <a:xfrm>
                                <a:off x="0" y="0"/>
                                <a:ext cx="297815" cy="173355"/>
                              </a:xfrm>
                              <a:prstGeom prst="flowChartProcess">
                                <a:avLst/>
                              </a:prstGeom>
                              <a:solidFill>
                                <a:srgbClr val="E918F7"/>
                              </a:solidFill>
                              <a:ln w="28575">
                                <a:solidFill>
                                  <a:srgbClr val="F507F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385.3pt;margin-top:47.65pt;height:13.65pt;width:23.45pt;z-index:251738112;v-text-anchor:middle;mso-width-relative:page;mso-height-relative:page;" fillcolor="#E918F7" filled="t" stroked="t" coordsize="21600,21600" o:gfxdata="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l5sv9wA&#10;AAAKAQAADwAAAAAAAAABACAAAAAiAAAAZHJzL2Rvd25yZXYueG1sUEsBAhQAFAAAAAgAh07iQHUO&#10;G62NAgAADgUAAA4AAAAAAAAAAQAgAAAAKwEAAGRycy9lMm9Eb2MueG1sUEsFBgAAAAAGAAYAWQEA&#10;ACoGAAAAAA==&#10;">
                      <v:fill on="t" focussize="0,0"/>
                      <v:stroke weight="2.25pt" color="#F507F7 [3204]" miterlimit="8" joinstyle="miter"/>
                      <v:imagedata o:title=""/>
                      <o:lock v:ext="edit" aspectratio="f"/>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1092835</wp:posOffset>
                      </wp:positionH>
                      <wp:positionV relativeFrom="paragraph">
                        <wp:posOffset>595630</wp:posOffset>
                      </wp:positionV>
                      <wp:extent cx="297815" cy="173355"/>
                      <wp:effectExtent l="13970" t="13970" r="31115" b="22225"/>
                      <wp:wrapNone/>
                      <wp:docPr id="101" name="流程图: 过程 101"/>
                      <wp:cNvGraphicFramePr/>
                      <a:graphic xmlns:a="http://schemas.openxmlformats.org/drawingml/2006/main">
                        <a:graphicData uri="http://schemas.microsoft.com/office/word/2010/wordprocessingShape">
                          <wps:wsp>
                            <wps:cNvSpPr/>
                            <wps:spPr>
                              <a:xfrm>
                                <a:off x="5092700" y="5149215"/>
                                <a:ext cx="297815" cy="173355"/>
                              </a:xfrm>
                              <a:prstGeom prst="flowChartProcess">
                                <a:avLst/>
                              </a:prstGeom>
                              <a:solidFill>
                                <a:srgbClr val="FF0000"/>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86.05pt;margin-top:46.9pt;height:13.65pt;width:23.45pt;z-index:251661312;v-text-anchor:middle;mso-width-relative:page;mso-height-relative:page;" fillcolor="#FF0000" filled="t" stroked="t" coordsize="21600,21600" o:gfxdata="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YDh401gAAAAoB&#10;AAAPAAAAAAAAAAEAIAAAACIAAABkcnMvZG93bnJldi54bWxQSwECFAAUAAAACACHTuJAfzd03o8C&#10;AAAaBQAADgAAAAAAAAABACAAAAAlAQAAZHJzL2Uyb0RvYy54bWxQSwUGAAAAAAYABgBZAQAAJgYA&#10;AAAA&#10;">
                      <v:fill on="t" focussize="0,0"/>
                      <v:stroke weight="2.25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1375410</wp:posOffset>
                      </wp:positionH>
                      <wp:positionV relativeFrom="paragraph">
                        <wp:posOffset>549275</wp:posOffset>
                      </wp:positionV>
                      <wp:extent cx="3592830" cy="333375"/>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3592830"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sz w:val="24"/>
                                      <w:szCs w:val="28"/>
                                      <w:lang w:val="en-US" w:eastAsia="zh-CN"/>
                                      <w14:textFill>
                                        <w14:solidFill>
                                          <w14:schemeClr w14:val="tx1"/>
                                        </w14:solidFill>
                                      </w14:textFill>
                                    </w:rPr>
                                  </w:pPr>
                                  <w:r>
                                    <w:rPr>
                                      <w:rFonts w:hint="eastAsia"/>
                                      <w:color w:val="000000" w:themeColor="text1"/>
                                      <w:sz w:val="24"/>
                                      <w:szCs w:val="28"/>
                                      <w14:textFill>
                                        <w14:solidFill>
                                          <w14:schemeClr w14:val="tx1"/>
                                        </w14:solidFill>
                                      </w14:textFill>
                                    </w:rPr>
                                    <w:t>临时施工场地</w:t>
                                  </w:r>
                                  <w:r>
                                    <w:rPr>
                                      <w:rFonts w:hint="eastAsia"/>
                                      <w:color w:val="000000" w:themeColor="text1"/>
                                      <w:sz w:val="24"/>
                                      <w:szCs w:val="28"/>
                                      <w:lang w:eastAsia="zh-CN"/>
                                      <w14:textFill>
                                        <w14:solidFill>
                                          <w14:schemeClr w14:val="tx1"/>
                                        </w14:solidFill>
                                      </w14:textFill>
                                    </w:rPr>
                                    <w:t>、</w:t>
                                  </w:r>
                                  <w:r>
                                    <w:rPr>
                                      <w:rFonts w:hint="eastAsia"/>
                                      <w:color w:val="000000" w:themeColor="text1"/>
                                      <w:sz w:val="24"/>
                                      <w:szCs w:val="28"/>
                                      <w:lang w:val="en-US" w:eastAsia="zh-CN"/>
                                      <w14:textFill>
                                        <w14:solidFill>
                                          <w14:schemeClr w14:val="tx1"/>
                                        </w14:solidFill>
                                      </w14:textFill>
                                    </w:rPr>
                                    <w:t>临时堆土场、淤泥堆放场集中布置，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3pt;margin-top:43.25pt;height:26.25pt;width:282.9pt;z-index:251663360;mso-width-relative:page;mso-height-relative:page;" filled="f" stroked="f" coordsize="21600,21600" o:gfxdata="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L6b13bAAAACgEAAA8AAAAAAAAAAQAgAAAAIgAAAGRy&#10;cy9kb3ducmV2LnhtbFBLAQIUABQAAAAIAIdO4kCvx6g5OwIAAGgEAAAOAAAAAAAAAAEAIAAAACoB&#10;AABkcnMvZTJvRG9jLnhtbFBLBQYAAAAABgAGAFkBAADXBQAAAAA=&#10;">
                      <v:fill on="f" focussize="0,0"/>
                      <v:stroke on="f" weight="0.5pt"/>
                      <v:imagedata o:title=""/>
                      <o:lock v:ext="edit" aspectratio="f"/>
                      <v:textbox>
                        <w:txbxContent>
                          <w:p>
                            <w:pPr>
                              <w:rPr>
                                <w:rFonts w:hint="default" w:eastAsiaTheme="minorEastAsia"/>
                                <w:color w:val="000000" w:themeColor="text1"/>
                                <w:sz w:val="24"/>
                                <w:szCs w:val="28"/>
                                <w:lang w:val="en-US" w:eastAsia="zh-CN"/>
                                <w14:textFill>
                                  <w14:solidFill>
                                    <w14:schemeClr w14:val="tx1"/>
                                  </w14:solidFill>
                                </w14:textFill>
                              </w:rPr>
                            </w:pPr>
                            <w:r>
                              <w:rPr>
                                <w:rFonts w:hint="eastAsia"/>
                                <w:color w:val="000000" w:themeColor="text1"/>
                                <w:sz w:val="24"/>
                                <w:szCs w:val="28"/>
                                <w14:textFill>
                                  <w14:solidFill>
                                    <w14:schemeClr w14:val="tx1"/>
                                  </w14:solidFill>
                                </w14:textFill>
                              </w:rPr>
                              <w:t>临时施工场地</w:t>
                            </w:r>
                            <w:r>
                              <w:rPr>
                                <w:rFonts w:hint="eastAsia"/>
                                <w:color w:val="000000" w:themeColor="text1"/>
                                <w:sz w:val="24"/>
                                <w:szCs w:val="28"/>
                                <w:lang w:eastAsia="zh-CN"/>
                                <w14:textFill>
                                  <w14:solidFill>
                                    <w14:schemeClr w14:val="tx1"/>
                                  </w14:solidFill>
                                </w14:textFill>
                              </w:rPr>
                              <w:t>、</w:t>
                            </w:r>
                            <w:r>
                              <w:rPr>
                                <w:rFonts w:hint="eastAsia"/>
                                <w:color w:val="000000" w:themeColor="text1"/>
                                <w:sz w:val="24"/>
                                <w:szCs w:val="28"/>
                                <w:lang w:val="en-US" w:eastAsia="zh-CN"/>
                                <w14:textFill>
                                  <w14:solidFill>
                                    <w14:schemeClr w14:val="tx1"/>
                                  </w14:solidFill>
                                </w14:textFill>
                              </w:rPr>
                              <w:t>临时堆土场、淤泥堆放场集中布置，</w:t>
                            </w:r>
                          </w:p>
                        </w:txbxContent>
                      </v:textbox>
                    </v:shape>
                  </w:pict>
                </mc:Fallback>
              </mc:AlternateContent>
            </w:r>
            <w:r>
              <w:rPr>
                <w:rFonts w:hint="eastAsia" w:ascii="Times New Roman" w:hAnsi="Times New Roman" w:cs="Times New Roman"/>
                <w:sz w:val="24"/>
                <w:szCs w:val="24"/>
              </w:rPr>
              <w:t>为</w:t>
            </w:r>
            <w:r>
              <w:rPr>
                <w:rFonts w:ascii="Times New Roman" w:hAnsi="Times New Roman" w:cs="Times New Roman"/>
                <w:sz w:val="24"/>
                <w:szCs w:val="24"/>
              </w:rPr>
              <w:t>降低临时占地对区域生态环境影响</w:t>
            </w:r>
            <w:r>
              <w:rPr>
                <w:rFonts w:hint="eastAsia" w:ascii="Times New Roman" w:hAnsi="Times New Roman" w:cs="Times New Roman"/>
                <w:sz w:val="24"/>
                <w:szCs w:val="24"/>
              </w:rPr>
              <w:t>和</w:t>
            </w:r>
            <w:r>
              <w:rPr>
                <w:rFonts w:hint="eastAsia" w:ascii="Times New Roman" w:hAnsi="Times New Roman" w:cs="Times New Roman"/>
                <w:sz w:val="24"/>
                <w:szCs w:val="24"/>
                <w:lang w:val="en-US" w:eastAsia="zh-CN"/>
              </w:rPr>
              <w:t>周边</w:t>
            </w:r>
            <w:r>
              <w:rPr>
                <w:rFonts w:hint="eastAsia" w:ascii="Times New Roman" w:hAnsi="Times New Roman" w:cs="Times New Roman"/>
                <w:sz w:val="24"/>
                <w:szCs w:val="24"/>
              </w:rPr>
              <w:t>场镇居民区的影响</w:t>
            </w:r>
            <w:r>
              <w:rPr>
                <w:rFonts w:ascii="Times New Roman" w:hAnsi="Times New Roman" w:cs="Times New Roman"/>
                <w:sz w:val="24"/>
                <w:szCs w:val="24"/>
              </w:rPr>
              <w:t>，施工场地</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临时堆土场</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淤泥堆放场</w:t>
            </w:r>
            <w:r>
              <w:rPr>
                <w:rFonts w:hint="eastAsia" w:ascii="Times New Roman" w:hAnsi="Times New Roman" w:cs="Times New Roman"/>
                <w:sz w:val="24"/>
                <w:szCs w:val="24"/>
              </w:rPr>
              <w:t>选址于</w:t>
            </w:r>
            <w:r>
              <w:rPr>
                <w:rFonts w:hint="eastAsia" w:ascii="Times New Roman" w:hAnsi="Times New Roman" w:cs="Times New Roman"/>
                <w:sz w:val="24"/>
                <w:szCs w:val="24"/>
                <w:lang w:val="en-US" w:eastAsia="zh-CN"/>
              </w:rPr>
              <w:t>尽量远离场镇集中居住区</w:t>
            </w:r>
            <w:r>
              <w:rPr>
                <w:rFonts w:hint="eastAsia" w:ascii="Times New Roman" w:hAnsi="Times New Roman" w:cs="Times New Roman"/>
                <w:sz w:val="24"/>
                <w:szCs w:val="24"/>
              </w:rPr>
              <w:t>进行设置</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同时考虑靠近现有道路，不新增施工便道</w:t>
            </w:r>
            <w:r>
              <w:rPr>
                <w:rFonts w:hint="eastAsia" w:ascii="Times New Roman" w:hAnsi="Times New Roman" w:cs="Times New Roman"/>
                <w:sz w:val="24"/>
                <w:szCs w:val="24"/>
              </w:rPr>
              <w:t>。</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 xml:space="preserve">                                                        居民点 </w:t>
            </w:r>
            <w:r>
              <w:rPr>
                <w:rFonts w:hint="eastAsia" w:ascii="Times New Roman" w:hAnsi="Times New Roman" w:cs="Times New Roman"/>
                <w:sz w:val="24"/>
                <w:szCs w:val="24"/>
                <w:lang w:eastAsia="zh-CN"/>
              </w:rPr>
              <w:t>）</w:t>
            </w:r>
          </w:p>
          <w:p>
            <w:pPr>
              <w:autoSpaceDE w:val="0"/>
              <w:autoSpaceDN w:val="0"/>
              <w:adjustRightInd w:val="0"/>
              <w:snapToGrid w:val="0"/>
              <w:spacing w:line="360" w:lineRule="auto"/>
              <w:jc w:val="center"/>
              <w:rPr>
                <w:rFonts w:hint="eastAsia" w:eastAsiaTheme="minorEastAsia"/>
                <w:lang w:eastAsia="zh-CN"/>
              </w:rPr>
            </w:pPr>
            <w:r>
              <w:rPr>
                <w:rFonts w:hint="eastAsia" w:eastAsiaTheme="minorEastAsia"/>
                <w:lang w:eastAsia="zh-CN"/>
              </w:rPr>
              <w:drawing>
                <wp:anchor distT="0" distB="0" distL="114300" distR="114300" simplePos="0" relativeHeight="251675648" behindDoc="0" locked="0" layoutInCell="1" allowOverlap="1">
                  <wp:simplePos x="0" y="0"/>
                  <wp:positionH relativeFrom="column">
                    <wp:posOffset>4064000</wp:posOffset>
                  </wp:positionH>
                  <wp:positionV relativeFrom="paragraph">
                    <wp:posOffset>635</wp:posOffset>
                  </wp:positionV>
                  <wp:extent cx="476885" cy="485140"/>
                  <wp:effectExtent l="0" t="0" r="18415" b="10160"/>
                  <wp:wrapNone/>
                  <wp:docPr id="13" name="图片 13"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674624" behindDoc="0" locked="0" layoutInCell="1" allowOverlap="1">
                      <wp:simplePos x="0" y="0"/>
                      <wp:positionH relativeFrom="column">
                        <wp:posOffset>1346835</wp:posOffset>
                      </wp:positionH>
                      <wp:positionV relativeFrom="paragraph">
                        <wp:posOffset>2259965</wp:posOffset>
                      </wp:positionV>
                      <wp:extent cx="1925955" cy="285750"/>
                      <wp:effectExtent l="0" t="0" r="17145" b="0"/>
                      <wp:wrapNone/>
                      <wp:docPr id="11" name="文本框 11"/>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秧田湾水库灌区临时工程布置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6.05pt;margin-top:177.95pt;height:22.5pt;width:151.65pt;z-index:251674624;mso-width-relative:page;mso-height-relative:page;" fillcolor="#FFFFFF [3212]" filled="t" stroked="f" coordsize="21600,21600" o:gfxdata="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XaNed1gAAAAsBAAAPAAAA&#10;AAAAAAEAIAAAACIAAABkcnMvZG93bnJldi54bWxQSwECFAAUAAAACACHTuJA296dnVACAACRBAAA&#10;DgAAAAAAAAABACAAAAAlAQAAZHJzL2Uyb0RvYy54bWxQSwUGAAAAAAYABgBZAQAA5wU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秧田湾水库灌区临时工程布置</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2917825</wp:posOffset>
                      </wp:positionH>
                      <wp:positionV relativeFrom="paragraph">
                        <wp:posOffset>1264920</wp:posOffset>
                      </wp:positionV>
                      <wp:extent cx="588645" cy="27622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58864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31m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75pt;margin-top:99.6pt;height:21.75pt;width:46.35pt;z-index:251672576;mso-width-relative:page;mso-height-relative:page;" filled="f" stroked="f" coordsize="21600,21600" o:gfxdata="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&#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4/GZNsAAAALAQAADwAAAAAAAAABACAAAAAiAAAA&#10;ZHJzL2Rvd25yZXYueG1sUEsBAhQAFAAAAAgAh07iQCJfsiA9AgAAZwQAAA4AAAAAAAAAAQAgAAAA&#10;KgEAAGRycy9lMm9Eb2MueG1sUEsFBgAAAAAGAAYAWQEAANk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31m</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2139950</wp:posOffset>
                      </wp:positionH>
                      <wp:positionV relativeFrom="paragraph">
                        <wp:posOffset>1443355</wp:posOffset>
                      </wp:positionV>
                      <wp:extent cx="588645" cy="276225"/>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58864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5pt;margin-top:113.65pt;height:21.75pt;width:46.35pt;z-index:251671552;mso-width-relative:page;mso-height-relative:page;" filled="f" stroked="f" coordsize="21600,21600" o:gfxdata="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MvWvDcAAAACwEAAA8AAAAAAAAAAQAgAAAAIgAA&#10;AGRycy9kb3ducmV2LnhtbFBLAQIUABQAAAAIAIdO4kBnKWnXPQIAAGcEAAAOAAAAAAAAAAEAIAAA&#10;ACsBAABkcnMvZTJvRG9jLnhtbFBLBQYAAAAABgAGAFkBAADaBQ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100m</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2963545</wp:posOffset>
                      </wp:positionH>
                      <wp:positionV relativeFrom="paragraph">
                        <wp:posOffset>1489075</wp:posOffset>
                      </wp:positionV>
                      <wp:extent cx="257175" cy="81915"/>
                      <wp:effectExtent l="1905" t="6350" r="7620" b="26035"/>
                      <wp:wrapNone/>
                      <wp:docPr id="92" name="直接箭头连接符 92"/>
                      <wp:cNvGraphicFramePr/>
                      <a:graphic xmlns:a="http://schemas.openxmlformats.org/drawingml/2006/main">
                        <a:graphicData uri="http://schemas.microsoft.com/office/word/2010/wordprocessingShape">
                          <wps:wsp>
                            <wps:cNvCnPr/>
                            <wps:spPr>
                              <a:xfrm>
                                <a:off x="4122420" y="2132330"/>
                                <a:ext cx="257175" cy="8191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3.35pt;margin-top:117.25pt;height:6.45pt;width:20.25pt;z-index:251670528;mso-width-relative:page;mso-height-relative:page;" filled="f" stroked="t" coordsize="21600,21600" o:gfxdata="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fWFX61wAAAAsBAAAP&#10;AAAAAAAAAAEAIAAAACIAAABkcnMvZG93bnJldi54bWxQSwECFAAUAAAACACHTuJAsZSXKBkCAADw&#10;AwAADgAAAAAAAAABACAAAAAmAQAAZHJzL2Uyb0RvYy54bWxQSwUGAAAAAAYABgBZAQAAsQU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2001520</wp:posOffset>
                      </wp:positionH>
                      <wp:positionV relativeFrom="paragraph">
                        <wp:posOffset>1513840</wp:posOffset>
                      </wp:positionV>
                      <wp:extent cx="866775" cy="371475"/>
                      <wp:effectExtent l="0" t="5715" r="9525" b="22860"/>
                      <wp:wrapNone/>
                      <wp:docPr id="91" name="直接箭头连接符 91"/>
                      <wp:cNvGraphicFramePr/>
                      <a:graphic xmlns:a="http://schemas.openxmlformats.org/drawingml/2006/main">
                        <a:graphicData uri="http://schemas.microsoft.com/office/word/2010/wordprocessingShape">
                          <wps:wsp>
                            <wps:cNvCnPr/>
                            <wps:spPr>
                              <a:xfrm flipH="1">
                                <a:off x="3637280" y="3171190"/>
                                <a:ext cx="866775" cy="37147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57.6pt;margin-top:119.2pt;height:29.25pt;width:68.25pt;z-index:251669504;mso-width-relative:page;mso-height-relative:page;" filled="f" stroked="t" coordsize="21600,21600" o:gfxdata="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SNRPj2AAA&#10;AAsBAAAPAAAAAAAAAAEAIAAAACIAAABkcnMvZG93bnJldi54bWxQSwECFAAUAAAACACHTuJA79fs&#10;mh4CAAD7AwAADgAAAAAAAAABACAAAAAnAQAAZHJzL2Uyb0RvYy54bWxQSwUGAAAAAAYABgBZAQAA&#10;twU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4513580</wp:posOffset>
                      </wp:positionH>
                      <wp:positionV relativeFrom="paragraph">
                        <wp:posOffset>2991485</wp:posOffset>
                      </wp:positionV>
                      <wp:extent cx="914400" cy="276225"/>
                      <wp:effectExtent l="0" t="0" r="0" b="0"/>
                      <wp:wrapNone/>
                      <wp:docPr id="102" name="文本框 102"/>
                      <wp:cNvGraphicFramePr/>
                      <a:graphic xmlns:a="http://schemas.openxmlformats.org/drawingml/2006/main">
                        <a:graphicData uri="http://schemas.microsoft.com/office/word/2010/wordprocessingShape">
                          <wps:wsp>
                            <wps:cNvSpPr txBox="1"/>
                            <wps:spPr>
                              <a:xfrm>
                                <a:off x="5487670" y="5097780"/>
                                <a:ext cx="91440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4pt;margin-top:235.55pt;height:21.75pt;width:72pt;z-index:251662336;mso-width-relative:page;mso-height-relative:page;" filled="f" stroked="f" coordsize="21600,21600" o:gfxdata="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CN7ztwAAAALAQAADwAAAAAAAAAB&#10;ACAAAAAiAAAAZHJzL2Rvd25yZXYueG1sUEsBAhQAFAAAAAgAh07iQCqO2ptFAgAAdQQAAA4AAAAA&#10;AAAAAQAgAAAAKwEAAGRycy9lMm9Eb2MueG1sUEsFBgAAAAAGAAYAWQEAAOIFAAAAAA==&#10;">
                      <v:fill on="f" focussize="0,0"/>
                      <v:stroke on="f" weight="0.5pt"/>
                      <v:imagedata o:title=""/>
                      <o:lock v:ext="edit" aspectratio="f"/>
                      <v:textbox>
                        <w:txbxContent>
                          <w:p>
                            <w:pPr>
                              <w:rPr>
                                <w:color w:val="FFFF00"/>
                              </w:rPr>
                            </w:pPr>
                          </w:p>
                        </w:txbxContent>
                      </v:textbox>
                    </v:shape>
                  </w:pict>
                </mc:Fallback>
              </mc:AlternateContent>
            </w:r>
            <w:r>
              <w:drawing>
                <wp:inline distT="0" distB="0" distL="114300" distR="114300">
                  <wp:extent cx="3191510" cy="2535555"/>
                  <wp:effectExtent l="0" t="0" r="8890" b="1714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49"/>
                          <a:stretch>
                            <a:fillRect/>
                          </a:stretch>
                        </pic:blipFill>
                        <pic:spPr>
                          <a:xfrm>
                            <a:off x="0" y="0"/>
                            <a:ext cx="3191510" cy="2535555"/>
                          </a:xfrm>
                          <a:prstGeom prst="rect">
                            <a:avLst/>
                          </a:prstGeom>
                          <a:noFill/>
                          <a:ln>
                            <a:noFill/>
                          </a:ln>
                        </pic:spPr>
                      </pic:pic>
                    </a:graphicData>
                  </a:graphic>
                </wp:inline>
              </w:drawing>
            </w:r>
          </w:p>
          <w:p>
            <w:pPr>
              <w:pStyle w:val="17"/>
              <w:spacing w:line="360" w:lineRule="auto"/>
              <w:jc w:val="center"/>
            </w:pPr>
            <w:r>
              <w:rPr>
                <w:sz w:val="24"/>
              </w:rPr>
              <mc:AlternateContent>
                <mc:Choice Requires="wps">
                  <w:drawing>
                    <wp:anchor distT="0" distB="0" distL="114300" distR="114300" simplePos="0" relativeHeight="251678720" behindDoc="0" locked="0" layoutInCell="1" allowOverlap="1">
                      <wp:simplePos x="0" y="0"/>
                      <wp:positionH relativeFrom="column">
                        <wp:posOffset>2764155</wp:posOffset>
                      </wp:positionH>
                      <wp:positionV relativeFrom="paragraph">
                        <wp:posOffset>4439285</wp:posOffset>
                      </wp:positionV>
                      <wp:extent cx="588645" cy="27622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58864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23m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65pt;margin-top:349.55pt;height:21.75pt;width:46.35pt;z-index:251678720;mso-width-relative:page;mso-height-relative:page;" filled="f" stroked="f" coordsize="21600,21600" o:gfxdata="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BZtFPdAAAACwEAAA8AAAAAAAAAAQAgAAAAIgAA&#10;AGRycy9kb3ducmV2LnhtbFBLAQIUABQAAAAIAIdO4kBdm5gFPAIAAGcEAAAOAAAAAAAAAAEAIAAA&#10;ACwBAABkcnMvZTJvRG9jLnhtbFBLBQYAAAAABgAGAFkBAADaBQ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23m</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2782570</wp:posOffset>
                      </wp:positionH>
                      <wp:positionV relativeFrom="paragraph">
                        <wp:posOffset>4432935</wp:posOffset>
                      </wp:positionV>
                      <wp:extent cx="180975" cy="93345"/>
                      <wp:effectExtent l="0" t="5715" r="9525" b="15240"/>
                      <wp:wrapNone/>
                      <wp:docPr id="49" name="直接箭头连接符 49"/>
                      <wp:cNvGraphicFramePr/>
                      <a:graphic xmlns:a="http://schemas.openxmlformats.org/drawingml/2006/main">
                        <a:graphicData uri="http://schemas.microsoft.com/office/word/2010/wordprocessingShape">
                          <wps:wsp>
                            <wps:cNvCnPr/>
                            <wps:spPr>
                              <a:xfrm flipH="1">
                                <a:off x="2771140" y="2339340"/>
                                <a:ext cx="180975" cy="9334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19.1pt;margin-top:349.05pt;height:7.35pt;width:14.25pt;z-index:251664384;mso-width-relative:page;mso-height-relative:page;" filled="f" stroked="t" coordsize="21600,21600" o:gfxdata="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6GEk9cAAAAL&#10;AQAADwAAAAAAAAABACAAAAAiAAAAZHJzL2Rvd25yZXYueG1sUEsBAhQAFAAAAAgAh07iQJ9VHmYd&#10;AgAA+gMAAA4AAAAAAAAAAQAgAAAAJgEAAGRycy9lMm9Eb2MueG1sUEsFBgAAAAAGAAYAWQEAALUF&#10;A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2878455</wp:posOffset>
                      </wp:positionH>
                      <wp:positionV relativeFrom="paragraph">
                        <wp:posOffset>4067810</wp:posOffset>
                      </wp:positionV>
                      <wp:extent cx="588645" cy="27622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58864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44m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65pt;margin-top:320.3pt;height:21.75pt;width:46.35pt;z-index:251666432;mso-width-relative:page;mso-height-relative:page;" filled="f" stroked="f" coordsize="21600,21600" o:gfxdata="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&#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DNGqS2wAAAAsBAAAPAAAAAAAAAAEAIAAAACIAAABk&#10;cnMvZG93bnJldi54bWxQSwECFAAUAAAACACHTuJAhHv1/jwCAABnBAAADgAAAAAAAAABACAAAAAq&#10;AQAAZHJzL2Uyb0RvYy54bWxQSwUGAAAAAAYABgBZAQAA2AU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44m</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2858770</wp:posOffset>
                      </wp:positionH>
                      <wp:positionV relativeFrom="paragraph">
                        <wp:posOffset>4069715</wp:posOffset>
                      </wp:positionV>
                      <wp:extent cx="123825" cy="314325"/>
                      <wp:effectExtent l="15240" t="0" r="13335" b="9525"/>
                      <wp:wrapNone/>
                      <wp:docPr id="51" name="直接箭头连接符 51"/>
                      <wp:cNvGraphicFramePr/>
                      <a:graphic xmlns:a="http://schemas.openxmlformats.org/drawingml/2006/main">
                        <a:graphicData uri="http://schemas.microsoft.com/office/word/2010/wordprocessingShape">
                          <wps:wsp>
                            <wps:cNvCnPr/>
                            <wps:spPr>
                              <a:xfrm flipH="1" flipV="1">
                                <a:off x="4269105" y="2711450"/>
                                <a:ext cx="123825" cy="31432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25.1pt;margin-top:320.45pt;height:24.75pt;width:9.75pt;z-index:251665408;mso-width-relative:page;mso-height-relative:page;" filled="f" stroked="t" coordsize="21600,21600" o:gfxdata="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z/sYXNkAAAALAQAADwAAAAAAAAABACAAAAAiAAAAZHJzL2Rvd25yZXYueG1sUEsBAhQAFAAAAAgA&#10;h07iQA4k0vQkAgAABQQAAA4AAAAAAAAAAQAgAAAAKAEAAGRycy9lMm9Eb2MueG1sUEsFBgAAAAAG&#10;AAYAWQEAAL4FAAAAAA==&#10;">
                      <v:fill on="f" focussize="0,0"/>
                      <v:stroke weight="1pt" color="#FFFF00 [3204]" miterlimit="8" joinstyle="miter" endarrow="open"/>
                      <v:imagedata o:title=""/>
                      <o:lock v:ext="edit" aspectratio="f"/>
                    </v:shape>
                  </w:pict>
                </mc:Fallback>
              </mc:AlternateContent>
            </w:r>
            <w:r>
              <w:rPr>
                <w:rFonts w:hint="eastAsia" w:eastAsiaTheme="minorEastAsia"/>
                <w:lang w:eastAsia="zh-CN"/>
              </w:rPr>
              <w:drawing>
                <wp:anchor distT="0" distB="0" distL="114300" distR="114300" simplePos="0" relativeHeight="251695104" behindDoc="0" locked="0" layoutInCell="1" allowOverlap="1">
                  <wp:simplePos x="0" y="0"/>
                  <wp:positionH relativeFrom="column">
                    <wp:posOffset>4206875</wp:posOffset>
                  </wp:positionH>
                  <wp:positionV relativeFrom="paragraph">
                    <wp:posOffset>5668645</wp:posOffset>
                  </wp:positionV>
                  <wp:extent cx="476885" cy="485140"/>
                  <wp:effectExtent l="0" t="0" r="18415" b="10160"/>
                  <wp:wrapNone/>
                  <wp:docPr id="116" name="图片 116"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rFonts w:hint="eastAsia" w:eastAsiaTheme="minorEastAsia"/>
                <w:lang w:eastAsia="zh-CN"/>
              </w:rPr>
              <w:drawing>
                <wp:anchor distT="0" distB="0" distL="114300" distR="114300" simplePos="0" relativeHeight="251687936" behindDoc="0" locked="0" layoutInCell="1" allowOverlap="1">
                  <wp:simplePos x="0" y="0"/>
                  <wp:positionH relativeFrom="column">
                    <wp:posOffset>4197350</wp:posOffset>
                  </wp:positionH>
                  <wp:positionV relativeFrom="paragraph">
                    <wp:posOffset>2773045</wp:posOffset>
                  </wp:positionV>
                  <wp:extent cx="476885" cy="485140"/>
                  <wp:effectExtent l="0" t="0" r="18415" b="10160"/>
                  <wp:wrapNone/>
                  <wp:docPr id="50" name="图片 50"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679744" behindDoc="0" locked="0" layoutInCell="1" allowOverlap="1">
                      <wp:simplePos x="0" y="0"/>
                      <wp:positionH relativeFrom="column">
                        <wp:posOffset>1223010</wp:posOffset>
                      </wp:positionH>
                      <wp:positionV relativeFrom="paragraph">
                        <wp:posOffset>5318125</wp:posOffset>
                      </wp:positionV>
                      <wp:extent cx="1925955" cy="285750"/>
                      <wp:effectExtent l="0" t="0" r="17145" b="0"/>
                      <wp:wrapNone/>
                      <wp:docPr id="28" name="文本框 28"/>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云顶水库灌区临时工程布置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3pt;margin-top:418.75pt;height:22.5pt;width:151.65pt;z-index:251679744;mso-width-relative:page;mso-height-relative:page;" fillcolor="#FFFFFF [3212]" filled="t" stroked="f" coordsize="21600,21600" o:gfxdata="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yfuvN1gAAAAsBAAAPAAAA&#10;AAAAAAEAIAAAACIAAABkcnMvZG93bnJldi54bWxQSwECFAAUAAAACACHTuJALDozjlACAACRBAAA&#10;DgAAAAAAAAABACAAAAAlAQAAZHJzL2Uyb0RvYy54bWxQSwUGAAAAAAYABgBZAQAA5wU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云顶水库灌区临时工程布置</w:t>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1223010</wp:posOffset>
                      </wp:positionH>
                      <wp:positionV relativeFrom="paragraph">
                        <wp:posOffset>2493010</wp:posOffset>
                      </wp:positionV>
                      <wp:extent cx="1925955" cy="285750"/>
                      <wp:effectExtent l="0" t="0" r="17145" b="0"/>
                      <wp:wrapNone/>
                      <wp:docPr id="15" name="文本框 15"/>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观音岩水库灌区临时工程布置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3pt;margin-top:196.3pt;height:22.5pt;width:151.65pt;z-index:251676672;mso-width-relative:page;mso-height-relative:page;" fillcolor="#FFFFFF [3212]" filled="t" stroked="f" coordsize="21600,21600" o:gfxdata="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2WGam1gAAAAsBAAAPAAAA&#10;AAAAAAEAIAAAACIAAABkcnMvZG93bnJldi54bWxQSwECFAAUAAAACACHTuJAj9ewclACAACRBAAA&#10;DgAAAAAAAAABACAAAAAlAQAAZHJzL2Uyb0RvYy54bWxQSwUGAAAAAAYABgBZAQAA5wU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观音岩水库灌区临时工程布置</w:t>
                            </w:r>
                          </w:p>
                        </w:txbxContent>
                      </v:textbox>
                    </v:shape>
                  </w:pict>
                </mc:Fallback>
              </mc:AlternateContent>
            </w:r>
            <w:r>
              <w:rPr>
                <w:rFonts w:hint="eastAsia" w:eastAsiaTheme="minorEastAsia"/>
                <w:lang w:eastAsia="zh-CN"/>
              </w:rPr>
              <w:drawing>
                <wp:anchor distT="0" distB="0" distL="114300" distR="114300" simplePos="0" relativeHeight="251677696" behindDoc="0" locked="0" layoutInCell="1" allowOverlap="1">
                  <wp:simplePos x="0" y="0"/>
                  <wp:positionH relativeFrom="column">
                    <wp:posOffset>4206875</wp:posOffset>
                  </wp:positionH>
                  <wp:positionV relativeFrom="paragraph">
                    <wp:posOffset>5080</wp:posOffset>
                  </wp:positionV>
                  <wp:extent cx="476885" cy="485140"/>
                  <wp:effectExtent l="0" t="0" r="18415" b="10160"/>
                  <wp:wrapNone/>
                  <wp:docPr id="24" name="图片 24"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668480" behindDoc="0" locked="0" layoutInCell="1" allowOverlap="1">
                      <wp:simplePos x="0" y="0"/>
                      <wp:positionH relativeFrom="column">
                        <wp:posOffset>3007995</wp:posOffset>
                      </wp:positionH>
                      <wp:positionV relativeFrom="paragraph">
                        <wp:posOffset>1306830</wp:posOffset>
                      </wp:positionV>
                      <wp:extent cx="588645" cy="276225"/>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58864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114m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85pt;margin-top:102.9pt;height:21.75pt;width:46.35pt;z-index:251668480;mso-width-relative:page;mso-height-relative:page;" filled="f" stroked="f" coordsize="21600,21600" o:gfxdata="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6Rj5XcAAAACwEAAA8AAAAAAAAAAQAgAAAAIgAA&#10;AGRycy9kb3ducmV2LnhtbFBLAQIUABQAAAAIAIdO4kDTSRd9PQIAAGcEAAAOAAAAAAAAAAEAIAAA&#10;ACsBAABkcnMvZTJvRG9jLnhtbFBLBQYAAAAABgAGAFkBAADaBQ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114m</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2868295</wp:posOffset>
                      </wp:positionH>
                      <wp:positionV relativeFrom="paragraph">
                        <wp:posOffset>1312545</wp:posOffset>
                      </wp:positionV>
                      <wp:extent cx="619125" cy="681990"/>
                      <wp:effectExtent l="4445" t="4445" r="5080" b="18415"/>
                      <wp:wrapNone/>
                      <wp:docPr id="53" name="直接箭头连接符 53"/>
                      <wp:cNvGraphicFramePr/>
                      <a:graphic xmlns:a="http://schemas.openxmlformats.org/drawingml/2006/main">
                        <a:graphicData uri="http://schemas.microsoft.com/office/word/2010/wordprocessingShape">
                          <wps:wsp>
                            <wps:cNvCnPr/>
                            <wps:spPr>
                              <a:xfrm>
                                <a:off x="3134995" y="6934835"/>
                                <a:ext cx="619125" cy="68199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5.85pt;margin-top:103.35pt;height:53.7pt;width:48.75pt;z-index:251667456;mso-width-relative:page;mso-height-relative:page;" filled="f" stroked="t" coordsize="21600,21600" o:gfxdata="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4o5XXYAAAACwEA&#10;AA8AAAAAAAAAAQAgAAAAIgAAAGRycy9kb3ducmV2LnhtbFBLAQIUABQAAAAIAIdO4kC/xkhfGgIA&#10;APEDAAAOAAAAAAAAAAEAIAAAACcBAABkcnMvZTJvRG9jLnhtbFBLBQYAAAAABgAGAFkBAACzBQAA&#10;AAA=&#10;">
                      <v:fill on="f" focussize="0,0"/>
                      <v:stroke weight="1pt" color="#FFFF00 [3204]" miterlimit="8" joinstyle="miter" endarrow="open"/>
                      <v:imagedata o:title=""/>
                      <o:lock v:ext="edit" aspectratio="f"/>
                    </v:shape>
                  </w:pict>
                </mc:Fallback>
              </mc:AlternateContent>
            </w:r>
            <w:r>
              <w:drawing>
                <wp:inline distT="0" distB="0" distL="114300" distR="114300">
                  <wp:extent cx="3453765" cy="2770505"/>
                  <wp:effectExtent l="0" t="0" r="13335" b="1079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50"/>
                          <a:stretch>
                            <a:fillRect/>
                          </a:stretch>
                        </pic:blipFill>
                        <pic:spPr>
                          <a:xfrm>
                            <a:off x="0" y="0"/>
                            <a:ext cx="3453765" cy="2770505"/>
                          </a:xfrm>
                          <a:prstGeom prst="rect">
                            <a:avLst/>
                          </a:prstGeom>
                          <a:noFill/>
                          <a:ln>
                            <a:noFill/>
                          </a:ln>
                        </pic:spPr>
                      </pic:pic>
                    </a:graphicData>
                  </a:graphic>
                </wp:inline>
              </w:drawing>
            </w:r>
            <w:r>
              <w:drawing>
                <wp:inline distT="0" distB="0" distL="114300" distR="114300">
                  <wp:extent cx="3458845" cy="2819400"/>
                  <wp:effectExtent l="0" t="0" r="8255" b="0"/>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51"/>
                          <a:stretch>
                            <a:fillRect/>
                          </a:stretch>
                        </pic:blipFill>
                        <pic:spPr>
                          <a:xfrm>
                            <a:off x="0" y="0"/>
                            <a:ext cx="3458845" cy="2819400"/>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sz w:val="24"/>
              </w:rPr>
              <mc:AlternateContent>
                <mc:Choice Requires="wps">
                  <w:drawing>
                    <wp:anchor distT="0" distB="0" distL="114300" distR="114300" simplePos="0" relativeHeight="251680768" behindDoc="0" locked="0" layoutInCell="1" allowOverlap="1">
                      <wp:simplePos x="0" y="0"/>
                      <wp:positionH relativeFrom="column">
                        <wp:posOffset>1203960</wp:posOffset>
                      </wp:positionH>
                      <wp:positionV relativeFrom="paragraph">
                        <wp:posOffset>2458085</wp:posOffset>
                      </wp:positionV>
                      <wp:extent cx="1925955" cy="285750"/>
                      <wp:effectExtent l="0" t="0" r="17145" b="0"/>
                      <wp:wrapNone/>
                      <wp:docPr id="33" name="文本框 33"/>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小沟河水库灌区临时工程布置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8pt;margin-top:193.55pt;height:22.5pt;width:151.65pt;z-index:251680768;mso-width-relative:page;mso-height-relative:page;" fillcolor="#FFFFFF [3212]" filled="t" stroked="f" coordsize="21600,21600" o:gfxdata="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nOJ+LXAAAACwEAAA8A&#10;AAAAAAAAAQAgAAAAIgAAAGRycy9kb3ducmV2LnhtbFBLAQIUABQAAAAIAIdO4kADhn/cUQIAAJEE&#10;AAAOAAAAAAAAAAEAIAAAACYBAABkcnMvZTJvRG9jLnhtbFBLBQYAAAAABgAGAFkBAADpBQ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小沟河水库灌区临时工程布置</w:t>
                            </w:r>
                          </w:p>
                        </w:txbxContent>
                      </v:textbox>
                    </v:shape>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2821305</wp:posOffset>
                      </wp:positionH>
                      <wp:positionV relativeFrom="paragraph">
                        <wp:posOffset>1512570</wp:posOffset>
                      </wp:positionV>
                      <wp:extent cx="455930" cy="27622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45593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45m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15pt;margin-top:119.1pt;height:21.75pt;width:35.9pt;z-index:251686912;mso-width-relative:page;mso-height-relative:page;" filled="f" stroked="f" coordsize="21600,21600" o:gfxdata="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&#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O8Zd9wAAAALAQAADwAAAAAAAAABACAAAAAiAAAA&#10;ZHJzL2Rvd25yZXYueG1sUEsBAhQAFAAAAAgAh07iQDYLxlg8AgAAZwQAAA4AAAAAAAAAAQAgAAAA&#10;KwEAAGRycy9lMm9Eb2MueG1sUEsFBgAAAAAGAAYAWQEAANk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45m</w:t>
                            </w:r>
                          </w:p>
                        </w:txbxContent>
                      </v:textbox>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3345180</wp:posOffset>
                      </wp:positionH>
                      <wp:positionV relativeFrom="paragraph">
                        <wp:posOffset>1150620</wp:posOffset>
                      </wp:positionV>
                      <wp:extent cx="455930" cy="27622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45593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89m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4pt;margin-top:90.6pt;height:21.75pt;width:35.9pt;z-index:251685888;mso-width-relative:page;mso-height-relative:page;" filled="f" stroked="f" coordsize="21600,21600" o:gfxdata="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sciFzbAAAACwEAAA8AAAAAAAAAAQAgAAAAIgAAAGRy&#10;cy9kb3ducmV2LnhtbFBLAQIUABQAAAAIAIdO4kBsdAWwOwIAAGcEAAAOAAAAAAAAAAEAIAAAACoB&#10;AABkcnMvZTJvRG9jLnhtbFBLBQYAAAAABgAGAFkBAADXBQ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89m</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2440305</wp:posOffset>
                      </wp:positionH>
                      <wp:positionV relativeFrom="paragraph">
                        <wp:posOffset>950595</wp:posOffset>
                      </wp:positionV>
                      <wp:extent cx="588645" cy="27622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58864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51m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15pt;margin-top:74.85pt;height:21.75pt;width:46.35pt;z-index:251682816;mso-width-relative:page;mso-height-relative:page;" filled="f" stroked="f" coordsize="21600,21600" o:gfxdata="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qW4mHcAAAACwEAAA8AAAAAAAAAAQAgAAAAIgAA&#10;AGRycy9kb3ducmV2LnhtbFBLAQIUABQAAAAIAIdO4kDI4M6OPQIAAGcEAAAOAAAAAAAAAAEAIAAA&#10;ACsBAABkcnMvZTJvRG9jLnhtbFBLBQYAAAAABgAGAFkBAADaBQ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51m</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2982595</wp:posOffset>
                      </wp:positionH>
                      <wp:positionV relativeFrom="paragraph">
                        <wp:posOffset>1440180</wp:posOffset>
                      </wp:positionV>
                      <wp:extent cx="342900" cy="409575"/>
                      <wp:effectExtent l="5080" t="3810" r="13970" b="5715"/>
                      <wp:wrapNone/>
                      <wp:docPr id="39" name="直接箭头连接符 39"/>
                      <wp:cNvGraphicFramePr/>
                      <a:graphic xmlns:a="http://schemas.openxmlformats.org/drawingml/2006/main">
                        <a:graphicData uri="http://schemas.microsoft.com/office/word/2010/wordprocessingShape">
                          <wps:wsp>
                            <wps:cNvCnPr/>
                            <wps:spPr>
                              <a:xfrm>
                                <a:off x="0" y="0"/>
                                <a:ext cx="342900" cy="40957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4.85pt;margin-top:113.4pt;height:32.25pt;width:27pt;z-index:251684864;mso-width-relative:page;mso-height-relative:page;" filled="f" stroked="t" coordsize="21600,21600" o:gfxdata="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2BaMMNcAAAALAQAADwAAAAAAAAABACAAAAAi&#10;AAAAZHJzL2Rvd25yZXYueG1sUEsBAhQAFAAAAAgAh07iQEkYZAQLAgAA5QMAAA4AAAAAAAAAAQAg&#10;AAAAJgEAAGRycy9lMm9Eb2MueG1sUEsFBgAAAAAGAAYAWQEAAKMFA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2982595</wp:posOffset>
                      </wp:positionH>
                      <wp:positionV relativeFrom="paragraph">
                        <wp:posOffset>1325880</wp:posOffset>
                      </wp:positionV>
                      <wp:extent cx="1219200" cy="85725"/>
                      <wp:effectExtent l="635" t="44450" r="18415" b="22225"/>
                      <wp:wrapNone/>
                      <wp:docPr id="38" name="直接箭头连接符 38"/>
                      <wp:cNvGraphicFramePr/>
                      <a:graphic xmlns:a="http://schemas.openxmlformats.org/drawingml/2006/main">
                        <a:graphicData uri="http://schemas.microsoft.com/office/word/2010/wordprocessingShape">
                          <wps:wsp>
                            <wps:cNvCnPr/>
                            <wps:spPr>
                              <a:xfrm flipV="1">
                                <a:off x="0" y="0"/>
                                <a:ext cx="1219200" cy="8572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34.85pt;margin-top:104.4pt;height:6.75pt;width:96pt;z-index:251683840;mso-width-relative:page;mso-height-relative:page;" filled="f" stroked="t" coordsize="21600,21600" o:gfxdata="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JVZxNYAAAALAQAADwAAAAAAAAABACAA&#10;AAAiAAAAZHJzL2Rvd25yZXYueG1sUEsBAhQAFAAAAAgAh07iQG9q/OkPAgAA7wMAAA4AAAAAAAAA&#10;AQAgAAAAJQEAAGRycy9lMm9Eb2MueG1sUEsFBgAAAAAGAAYAWQEAAKYFA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2268220</wp:posOffset>
                      </wp:positionH>
                      <wp:positionV relativeFrom="paragraph">
                        <wp:posOffset>1010285</wp:posOffset>
                      </wp:positionV>
                      <wp:extent cx="533400" cy="296545"/>
                      <wp:effectExtent l="0" t="1905" r="19050" b="6350"/>
                      <wp:wrapNone/>
                      <wp:docPr id="34" name="直接箭头连接符 34"/>
                      <wp:cNvGraphicFramePr/>
                      <a:graphic xmlns:a="http://schemas.openxmlformats.org/drawingml/2006/main">
                        <a:graphicData uri="http://schemas.microsoft.com/office/word/2010/wordprocessingShape">
                          <wps:wsp>
                            <wps:cNvCnPr/>
                            <wps:spPr>
                              <a:xfrm flipH="1" flipV="1">
                                <a:off x="0" y="0"/>
                                <a:ext cx="533400" cy="29654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78.6pt;margin-top:79.55pt;height:23.35pt;width:42pt;z-index:251681792;mso-width-relative:page;mso-height-relative:page;" filled="f" stroked="t" coordsize="21600,21600" o:gfxdata="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xjSIt2QAAAAsBAAAP&#10;AAAAAAAAAAEAIAAAACIAAABkcnMvZG93bnJldi54bWxQSwECFAAUAAAACACHTuJAEQy7axcCAAD5&#10;AwAADgAAAAAAAAABACAAAAAoAQAAZHJzL2Uyb0RvYy54bWxQSwUGAAAAAAYABgBZAQAAsQUAAAAA&#10;">
                      <v:fill on="f" focussize="0,0"/>
                      <v:stroke weight="1pt" color="#FFFF00 [3204]" miterlimit="8" joinstyle="miter" endarrow="open"/>
                      <v:imagedata o:title=""/>
                      <o:lock v:ext="edit" aspectratio="f"/>
                    </v:shape>
                  </w:pict>
                </mc:Fallback>
              </mc:AlternateContent>
            </w:r>
            <w:r>
              <w:drawing>
                <wp:inline distT="0" distB="0" distL="114300" distR="114300">
                  <wp:extent cx="3488055" cy="2738755"/>
                  <wp:effectExtent l="0" t="0" r="17145" b="444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52"/>
                          <a:stretch>
                            <a:fillRect/>
                          </a:stretch>
                        </pic:blipFill>
                        <pic:spPr>
                          <a:xfrm>
                            <a:off x="0" y="0"/>
                            <a:ext cx="3488055" cy="2738755"/>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sz w:val="24"/>
              </w:rPr>
              <mc:AlternateContent>
                <mc:Choice Requires="wps">
                  <w:drawing>
                    <wp:anchor distT="0" distB="0" distL="114300" distR="114300" simplePos="0" relativeHeight="251700224" behindDoc="0" locked="0" layoutInCell="1" allowOverlap="1">
                      <wp:simplePos x="0" y="0"/>
                      <wp:positionH relativeFrom="column">
                        <wp:posOffset>2002155</wp:posOffset>
                      </wp:positionH>
                      <wp:positionV relativeFrom="paragraph">
                        <wp:posOffset>4054475</wp:posOffset>
                      </wp:positionV>
                      <wp:extent cx="521970" cy="276225"/>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118m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65pt;margin-top:319.25pt;height:21.75pt;width:41.1pt;z-index:251700224;mso-width-relative:page;mso-height-relative:page;" filled="f" stroked="f" coordsize="21600,21600" o:gfxdata="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&#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wRA/p2wAAAAsBAAAPAAAAAAAAAAEAIAAAACIAAABk&#10;cnMvZG93bnJldi54bWxQSwECFAAUAAAACACHTuJA7D4crTwCAABpBAAADgAAAAAAAAABACAAAAAq&#10;AQAAZHJzL2Uyb0RvYy54bWxQSwUGAAAAAAYABgBZAQAA2AU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118m</w:t>
                            </w:r>
                          </w:p>
                        </w:txbxContent>
                      </v:textbox>
                    </v:shap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1477645</wp:posOffset>
                      </wp:positionH>
                      <wp:positionV relativeFrom="paragraph">
                        <wp:posOffset>4274820</wp:posOffset>
                      </wp:positionV>
                      <wp:extent cx="1400175" cy="32385"/>
                      <wp:effectExtent l="0" t="20320" r="9525" b="61595"/>
                      <wp:wrapNone/>
                      <wp:docPr id="129" name="直接箭头连接符 129"/>
                      <wp:cNvGraphicFramePr/>
                      <a:graphic xmlns:a="http://schemas.openxmlformats.org/drawingml/2006/main">
                        <a:graphicData uri="http://schemas.microsoft.com/office/word/2010/wordprocessingShape">
                          <wps:wsp>
                            <wps:cNvCnPr/>
                            <wps:spPr>
                              <a:xfrm flipH="1">
                                <a:off x="0" y="0"/>
                                <a:ext cx="1400175" cy="3238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16.35pt;margin-top:336.6pt;height:2.55pt;width:110.25pt;z-index:251698176;mso-width-relative:page;mso-height-relative:page;" filled="f" stroked="t" coordsize="21600,21600" o:gfxdata="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Undnc1wAAAAsBAAAPAAAAAAAA&#10;AAEAIAAAACIAAABkcnMvZG93bnJldi54bWxQSwECFAAUAAAACACHTuJAVeFMcBMCAADxAwAADgAA&#10;AAAAAAABACAAAAAmAQAAZHJzL2Uyb0RvYy54bWxQSwUGAAAAAAYABgBZAQAAqwU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3002280</wp:posOffset>
                      </wp:positionH>
                      <wp:positionV relativeFrom="paragraph">
                        <wp:posOffset>4540250</wp:posOffset>
                      </wp:positionV>
                      <wp:extent cx="521970" cy="276225"/>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71m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4pt;margin-top:357.5pt;height:21.75pt;width:41.1pt;z-index:251699200;mso-width-relative:page;mso-height-relative:page;" filled="f" stroked="f" coordsize="21600,21600" o:gfxdata="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tByk22wAAAAsBAAAPAAAAAAAAAAEAIAAAACIAAABk&#10;cnMvZG93bnJldi54bWxQSwECFAAUAAAACACHTuJA2AB8dTwCAABpBAAADgAAAAAAAAABACAAAAAq&#10;AQAAZHJzL2Uyb0RvYy54bWxQSwUGAAAAAAYABgBZAQAA2AU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71m</w:t>
                            </w:r>
                          </w:p>
                        </w:txbxContent>
                      </v:textbox>
                    </v:shape>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2954020</wp:posOffset>
                      </wp:positionH>
                      <wp:positionV relativeFrom="paragraph">
                        <wp:posOffset>4398645</wp:posOffset>
                      </wp:positionV>
                      <wp:extent cx="171450" cy="689610"/>
                      <wp:effectExtent l="6350" t="1270" r="31750" b="13970"/>
                      <wp:wrapNone/>
                      <wp:docPr id="127" name="直接箭头连接符 127"/>
                      <wp:cNvGraphicFramePr/>
                      <a:graphic xmlns:a="http://schemas.openxmlformats.org/drawingml/2006/main">
                        <a:graphicData uri="http://schemas.microsoft.com/office/word/2010/wordprocessingShape">
                          <wps:wsp>
                            <wps:cNvCnPr/>
                            <wps:spPr>
                              <a:xfrm>
                                <a:off x="0" y="0"/>
                                <a:ext cx="171450" cy="68961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2.6pt;margin-top:346.35pt;height:54.3pt;width:13.5pt;z-index:251697152;mso-width-relative:page;mso-height-relative:page;" filled="f" stroked="t" coordsize="21600,21600" o:gfxdata="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RziZ62AAAAAsBAAAPAAAAAAAAAAEAIAAAACIA&#10;AABkcnMvZG93bnJldi54bWxQSwECFAAUAAAACACHTuJARWEXvwkCAADnAwAADgAAAAAAAAABACAA&#10;AAAnAQAAZHJzL2Uyb0RvYy54bWxQSwUGAAAAAAYABgBZAQAAogUAAAAA&#10;">
                      <v:fill on="f" focussize="0,0"/>
                      <v:stroke weight="1pt" color="#FFFF00 [3204]" miterlimit="8" joinstyle="miter" endarrow="open"/>
                      <v:imagedata o:title=""/>
                      <o:lock v:ext="edit" aspectratio="f"/>
                    </v:shape>
                  </w:pict>
                </mc:Fallback>
              </mc:AlternateContent>
            </w:r>
            <w:r>
              <w:rPr>
                <w:rFonts w:hint="eastAsia" w:eastAsiaTheme="minorEastAsia"/>
                <w:lang w:eastAsia="zh-CN"/>
              </w:rPr>
              <w:drawing>
                <wp:anchor distT="0" distB="0" distL="114300" distR="114300" simplePos="0" relativeHeight="251696128" behindDoc="0" locked="0" layoutInCell="1" allowOverlap="1">
                  <wp:simplePos x="0" y="0"/>
                  <wp:positionH relativeFrom="column">
                    <wp:posOffset>4206875</wp:posOffset>
                  </wp:positionH>
                  <wp:positionV relativeFrom="paragraph">
                    <wp:posOffset>-2540</wp:posOffset>
                  </wp:positionV>
                  <wp:extent cx="476885" cy="485140"/>
                  <wp:effectExtent l="0" t="0" r="18415" b="10160"/>
                  <wp:wrapNone/>
                  <wp:docPr id="121" name="图片 121"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694080" behindDoc="0" locked="0" layoutInCell="1" allowOverlap="1">
                      <wp:simplePos x="0" y="0"/>
                      <wp:positionH relativeFrom="column">
                        <wp:posOffset>1165860</wp:posOffset>
                      </wp:positionH>
                      <wp:positionV relativeFrom="paragraph">
                        <wp:posOffset>5438140</wp:posOffset>
                      </wp:positionV>
                      <wp:extent cx="1925955" cy="285750"/>
                      <wp:effectExtent l="0" t="0" r="17145" b="0"/>
                      <wp:wrapNone/>
                      <wp:docPr id="115" name="文本框 115"/>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曹家沟水库灌区临时工程布置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8pt;margin-top:428.2pt;height:22.5pt;width:151.65pt;z-index:251694080;mso-width-relative:page;mso-height-relative:page;" fillcolor="#FFFFFF [3212]" filled="t" stroked="f" coordsize="21600,21600" o:gfxdata="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AWTlO9YAAAALAQAADwAA&#10;AAAAAAABACAAAAAiAAAAZHJzL2Rvd25yZXYueG1sUEsBAhQAFAAAAAgAh07iQJHvl1JRAgAAkwQA&#10;AA4AAAAAAAAAAQAgAAAAJQEAAGRycy9lMm9Eb2MueG1sUEsFBgAAAAAGAAYAWQEAAOgFA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曹家沟水库灌区临时工程布置</w:t>
                            </w:r>
                          </w:p>
                        </w:txbxContent>
                      </v:textbox>
                    </v:shape>
                  </w:pict>
                </mc:Fallback>
              </mc:AlternateContent>
            </w:r>
            <w:r>
              <w:rPr>
                <w:rFonts w:hint="eastAsia" w:eastAsiaTheme="minorEastAsia"/>
                <w:lang w:eastAsia="zh-CN"/>
              </w:rPr>
              <w:drawing>
                <wp:anchor distT="0" distB="0" distL="114300" distR="114300" simplePos="0" relativeHeight="251702272" behindDoc="0" locked="0" layoutInCell="1" allowOverlap="1">
                  <wp:simplePos x="0" y="0"/>
                  <wp:positionH relativeFrom="column">
                    <wp:posOffset>4254500</wp:posOffset>
                  </wp:positionH>
                  <wp:positionV relativeFrom="paragraph">
                    <wp:posOffset>2854960</wp:posOffset>
                  </wp:positionV>
                  <wp:extent cx="476885" cy="485140"/>
                  <wp:effectExtent l="0" t="0" r="18415" b="10160"/>
                  <wp:wrapNone/>
                  <wp:docPr id="138" name="图片 138"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rFonts w:hint="eastAsia" w:eastAsiaTheme="minorEastAsia"/>
                <w:lang w:eastAsia="zh-CN"/>
              </w:rPr>
              <w:drawing>
                <wp:anchor distT="0" distB="0" distL="114300" distR="114300" simplePos="0" relativeHeight="251703296" behindDoc="0" locked="0" layoutInCell="1" allowOverlap="1">
                  <wp:simplePos x="0" y="0"/>
                  <wp:positionH relativeFrom="column">
                    <wp:posOffset>4264025</wp:posOffset>
                  </wp:positionH>
                  <wp:positionV relativeFrom="paragraph">
                    <wp:posOffset>5807710</wp:posOffset>
                  </wp:positionV>
                  <wp:extent cx="476885" cy="485140"/>
                  <wp:effectExtent l="0" t="0" r="18415" b="10160"/>
                  <wp:wrapNone/>
                  <wp:docPr id="187" name="图片 187"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693056" behindDoc="0" locked="0" layoutInCell="1" allowOverlap="1">
                      <wp:simplePos x="0" y="0"/>
                      <wp:positionH relativeFrom="column">
                        <wp:posOffset>3192780</wp:posOffset>
                      </wp:positionH>
                      <wp:positionV relativeFrom="paragraph">
                        <wp:posOffset>1778635</wp:posOffset>
                      </wp:positionV>
                      <wp:extent cx="560070" cy="27622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5600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177m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4pt;margin-top:140.05pt;height:21.75pt;width:44.1pt;z-index:251693056;mso-width-relative:page;mso-height-relative:page;" filled="f" stroked="f" coordsize="21600,21600" o:gfxdata="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&#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fzMJN2wAAAAsBAAAPAAAAAAAAAAEAIAAAACIAAABk&#10;cnMvZG93bnJldi54bWxQSwECFAAUAAAACACHTuJAUvq1njwCAABpBAAADgAAAAAAAAABACAAAAAq&#10;AQAAZHJzL2Uyb0RvYy54bWxQSwUGAAAAAAYABgBZAQAA2AU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177m</w:t>
                            </w:r>
                          </w:p>
                        </w:txbxContent>
                      </v:textbox>
                    </v:shape>
                  </w:pict>
                </mc:Fallback>
              </mc:AlternateContent>
            </w:r>
            <w:r>
              <w:rPr>
                <w:sz w:val="24"/>
              </w:rPr>
              <mc:AlternateContent>
                <mc:Choice Requires="wps">
                  <w:drawing>
                    <wp:anchor distT="0" distB="0" distL="114300" distR="114300" simplePos="0" relativeHeight="251691008" behindDoc="0" locked="0" layoutInCell="1" allowOverlap="1">
                      <wp:simplePos x="0" y="0"/>
                      <wp:positionH relativeFrom="column">
                        <wp:posOffset>3230880</wp:posOffset>
                      </wp:positionH>
                      <wp:positionV relativeFrom="paragraph">
                        <wp:posOffset>1159510</wp:posOffset>
                      </wp:positionV>
                      <wp:extent cx="560070" cy="27622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5600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129m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4pt;margin-top:91.3pt;height:21.75pt;width:44.1pt;z-index:251691008;mso-width-relative:page;mso-height-relative:page;" filled="f" stroked="f" coordsize="21600,21600" o:gfxdata="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gRglb2wAAAAsBAAAPAAAAAAAAAAEAIAAAACIAAABk&#10;cnMvZG93bnJldi54bWxQSwECFAAUAAAACACHTuJAYzPCjzwCAABpBAAADgAAAAAAAAABACAAAAAq&#10;AQAAZHJzL2Uyb0RvYy54bWxQSwUGAAAAAAYABgBZAQAA2AU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129m</w:t>
                            </w:r>
                          </w:p>
                        </w:txbxContent>
                      </v:textbox>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2839720</wp:posOffset>
                      </wp:positionH>
                      <wp:positionV relativeFrom="paragraph">
                        <wp:posOffset>1383665</wp:posOffset>
                      </wp:positionV>
                      <wp:extent cx="1247775" cy="895350"/>
                      <wp:effectExtent l="3810" t="5080" r="5715" b="13970"/>
                      <wp:wrapNone/>
                      <wp:docPr id="105" name="直接箭头连接符 105"/>
                      <wp:cNvGraphicFramePr/>
                      <a:graphic xmlns:a="http://schemas.openxmlformats.org/drawingml/2006/main">
                        <a:graphicData uri="http://schemas.microsoft.com/office/word/2010/wordprocessingShape">
                          <wps:wsp>
                            <wps:cNvCnPr/>
                            <wps:spPr>
                              <a:xfrm>
                                <a:off x="0" y="0"/>
                                <a:ext cx="1247775" cy="89535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3.6pt;margin-top:108.95pt;height:70.5pt;width:98.25pt;z-index:251692032;mso-width-relative:page;mso-height-relative:page;" filled="f" stroked="t" coordsize="21600,21600" o:gfxdata="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NMP6DYAAAACwEAAA8AAAAAAAAAAQAgAAAA&#10;IgAAAGRycy9kb3ducmV2LnhtbFBLAQIUABQAAAAIAIdO4kAk+jvyCwIAAOgDAAAOAAAAAAAAAAEA&#10;IAAAACcBAABkcnMvZTJvRG9jLnhtbFBLBQYAAAAABgAGAFkBAACkBQ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2858770</wp:posOffset>
                      </wp:positionH>
                      <wp:positionV relativeFrom="paragraph">
                        <wp:posOffset>1382395</wp:posOffset>
                      </wp:positionV>
                      <wp:extent cx="1123950" cy="39370"/>
                      <wp:effectExtent l="0" t="14605" r="0" b="60325"/>
                      <wp:wrapNone/>
                      <wp:docPr id="98" name="直接箭头连接符 98"/>
                      <wp:cNvGraphicFramePr/>
                      <a:graphic xmlns:a="http://schemas.openxmlformats.org/drawingml/2006/main">
                        <a:graphicData uri="http://schemas.microsoft.com/office/word/2010/wordprocessingShape">
                          <wps:wsp>
                            <wps:cNvCnPr/>
                            <wps:spPr>
                              <a:xfrm>
                                <a:off x="0" y="0"/>
                                <a:ext cx="1123950" cy="3937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5.1pt;margin-top:108.85pt;height:3.1pt;width:88.5pt;z-index:251689984;mso-width-relative:page;mso-height-relative:page;" filled="f" stroked="t" coordsize="21600,21600" o:gfxdata="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MdB6XXAAAACwEAAA8AAAAAAAAAAQAgAAAAIgAA&#10;AGRycy9kb3ducmV2LnhtbFBLAQIUABQAAAAIAIdO4kC2QaOnCQIAAOUDAAAOAAAAAAAAAAEAIAAA&#10;ACYBAABkcnMvZTJvRG9jLnhtbFBLBQYAAAAABgAGAFkBAAChBQ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1223010</wp:posOffset>
                      </wp:positionH>
                      <wp:positionV relativeFrom="paragraph">
                        <wp:posOffset>2562225</wp:posOffset>
                      </wp:positionV>
                      <wp:extent cx="1925955" cy="285750"/>
                      <wp:effectExtent l="0" t="0" r="17145" b="0"/>
                      <wp:wrapNone/>
                      <wp:docPr id="90" name="文本框 90"/>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曹家沟水库灌区临时工程布置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3pt;margin-top:201.75pt;height:22.5pt;width:151.65pt;z-index:251688960;mso-width-relative:page;mso-height-relative:page;" fillcolor="#FFFFFF [3212]" filled="t" stroked="f" coordsize="21600,21600" o:gfxdata="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FFzmrXAAAACwEAAA8A&#10;AAAAAAAAAQAgAAAAIgAAAGRycy9kb3ducmV2LnhtbFBLAQIUABQAAAAIAIdO4kBG7YV/UQIAAJEE&#10;AAAOAAAAAAAAAAEAIAAAACYBAABkcnMvZTJvRG9jLnhtbFBLBQYAAAAABgAGAFkBAADpBQ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曹家沟水库灌区临时工程布置</w:t>
                            </w:r>
                          </w:p>
                        </w:txbxContent>
                      </v:textbox>
                    </v:shape>
                  </w:pict>
                </mc:Fallback>
              </mc:AlternateContent>
            </w:r>
            <w:r>
              <w:drawing>
                <wp:inline distT="0" distB="0" distL="114300" distR="114300">
                  <wp:extent cx="3467100" cy="2849880"/>
                  <wp:effectExtent l="0" t="0" r="0" b="7620"/>
                  <wp:docPr id="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pic:cNvPicPr>
                            <a:picLocks noChangeAspect="1"/>
                          </pic:cNvPicPr>
                        </pic:nvPicPr>
                        <pic:blipFill>
                          <a:blip r:embed="rId53"/>
                          <a:stretch>
                            <a:fillRect/>
                          </a:stretch>
                        </pic:blipFill>
                        <pic:spPr>
                          <a:xfrm>
                            <a:off x="0" y="0"/>
                            <a:ext cx="3467100" cy="2849880"/>
                          </a:xfrm>
                          <a:prstGeom prst="rect">
                            <a:avLst/>
                          </a:prstGeom>
                          <a:noFill/>
                          <a:ln>
                            <a:noFill/>
                          </a:ln>
                        </pic:spPr>
                      </pic:pic>
                    </a:graphicData>
                  </a:graphic>
                </wp:inline>
              </w:drawing>
            </w:r>
            <w:r>
              <w:drawing>
                <wp:inline distT="0" distB="0" distL="114300" distR="114300">
                  <wp:extent cx="3572510" cy="2868295"/>
                  <wp:effectExtent l="0" t="0" r="8890" b="8255"/>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54"/>
                          <a:stretch>
                            <a:fillRect/>
                          </a:stretch>
                        </pic:blipFill>
                        <pic:spPr>
                          <a:xfrm>
                            <a:off x="0" y="0"/>
                            <a:ext cx="3572510" cy="2868295"/>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sz w:val="24"/>
              </w:rPr>
              <mc:AlternateContent>
                <mc:Choice Requires="wps">
                  <w:drawing>
                    <wp:anchor distT="0" distB="0" distL="114300" distR="114300" simplePos="0" relativeHeight="251701248" behindDoc="0" locked="0" layoutInCell="1" allowOverlap="1">
                      <wp:simplePos x="0" y="0"/>
                      <wp:positionH relativeFrom="column">
                        <wp:posOffset>1149350</wp:posOffset>
                      </wp:positionH>
                      <wp:positionV relativeFrom="paragraph">
                        <wp:posOffset>2361565</wp:posOffset>
                      </wp:positionV>
                      <wp:extent cx="1925955" cy="285750"/>
                      <wp:effectExtent l="0" t="0" r="17145" b="0"/>
                      <wp:wrapNone/>
                      <wp:docPr id="136" name="文本框 136"/>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刘家坪水库灌区临时工程布置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5pt;margin-top:185.95pt;height:22.5pt;width:151.65pt;z-index:251701248;mso-width-relative:page;mso-height-relative:page;" fillcolor="#FFFFFF [3212]" filled="t" stroked="f" coordsize="21600,21600" o:gfxdata="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f3ueo1gAAAAsBAAAP&#10;AAAAAAAAAAEAIAAAACIAAABkcnMvZG93bnJldi54bWxQSwECFAAUAAAACACHTuJAj9k1ylMCAACT&#10;BAAADgAAAAAAAAABACAAAAAlAQAAZHJzL2Uyb0RvYy54bWxQSwUGAAAAAAYABgBZAQAA6gU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刘家坪水库灌区临时工程布置</w:t>
                            </w:r>
                          </w:p>
                        </w:txbxContent>
                      </v:textbox>
                    </v:shape>
                  </w:pict>
                </mc:Fallback>
              </mc:AlternateContent>
            </w:r>
            <w:r>
              <w:drawing>
                <wp:inline distT="0" distB="0" distL="114300" distR="114300">
                  <wp:extent cx="3592830" cy="2658745"/>
                  <wp:effectExtent l="0" t="0" r="7620" b="8255"/>
                  <wp:docPr id="1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
                          <pic:cNvPicPr>
                            <a:picLocks noChangeAspect="1"/>
                          </pic:cNvPicPr>
                        </pic:nvPicPr>
                        <pic:blipFill>
                          <a:blip r:embed="rId55"/>
                          <a:stretch>
                            <a:fillRect/>
                          </a:stretch>
                        </pic:blipFill>
                        <pic:spPr>
                          <a:xfrm>
                            <a:off x="0" y="0"/>
                            <a:ext cx="3592830" cy="2658745"/>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rFonts w:hint="eastAsia" w:eastAsiaTheme="minorEastAsia"/>
                <w:lang w:eastAsia="zh-CN"/>
              </w:rPr>
              <w:drawing>
                <wp:anchor distT="0" distB="0" distL="114300" distR="114300" simplePos="0" relativeHeight="251754496" behindDoc="0" locked="0" layoutInCell="1" allowOverlap="1">
                  <wp:simplePos x="0" y="0"/>
                  <wp:positionH relativeFrom="column">
                    <wp:posOffset>4206875</wp:posOffset>
                  </wp:positionH>
                  <wp:positionV relativeFrom="paragraph">
                    <wp:posOffset>3175</wp:posOffset>
                  </wp:positionV>
                  <wp:extent cx="476885" cy="485140"/>
                  <wp:effectExtent l="0" t="0" r="18415" b="10160"/>
                  <wp:wrapNone/>
                  <wp:docPr id="164" name="图片 164"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705344" behindDoc="0" locked="0" layoutInCell="1" allowOverlap="1">
                      <wp:simplePos x="0" y="0"/>
                      <wp:positionH relativeFrom="column">
                        <wp:posOffset>1214755</wp:posOffset>
                      </wp:positionH>
                      <wp:positionV relativeFrom="paragraph">
                        <wp:posOffset>2208530</wp:posOffset>
                      </wp:positionV>
                      <wp:extent cx="1925955" cy="285750"/>
                      <wp:effectExtent l="0" t="0" r="17145" b="0"/>
                      <wp:wrapNone/>
                      <wp:docPr id="147" name="文本框 147"/>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烂田湾水库灌区临时工程布置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65pt;margin-top:173.9pt;height:22.5pt;width:151.65pt;z-index:251705344;mso-width-relative:page;mso-height-relative:page;" fillcolor="#FFFFFF [3212]" filled="t" stroked="f" coordsize="21600,21600" o:gfxdata="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ojkT/WAAAACwEAAA8A&#10;AAAAAAAAAQAgAAAAIgAAAGRycy9kb3ducmV2LnhtbFBLAQIUABQAAAAIAIdO4kA1l3b3UgIAAJME&#10;AAAOAAAAAAAAAAEAIAAAACUBAABkcnMvZTJvRG9jLnhtbFBLBQYAAAAABgAGAFkBAADpBQ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烂田湾水库灌区临时工程布置</w:t>
                            </w:r>
                          </w:p>
                        </w:txbxContent>
                      </v:textbox>
                    </v:shape>
                  </w:pict>
                </mc:Fallback>
              </mc:AlternateContent>
            </w:r>
            <w:r>
              <w:rPr>
                <w:sz w:val="24"/>
              </w:rPr>
              <mc:AlternateContent>
                <mc:Choice Requires="wps">
                  <w:drawing>
                    <wp:anchor distT="0" distB="0" distL="114300" distR="114300" simplePos="0" relativeHeight="251708416" behindDoc="0" locked="0" layoutInCell="1" allowOverlap="1">
                      <wp:simplePos x="0" y="0"/>
                      <wp:positionH relativeFrom="column">
                        <wp:posOffset>3278505</wp:posOffset>
                      </wp:positionH>
                      <wp:positionV relativeFrom="paragraph">
                        <wp:posOffset>1005840</wp:posOffset>
                      </wp:positionV>
                      <wp:extent cx="521970" cy="276225"/>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80m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15pt;margin-top:79.2pt;height:21.75pt;width:41.1pt;z-index:251708416;mso-width-relative:page;mso-height-relative:page;" filled="f" stroked="f" coordsize="21600,21600" o:gfxdata="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&#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Jhvs9wAAAALAQAADwAAAAAAAAABACAAAAAiAAAA&#10;ZHJzL2Rvd25yZXYueG1sUEsBAhQAFAAAAAgAh07iQN6bCGI8AgAAaQQAAA4AAAAAAAAAAQAgAAAA&#10;KwEAAGRycy9lMm9Eb2MueG1sUEsFBgAAAAAGAAYAWQEAANk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80m</w:t>
                            </w:r>
                          </w:p>
                        </w:txbxContent>
                      </v:textbox>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2877820</wp:posOffset>
                      </wp:positionH>
                      <wp:positionV relativeFrom="paragraph">
                        <wp:posOffset>1194435</wp:posOffset>
                      </wp:positionV>
                      <wp:extent cx="1228725" cy="66675"/>
                      <wp:effectExtent l="635" t="6350" r="8890" b="60325"/>
                      <wp:wrapNone/>
                      <wp:docPr id="162" name="直接箭头连接符 162"/>
                      <wp:cNvGraphicFramePr/>
                      <a:graphic xmlns:a="http://schemas.openxmlformats.org/drawingml/2006/main">
                        <a:graphicData uri="http://schemas.microsoft.com/office/word/2010/wordprocessingShape">
                          <wps:wsp>
                            <wps:cNvCnPr/>
                            <wps:spPr>
                              <a:xfrm>
                                <a:off x="0" y="0"/>
                                <a:ext cx="1228725" cy="6667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6.6pt;margin-top:94.05pt;height:5.25pt;width:96.75pt;z-index:251706368;mso-width-relative:page;mso-height-relative:page;" filled="f" stroked="t" coordsize="21600,21600" o:gfxdata="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kiTHjdcAAAALAQAADwAAAAAAAAABACAAAAAi&#10;AAAAZHJzL2Rvd25yZXYueG1sUEsBAhQAFAAAAAgAh07iQPzLj3kLAgAA5wMAAA4AAAAAAAAAAQAg&#10;AAAAJgEAAGRycy9lMm9Eb2MueG1sUEsFBgAAAAAGAAYAWQEAAKMFAAAAAA==&#10;">
                      <v:fill on="f" focussize="0,0"/>
                      <v:stroke weight="1pt" color="#FFFF00 [3204]" miterlimit="8" joinstyle="miter" endarrow="open"/>
                      <v:imagedata o:title=""/>
                      <o:lock v:ext="edit" aspectratio="f"/>
                    </v:shape>
                  </w:pict>
                </mc:Fallback>
              </mc:AlternateContent>
            </w:r>
            <w:r>
              <w:drawing>
                <wp:inline distT="0" distB="0" distL="114300" distR="114300">
                  <wp:extent cx="3473450" cy="2482215"/>
                  <wp:effectExtent l="0" t="0" r="12700" b="13335"/>
                  <wp:docPr id="1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
                          <pic:cNvPicPr>
                            <a:picLocks noChangeAspect="1"/>
                          </pic:cNvPicPr>
                        </pic:nvPicPr>
                        <pic:blipFill>
                          <a:blip r:embed="rId56"/>
                          <a:stretch>
                            <a:fillRect/>
                          </a:stretch>
                        </pic:blipFill>
                        <pic:spPr>
                          <a:xfrm>
                            <a:off x="0" y="0"/>
                            <a:ext cx="3473450" cy="2482215"/>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rFonts w:hint="eastAsia" w:eastAsiaTheme="minorEastAsia"/>
                <w:lang w:eastAsia="zh-CN"/>
              </w:rPr>
              <w:drawing>
                <wp:anchor distT="0" distB="0" distL="114300" distR="114300" simplePos="0" relativeHeight="251704320" behindDoc="0" locked="0" layoutInCell="1" allowOverlap="1">
                  <wp:simplePos x="0" y="0"/>
                  <wp:positionH relativeFrom="column">
                    <wp:posOffset>4197350</wp:posOffset>
                  </wp:positionH>
                  <wp:positionV relativeFrom="paragraph">
                    <wp:posOffset>-6350</wp:posOffset>
                  </wp:positionV>
                  <wp:extent cx="476885" cy="485140"/>
                  <wp:effectExtent l="0" t="0" r="18415" b="10160"/>
                  <wp:wrapNone/>
                  <wp:docPr id="204" name="图片 204"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711488" behindDoc="0" locked="0" layoutInCell="1" allowOverlap="1">
                      <wp:simplePos x="0" y="0"/>
                      <wp:positionH relativeFrom="column">
                        <wp:posOffset>2478405</wp:posOffset>
                      </wp:positionH>
                      <wp:positionV relativeFrom="paragraph">
                        <wp:posOffset>1050290</wp:posOffset>
                      </wp:positionV>
                      <wp:extent cx="521970" cy="276225"/>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105m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15pt;margin-top:82.7pt;height:21.75pt;width:41.1pt;z-index:251711488;mso-width-relative:page;mso-height-relative:page;" filled="f" stroked="f" coordsize="21600,21600" o:gfxdata="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&#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zruiHcAAAACwEAAA8AAAAAAAAAAQAgAAAAIgAA&#10;AGRycy9kb3ducmV2LnhtbFBLAQIUABQAAAAIAIdO4kAdVrK6PQIAAGkEAAAOAAAAAAAAAAEAIAAA&#10;ACsBAABkcnMvZTJvRG9jLnhtbFBLBQYAAAAABgAGAFkBAADaBQ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105m</w:t>
                            </w:r>
                          </w:p>
                        </w:txbxContent>
                      </v:textbox>
                    </v:shape>
                  </w:pict>
                </mc:Fallback>
              </mc:AlternateContent>
            </w:r>
            <w:r>
              <w:rPr>
                <w:sz w:val="24"/>
              </w:rPr>
              <mc:AlternateContent>
                <mc:Choice Requires="wps">
                  <w:drawing>
                    <wp:anchor distT="0" distB="0" distL="114300" distR="114300" simplePos="0" relativeHeight="251710464" behindDoc="0" locked="0" layoutInCell="1" allowOverlap="1">
                      <wp:simplePos x="0" y="0"/>
                      <wp:positionH relativeFrom="column">
                        <wp:posOffset>3383280</wp:posOffset>
                      </wp:positionH>
                      <wp:positionV relativeFrom="paragraph">
                        <wp:posOffset>1812290</wp:posOffset>
                      </wp:positionV>
                      <wp:extent cx="521970" cy="276225"/>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23m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4pt;margin-top:142.7pt;height:21.75pt;width:41.1pt;z-index:251710464;mso-width-relative:page;mso-height-relative:page;" filled="f" stroked="f" coordsize="21600,21600" o:gfxdata="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8FY+2gAAAAsBAAAPAAAAAAAAAAEAIAAAACIAAABk&#10;cnMvZG93bnJldi54bWxQSwECFAAUAAAACACHTuJAkFmqjD0CAABpBAAADgAAAAAAAAABACAAAAAp&#10;AQAAZHJzL2Uyb0RvYy54bWxQSwUGAAAAAAYABgBZAQAA2AU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23m</w:t>
                            </w:r>
                          </w:p>
                        </w:txbxContent>
                      </v:textbox>
                    </v:shape>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1223010</wp:posOffset>
                      </wp:positionH>
                      <wp:positionV relativeFrom="paragraph">
                        <wp:posOffset>2548255</wp:posOffset>
                      </wp:positionV>
                      <wp:extent cx="1925955" cy="285750"/>
                      <wp:effectExtent l="0" t="0" r="17145" b="0"/>
                      <wp:wrapNone/>
                      <wp:docPr id="194" name="文本框 194"/>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后头湾水库灌区临时工程布置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3pt;margin-top:200.65pt;height:22.5pt;width:151.65pt;z-index:251707392;mso-width-relative:page;mso-height-relative:page;" fillcolor="#FFFFFF [3212]" filled="t" stroked="f" coordsize="21600,21600" o:gfxdata="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CGSJrWAAAACwEAAA8A&#10;AAAAAAAAAQAgAAAAIgAAAGRycy9kb3ducmV2LnhtbFBLAQIUABQAAAAIAIdO4kAwmSA6UgIAAJME&#10;AAAOAAAAAAAAAAEAIAAAACUBAABkcnMvZTJvRG9jLnhtbFBLBQYAAAAABgAGAFkBAADpBQ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后头湾水库灌区临时工程布置</w:t>
                            </w:r>
                          </w:p>
                        </w:txbxContent>
                      </v:textbox>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2525395</wp:posOffset>
                      </wp:positionH>
                      <wp:positionV relativeFrom="paragraph">
                        <wp:posOffset>500380</wp:posOffset>
                      </wp:positionV>
                      <wp:extent cx="590550" cy="1266825"/>
                      <wp:effectExtent l="8890" t="0" r="10160" b="9525"/>
                      <wp:wrapNone/>
                      <wp:docPr id="208" name="直接箭头连接符 208"/>
                      <wp:cNvGraphicFramePr/>
                      <a:graphic xmlns:a="http://schemas.openxmlformats.org/drawingml/2006/main">
                        <a:graphicData uri="http://schemas.microsoft.com/office/word/2010/wordprocessingShape">
                          <wps:wsp>
                            <wps:cNvCnPr/>
                            <wps:spPr>
                              <a:xfrm flipH="1" flipV="1">
                                <a:off x="0" y="0"/>
                                <a:ext cx="590550" cy="126682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98.85pt;margin-top:39.4pt;height:99.75pt;width:46.5pt;z-index:251713536;mso-width-relative:page;mso-height-relative:page;" filled="f" stroked="t" coordsize="21600,21600" o:gfxdata="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iPSfZAAAACgEAAA8A&#10;AAAAAAAAAQAgAAAAIgAAAGRycy9kb3ducmV2LnhtbFBLAQIUABQAAAAIAIdO4kBNJx6IFgIAAPwD&#10;AAAOAAAAAAAAAAEAIAAAACgBAABkcnMvZTJvRG9jLnhtbFBLBQYAAAAABgAGAFkBAACwBQ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09440" behindDoc="0" locked="0" layoutInCell="1" allowOverlap="1">
                      <wp:simplePos x="0" y="0"/>
                      <wp:positionH relativeFrom="column">
                        <wp:posOffset>3277870</wp:posOffset>
                      </wp:positionH>
                      <wp:positionV relativeFrom="paragraph">
                        <wp:posOffset>1919605</wp:posOffset>
                      </wp:positionV>
                      <wp:extent cx="257175" cy="180975"/>
                      <wp:effectExtent l="3810" t="5080" r="5715" b="4445"/>
                      <wp:wrapNone/>
                      <wp:docPr id="205" name="直接箭头连接符 205"/>
                      <wp:cNvGraphicFramePr/>
                      <a:graphic xmlns:a="http://schemas.openxmlformats.org/drawingml/2006/main">
                        <a:graphicData uri="http://schemas.microsoft.com/office/word/2010/wordprocessingShape">
                          <wps:wsp>
                            <wps:cNvCnPr/>
                            <wps:spPr>
                              <a:xfrm>
                                <a:off x="0" y="0"/>
                                <a:ext cx="257175" cy="18097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58.1pt;margin-top:151.15pt;height:14.25pt;width:20.25pt;z-index:251709440;mso-width-relative:page;mso-height-relative:page;" filled="f" stroked="t" coordsize="21600,21600" o:gfxdata="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vRmPG9cAAAALAQAADwAAAAAAAAABACAAAAAi&#10;AAAAZHJzL2Rvd25yZXYueG1sUEsBAhQAFAAAAAgAh07iQJZtstoLAgAA5wMAAA4AAAAAAAAAAQAg&#10;AAAAJgEAAGRycy9lMm9Eb2MueG1sUEsFBgAAAAAGAAYAWQEAAKMFAAAAAA==&#10;">
                      <v:fill on="f" focussize="0,0"/>
                      <v:stroke weight="1pt" color="#FFFF00 [3204]" miterlimit="8" joinstyle="miter" endarrow="open"/>
                      <v:imagedata o:title=""/>
                      <o:lock v:ext="edit" aspectratio="f"/>
                    </v:shape>
                  </w:pict>
                </mc:Fallback>
              </mc:AlternateContent>
            </w:r>
            <w:r>
              <w:drawing>
                <wp:inline distT="0" distB="0" distL="114300" distR="114300">
                  <wp:extent cx="3456940" cy="2841625"/>
                  <wp:effectExtent l="0" t="0" r="10160" b="15875"/>
                  <wp:docPr id="1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2"/>
                          <pic:cNvPicPr>
                            <a:picLocks noChangeAspect="1"/>
                          </pic:cNvPicPr>
                        </pic:nvPicPr>
                        <pic:blipFill>
                          <a:blip r:embed="rId57"/>
                          <a:stretch>
                            <a:fillRect/>
                          </a:stretch>
                        </pic:blipFill>
                        <pic:spPr>
                          <a:xfrm>
                            <a:off x="0" y="0"/>
                            <a:ext cx="3456940" cy="2841625"/>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sz w:val="24"/>
              </w:rPr>
              <mc:AlternateContent>
                <mc:Choice Requires="wps">
                  <w:drawing>
                    <wp:anchor distT="0" distB="0" distL="114300" distR="114300" simplePos="0" relativeHeight="251716608" behindDoc="0" locked="0" layoutInCell="1" allowOverlap="1">
                      <wp:simplePos x="0" y="0"/>
                      <wp:positionH relativeFrom="column">
                        <wp:posOffset>1232535</wp:posOffset>
                      </wp:positionH>
                      <wp:positionV relativeFrom="paragraph">
                        <wp:posOffset>2529205</wp:posOffset>
                      </wp:positionV>
                      <wp:extent cx="1925955" cy="285750"/>
                      <wp:effectExtent l="0" t="0" r="17145" b="0"/>
                      <wp:wrapNone/>
                      <wp:docPr id="211" name="文本框 211"/>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长征水库灌区临时工程布置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7.05pt;margin-top:199.15pt;height:22.5pt;width:151.65pt;z-index:251716608;mso-width-relative:page;mso-height-relative:page;" fillcolor="#FFFFFF [3212]" filled="t" stroked="f" coordsize="21600,21600" o:gfxdata="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FTs4tYAAAALAQAADwAA&#10;AAAAAAABACAAAAAiAAAAZHJzL2Rvd25yZXYueG1sUEsBAhQAFAAAAAgAh07iQHFs9jpRAgAAkwQA&#10;AA4AAAAAAAAAAQAgAAAAJQEAAGRycy9lMm9Eb2MueG1sUEsFBgAAAAAGAAYAWQEAAOgFA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长征水库灌区临时工程布置</w:t>
                            </w:r>
                          </w:p>
                        </w:txbxContent>
                      </v:textbox>
                    </v:shape>
                  </w:pict>
                </mc:Fallback>
              </mc:AlternateContent>
            </w:r>
            <w:r>
              <w:rPr>
                <w:sz w:val="24"/>
              </w:rPr>
              <mc:AlternateContent>
                <mc:Choice Requires="wps">
                  <w:drawing>
                    <wp:anchor distT="0" distB="0" distL="114300" distR="114300" simplePos="0" relativeHeight="251714560" behindDoc="0" locked="0" layoutInCell="1" allowOverlap="1">
                      <wp:simplePos x="0" y="0"/>
                      <wp:positionH relativeFrom="column">
                        <wp:posOffset>2754630</wp:posOffset>
                      </wp:positionH>
                      <wp:positionV relativeFrom="paragraph">
                        <wp:posOffset>1621790</wp:posOffset>
                      </wp:positionV>
                      <wp:extent cx="521970" cy="276225"/>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48m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9pt;margin-top:127.7pt;height:21.75pt;width:41.1pt;z-index:251714560;mso-width-relative:page;mso-height-relative:page;" filled="f" stroked="f" coordsize="21600,21600" o:gfxdata="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wdlJHcAAAACwEAAA8AAAAAAAAAAQAgAAAAIgAA&#10;AGRycy9kb3ducmV2LnhtbFBLAQIUABQAAAAIAIdO4kC7j+3xPQIAAGkEAAAOAAAAAAAAAAEAIAAA&#10;ACsBAABkcnMvZTJvRG9jLnhtbFBLBQYAAAAABgAGAFkBAADaBQ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48m</w:t>
                            </w:r>
                          </w:p>
                        </w:txbxContent>
                      </v:textbox>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2592070</wp:posOffset>
                      </wp:positionH>
                      <wp:positionV relativeFrom="paragraph">
                        <wp:posOffset>1460500</wp:posOffset>
                      </wp:positionV>
                      <wp:extent cx="466725" cy="523875"/>
                      <wp:effectExtent l="0" t="4445" r="9525" b="5080"/>
                      <wp:wrapNone/>
                      <wp:docPr id="212" name="直接箭头连接符 212"/>
                      <wp:cNvGraphicFramePr/>
                      <a:graphic xmlns:a="http://schemas.openxmlformats.org/drawingml/2006/main">
                        <a:graphicData uri="http://schemas.microsoft.com/office/word/2010/wordprocessingShape">
                          <wps:wsp>
                            <wps:cNvCnPr/>
                            <wps:spPr>
                              <a:xfrm flipH="1">
                                <a:off x="0" y="0"/>
                                <a:ext cx="466725" cy="52387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04.1pt;margin-top:115pt;height:41.25pt;width:36.75pt;z-index:251717632;mso-width-relative:page;mso-height-relative:page;" filled="f" stroked="t" coordsize="21600,21600" o:gfxdata="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ckV57YAAAACwEAAA8AAAAA&#10;AAAAAQAgAAAAIgAAAGRycy9kb3ducmV2LnhtbFBLAQIUABQAAAAIAIdO4kAZ0sy4FAIAAPEDAAAO&#10;AAAAAAAAAAEAIAAAACcBAABkcnMvZTJvRG9jLnhtbFBLBQYAAAAABgAGAFkBAACtBQAAAAA=&#10;">
                      <v:fill on="f" focussize="0,0"/>
                      <v:stroke weight="1pt" color="#FFFF00 [3204]" miterlimit="8" joinstyle="miter" endarrow="open"/>
                      <v:imagedata o:title=""/>
                      <o:lock v:ext="edit" aspectratio="f"/>
                    </v:shape>
                  </w:pict>
                </mc:Fallback>
              </mc:AlternateContent>
            </w:r>
            <w:r>
              <w:rPr>
                <w:rFonts w:hint="eastAsia" w:eastAsiaTheme="minorEastAsia"/>
                <w:lang w:eastAsia="zh-CN"/>
              </w:rPr>
              <w:drawing>
                <wp:anchor distT="0" distB="0" distL="114300" distR="114300" simplePos="0" relativeHeight="251712512" behindDoc="0" locked="0" layoutInCell="1" allowOverlap="1">
                  <wp:simplePos x="0" y="0"/>
                  <wp:positionH relativeFrom="column">
                    <wp:posOffset>4187825</wp:posOffset>
                  </wp:positionH>
                  <wp:positionV relativeFrom="paragraph">
                    <wp:posOffset>3175</wp:posOffset>
                  </wp:positionV>
                  <wp:extent cx="476885" cy="485140"/>
                  <wp:effectExtent l="0" t="0" r="18415" b="10160"/>
                  <wp:wrapNone/>
                  <wp:docPr id="210" name="图片 210"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drawing>
                <wp:inline distT="0" distB="0" distL="114300" distR="114300">
                  <wp:extent cx="3422015" cy="2816225"/>
                  <wp:effectExtent l="0" t="0" r="6985" b="3175"/>
                  <wp:docPr id="20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3"/>
                          <pic:cNvPicPr>
                            <a:picLocks noChangeAspect="1"/>
                          </pic:cNvPicPr>
                        </pic:nvPicPr>
                        <pic:blipFill>
                          <a:blip r:embed="rId58"/>
                          <a:stretch>
                            <a:fillRect/>
                          </a:stretch>
                        </pic:blipFill>
                        <pic:spPr>
                          <a:xfrm>
                            <a:off x="0" y="0"/>
                            <a:ext cx="3422015" cy="2816225"/>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sz w:val="24"/>
              </w:rPr>
              <mc:AlternateContent>
                <mc:Choice Requires="wps">
                  <w:drawing>
                    <wp:anchor distT="0" distB="0" distL="114300" distR="114300" simplePos="0" relativeHeight="251726848" behindDoc="0" locked="0" layoutInCell="1" allowOverlap="1">
                      <wp:simplePos x="0" y="0"/>
                      <wp:positionH relativeFrom="column">
                        <wp:posOffset>1251585</wp:posOffset>
                      </wp:positionH>
                      <wp:positionV relativeFrom="paragraph">
                        <wp:posOffset>2633345</wp:posOffset>
                      </wp:positionV>
                      <wp:extent cx="1925955" cy="285750"/>
                      <wp:effectExtent l="0" t="0" r="17145" b="0"/>
                      <wp:wrapNone/>
                      <wp:docPr id="222" name="文本框 222"/>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南六水库灌区临时工程布置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55pt;margin-top:207.35pt;height:22.5pt;width:151.65pt;z-index:251726848;mso-width-relative:page;mso-height-relative:page;" fillcolor="#FFFFFF [3212]" filled="t" stroked="f" coordsize="21600,21600" o:gfxdata="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aOM+HWAAAACwEAAA8A&#10;AAAAAAAAAQAgAAAAIgAAAGRycy9kb3ducmV2LnhtbFBLAQIUABQAAAAIAIdO4kCtb5QbUgIAAJME&#10;AAAOAAAAAAAAAAEAIAAAACUBAABkcnMvZTJvRG9jLnhtbFBLBQYAAAAABgAGAFkBAADpBQ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南六水库灌区临时工程布置</w:t>
                            </w:r>
                          </w:p>
                        </w:txbxContent>
                      </v:textbox>
                    </v:shape>
                  </w:pict>
                </mc:Fallback>
              </mc:AlternateContent>
            </w:r>
            <w:r>
              <w:rPr>
                <w:rFonts w:hint="eastAsia" w:eastAsiaTheme="minorEastAsia"/>
                <w:lang w:eastAsia="zh-CN"/>
              </w:rPr>
              <w:drawing>
                <wp:anchor distT="0" distB="0" distL="114300" distR="114300" simplePos="0" relativeHeight="251722752" behindDoc="0" locked="0" layoutInCell="1" allowOverlap="1">
                  <wp:simplePos x="0" y="0"/>
                  <wp:positionH relativeFrom="column">
                    <wp:posOffset>4159250</wp:posOffset>
                  </wp:positionH>
                  <wp:positionV relativeFrom="paragraph">
                    <wp:posOffset>2540</wp:posOffset>
                  </wp:positionV>
                  <wp:extent cx="476885" cy="485140"/>
                  <wp:effectExtent l="0" t="0" r="18415" b="10160"/>
                  <wp:wrapNone/>
                  <wp:docPr id="221" name="图片 221"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720704" behindDoc="0" locked="0" layoutInCell="1" allowOverlap="1">
                      <wp:simplePos x="0" y="0"/>
                      <wp:positionH relativeFrom="column">
                        <wp:posOffset>2383155</wp:posOffset>
                      </wp:positionH>
                      <wp:positionV relativeFrom="paragraph">
                        <wp:posOffset>849630</wp:posOffset>
                      </wp:positionV>
                      <wp:extent cx="521970" cy="276225"/>
                      <wp:effectExtent l="0" t="0" r="0" b="0"/>
                      <wp:wrapNone/>
                      <wp:docPr id="220" name="文本框 220"/>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51m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7.65pt;margin-top:66.9pt;height:21.75pt;width:41.1pt;z-index:251720704;mso-width-relative:page;mso-height-relative:page;" filled="f" stroked="f" coordsize="21600,21600" o:gfxdata="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JEgW2wAAAAsBAAAPAAAAAAAAAAEAIAAAACIAAABk&#10;cnMvZG93bnJldi54bWxQSwECFAAUAAAACACHTuJA27H0xTwCAABpBAAADgAAAAAAAAABACAAAAAq&#10;AQAAZHJzL2Uyb0RvYy54bWxQSwUGAAAAAAYABgBZAQAA2AU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51m</w:t>
                            </w:r>
                          </w:p>
                        </w:txbxContent>
                      </v:textbox>
                    </v:shape>
                  </w:pict>
                </mc:Fallback>
              </mc:AlternateContent>
            </w:r>
            <w:r>
              <w:rPr>
                <w:sz w:val="24"/>
              </w:rPr>
              <mc:AlternateContent>
                <mc:Choice Requires="wps">
                  <w:drawing>
                    <wp:anchor distT="0" distB="0" distL="114300" distR="114300" simplePos="0" relativeHeight="251720704" behindDoc="0" locked="0" layoutInCell="1" allowOverlap="1">
                      <wp:simplePos x="0" y="0"/>
                      <wp:positionH relativeFrom="column">
                        <wp:posOffset>3097530</wp:posOffset>
                      </wp:positionH>
                      <wp:positionV relativeFrom="paragraph">
                        <wp:posOffset>1392555</wp:posOffset>
                      </wp:positionV>
                      <wp:extent cx="521970" cy="276225"/>
                      <wp:effectExtent l="0" t="0" r="0" b="0"/>
                      <wp:wrapNone/>
                      <wp:docPr id="219" name="文本框 219"/>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32m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9pt;margin-top:109.65pt;height:21.75pt;width:41.1pt;z-index:251720704;mso-width-relative:page;mso-height-relative:page;" filled="f" stroked="f" coordsize="21600,21600" o:gfxdata="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&#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hBactwAAAALAQAADwAAAAAAAAABACAAAAAiAAAA&#10;ZHJzL2Rvd25yZXYueG1sUEsBAhQAFAAAAAgAh07iQIjqbPY8AgAAaQQAAA4AAAAAAAAAAQAgAAAA&#10;KwEAAGRycy9lMm9Eb2MueG1sUEsFBgAAAAAGAAYAWQEAANk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32m</w:t>
                            </w:r>
                          </w:p>
                        </w:txbxContent>
                      </v:textbox>
                    </v:shape>
                  </w:pict>
                </mc:Fallback>
              </mc:AlternateContent>
            </w:r>
            <w:r>
              <w:rPr>
                <w:sz w:val="24"/>
              </w:rPr>
              <mc:AlternateContent>
                <mc:Choice Requires="wps">
                  <w:drawing>
                    <wp:anchor distT="0" distB="0" distL="114300" distR="114300" simplePos="0" relativeHeight="251723776" behindDoc="0" locked="0" layoutInCell="1" allowOverlap="1">
                      <wp:simplePos x="0" y="0"/>
                      <wp:positionH relativeFrom="column">
                        <wp:posOffset>2973705</wp:posOffset>
                      </wp:positionH>
                      <wp:positionV relativeFrom="paragraph">
                        <wp:posOffset>925830</wp:posOffset>
                      </wp:positionV>
                      <wp:extent cx="521970" cy="276225"/>
                      <wp:effectExtent l="0" t="0" r="0" b="0"/>
                      <wp:wrapNone/>
                      <wp:docPr id="218" name="文本框 218"/>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38m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15pt;margin-top:72.9pt;height:21.75pt;width:41.1pt;z-index:251723776;mso-width-relative:page;mso-height-relative:page;" filled="f" stroked="f" coordsize="21600,21600" o:gfxdata="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&#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m8n29sAAAALAQAADwAAAAAAAAABACAAAAAiAAAA&#10;ZHJzL2Rvd25yZXYueG1sUEsBAhQAFAAAAAgAh07iQAXldMA9AgAAaQQAAA4AAAAAAAAAAQAgAAAA&#10;KgEAAGRycy9lMm9Eb2MueG1sUEsFBgAAAAAGAAYAWQEAANk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38m</w:t>
                            </w:r>
                          </w:p>
                        </w:txbxContent>
                      </v:textbox>
                    </v:shape>
                  </w:pict>
                </mc:Fallback>
              </mc:AlternateContent>
            </w:r>
            <w:r>
              <w:rPr>
                <w:sz w:val="24"/>
              </w:rPr>
              <mc:AlternateContent>
                <mc:Choice Requires="wps">
                  <w:drawing>
                    <wp:anchor distT="0" distB="0" distL="114300" distR="114300" simplePos="0" relativeHeight="251719680" behindDoc="0" locked="0" layoutInCell="1" allowOverlap="1">
                      <wp:simplePos x="0" y="0"/>
                      <wp:positionH relativeFrom="column">
                        <wp:posOffset>2239645</wp:posOffset>
                      </wp:positionH>
                      <wp:positionV relativeFrom="paragraph">
                        <wp:posOffset>747395</wp:posOffset>
                      </wp:positionV>
                      <wp:extent cx="561975" cy="714375"/>
                      <wp:effectExtent l="0" t="0" r="9525" b="9525"/>
                      <wp:wrapNone/>
                      <wp:docPr id="217" name="直接箭头连接符 217"/>
                      <wp:cNvGraphicFramePr/>
                      <a:graphic xmlns:a="http://schemas.openxmlformats.org/drawingml/2006/main">
                        <a:graphicData uri="http://schemas.microsoft.com/office/word/2010/wordprocessingShape">
                          <wps:wsp>
                            <wps:cNvCnPr/>
                            <wps:spPr>
                              <a:xfrm flipH="1" flipV="1">
                                <a:off x="0" y="0"/>
                                <a:ext cx="561975" cy="71437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76.35pt;margin-top:58.85pt;height:56.25pt;width:44.25pt;z-index:251719680;mso-width-relative:page;mso-height-relative:page;" filled="f" stroked="t" coordsize="21600,21600" o:gfxdata="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Krv3NdkAAAALAQAA&#10;DwAAAAAAAAABACAAAAAiAAAAZHJzL2Rvd25yZXYueG1sUEsBAhQAFAAAAAgAh07iQEWMGu4YAgAA&#10;+wMAAA4AAAAAAAAAAQAgAAAAKAEAAGRycy9lMm9Eb2MueG1sUEsFBgAAAAAGAAYAWQEAALIFAAAA&#10;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15584" behindDoc="0" locked="0" layoutInCell="1" allowOverlap="1">
                      <wp:simplePos x="0" y="0"/>
                      <wp:positionH relativeFrom="column">
                        <wp:posOffset>3039745</wp:posOffset>
                      </wp:positionH>
                      <wp:positionV relativeFrom="paragraph">
                        <wp:posOffset>1414145</wp:posOffset>
                      </wp:positionV>
                      <wp:extent cx="561975" cy="76200"/>
                      <wp:effectExtent l="635" t="6350" r="8890" b="50800"/>
                      <wp:wrapNone/>
                      <wp:docPr id="216" name="直接箭头连接符 216"/>
                      <wp:cNvGraphicFramePr/>
                      <a:graphic xmlns:a="http://schemas.openxmlformats.org/drawingml/2006/main">
                        <a:graphicData uri="http://schemas.microsoft.com/office/word/2010/wordprocessingShape">
                          <wps:wsp>
                            <wps:cNvCnPr/>
                            <wps:spPr>
                              <a:xfrm>
                                <a:off x="0" y="0"/>
                                <a:ext cx="561975" cy="7620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9.35pt;margin-top:111.35pt;height:6pt;width:44.25pt;z-index:251715584;mso-width-relative:page;mso-height-relative:page;" filled="f" stroked="t" coordsize="21600,21600" o:gfxdata="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l+jt11wAAAAsBAAAPAAAAAAAAAAEAIAAAACIA&#10;AABkcnMvZG93bnJldi54bWxQSwECFAAUAAAACACHTuJAUgMENwoCAADmAwAADgAAAAAAAAABACAA&#10;AAAmAQAAZHJzL2Uyb0RvYy54bWxQSwUGAAAAAAYABgBZAQAAogU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3020695</wp:posOffset>
                      </wp:positionH>
                      <wp:positionV relativeFrom="paragraph">
                        <wp:posOffset>766445</wp:posOffset>
                      </wp:positionV>
                      <wp:extent cx="28575" cy="626745"/>
                      <wp:effectExtent l="26035" t="0" r="59690" b="1905"/>
                      <wp:wrapNone/>
                      <wp:docPr id="215" name="直接箭头连接符 215"/>
                      <wp:cNvGraphicFramePr/>
                      <a:graphic xmlns:a="http://schemas.openxmlformats.org/drawingml/2006/main">
                        <a:graphicData uri="http://schemas.microsoft.com/office/word/2010/wordprocessingShape">
                          <wps:wsp>
                            <wps:cNvCnPr/>
                            <wps:spPr>
                              <a:xfrm flipV="1">
                                <a:off x="0" y="0"/>
                                <a:ext cx="28575" cy="62674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37.85pt;margin-top:60.35pt;height:49.35pt;width:2.25pt;z-index:251718656;mso-width-relative:page;mso-height-relative:page;" filled="f" stroked="t" coordsize="21600,21600" o:gfxdata="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kW8BZ1gAAAAsBAAAPAAAAAAAAAAEA&#10;IAAAACIAAABkcnMvZG93bnJldi54bWxQSwECFAAUAAAACACHTuJAgvvucRECAADwAwAADgAAAAAA&#10;AAABACAAAAAlAQAAZHJzL2Uyb0RvYy54bWxQSwUGAAAAAAYABgBZAQAAqAUAAAAA&#10;">
                      <v:fill on="f" focussize="0,0"/>
                      <v:stroke weight="1pt" color="#FFFF00 [3204]" miterlimit="8" joinstyle="miter" endarrow="open"/>
                      <v:imagedata o:title=""/>
                      <o:lock v:ext="edit" aspectratio="f"/>
                    </v:shape>
                  </w:pict>
                </mc:Fallback>
              </mc:AlternateContent>
            </w:r>
            <w:r>
              <w:drawing>
                <wp:inline distT="0" distB="0" distL="114300" distR="114300">
                  <wp:extent cx="3379470" cy="2912110"/>
                  <wp:effectExtent l="0" t="0" r="11430" b="2540"/>
                  <wp:docPr id="2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4"/>
                          <pic:cNvPicPr>
                            <a:picLocks noChangeAspect="1"/>
                          </pic:cNvPicPr>
                        </pic:nvPicPr>
                        <pic:blipFill>
                          <a:blip r:embed="rId59"/>
                          <a:stretch>
                            <a:fillRect/>
                          </a:stretch>
                        </pic:blipFill>
                        <pic:spPr>
                          <a:xfrm>
                            <a:off x="0" y="0"/>
                            <a:ext cx="3379470" cy="2912110"/>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rFonts w:hint="eastAsia" w:eastAsiaTheme="minorEastAsia"/>
                <w:lang w:eastAsia="zh-CN"/>
              </w:rPr>
              <w:drawing>
                <wp:anchor distT="0" distB="0" distL="114300" distR="114300" simplePos="0" relativeHeight="251737088" behindDoc="0" locked="0" layoutInCell="1" allowOverlap="1">
                  <wp:simplePos x="0" y="0"/>
                  <wp:positionH relativeFrom="column">
                    <wp:posOffset>4168775</wp:posOffset>
                  </wp:positionH>
                  <wp:positionV relativeFrom="paragraph">
                    <wp:posOffset>2971165</wp:posOffset>
                  </wp:positionV>
                  <wp:extent cx="476885" cy="485140"/>
                  <wp:effectExtent l="0" t="0" r="18415" b="10160"/>
                  <wp:wrapNone/>
                  <wp:docPr id="233" name="图片 233"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rFonts w:hint="eastAsia" w:eastAsiaTheme="minorEastAsia"/>
                <w:lang w:eastAsia="zh-CN"/>
              </w:rPr>
              <w:drawing>
                <wp:anchor distT="0" distB="0" distL="114300" distR="114300" simplePos="0" relativeHeight="251727872" behindDoc="0" locked="0" layoutInCell="1" allowOverlap="1">
                  <wp:simplePos x="0" y="0"/>
                  <wp:positionH relativeFrom="column">
                    <wp:posOffset>4159250</wp:posOffset>
                  </wp:positionH>
                  <wp:positionV relativeFrom="paragraph">
                    <wp:posOffset>-635</wp:posOffset>
                  </wp:positionV>
                  <wp:extent cx="476885" cy="485140"/>
                  <wp:effectExtent l="0" t="0" r="18415" b="10160"/>
                  <wp:wrapNone/>
                  <wp:docPr id="229" name="图片 229"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728896" behindDoc="0" locked="0" layoutInCell="1" allowOverlap="1">
                      <wp:simplePos x="0" y="0"/>
                      <wp:positionH relativeFrom="column">
                        <wp:posOffset>1251585</wp:posOffset>
                      </wp:positionH>
                      <wp:positionV relativeFrom="paragraph">
                        <wp:posOffset>2592070</wp:posOffset>
                      </wp:positionV>
                      <wp:extent cx="1925955" cy="285750"/>
                      <wp:effectExtent l="0" t="0" r="17145" b="0"/>
                      <wp:wrapNone/>
                      <wp:docPr id="228" name="文本框 228"/>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九军坪水库灌区临时工程布置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55pt;margin-top:204.1pt;height:22.5pt;width:151.65pt;z-index:251728896;mso-width-relative:page;mso-height-relative:page;" fillcolor="#FFFFFF [3212]" filled="t" stroked="f" coordsize="21600,21600" o:gfxdata="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9u5XxNUAAAALAQAADwAA&#10;AAAAAAABACAAAAAiAAAAZHJzL2Rvd25yZXYueG1sUEsBAhQAFAAAAAgAh07iQHe3f7pSAgAAkwQA&#10;AA4AAAAAAAAAAQAgAAAAJAEAAGRycy9lMm9Eb2MueG1sUEsFBgAAAAAGAAYAWQEAAOgFA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九军坪水库灌区临时工程布置</w:t>
                            </w:r>
                          </w:p>
                        </w:txbxContent>
                      </v:textbox>
                    </v:shape>
                  </w:pict>
                </mc:Fallback>
              </mc:AlternateContent>
            </w:r>
            <w:r>
              <w:rPr>
                <w:sz w:val="24"/>
              </w:rPr>
              <mc:AlternateContent>
                <mc:Choice Requires="wps">
                  <w:drawing>
                    <wp:anchor distT="0" distB="0" distL="114300" distR="114300" simplePos="0" relativeHeight="251725824" behindDoc="0" locked="0" layoutInCell="1" allowOverlap="1">
                      <wp:simplePos x="0" y="0"/>
                      <wp:positionH relativeFrom="column">
                        <wp:posOffset>3678555</wp:posOffset>
                      </wp:positionH>
                      <wp:positionV relativeFrom="paragraph">
                        <wp:posOffset>751205</wp:posOffset>
                      </wp:positionV>
                      <wp:extent cx="427355" cy="732155"/>
                      <wp:effectExtent l="0" t="0" r="0" b="0"/>
                      <wp:wrapNone/>
                      <wp:docPr id="227" name="文本框 227"/>
                      <wp:cNvGraphicFramePr/>
                      <a:graphic xmlns:a="http://schemas.openxmlformats.org/drawingml/2006/main">
                        <a:graphicData uri="http://schemas.microsoft.com/office/word/2010/wordprocessingShape">
                          <wps:wsp>
                            <wps:cNvSpPr txBox="1"/>
                            <wps:spPr>
                              <a:xfrm>
                                <a:off x="0" y="0"/>
                                <a:ext cx="427355" cy="7321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00B050"/>
                                      <w:lang w:val="en-US" w:eastAsia="zh-CN"/>
                                    </w:rPr>
                                  </w:pPr>
                                  <w:r>
                                    <w:rPr>
                                      <w:rFonts w:hint="eastAsia"/>
                                      <w:color w:val="00B050"/>
                                      <w:lang w:val="en-US" w:eastAsia="zh-CN"/>
                                    </w:rPr>
                                    <w:t>山</w:t>
                                  </w:r>
                                </w:p>
                                <w:p>
                                  <w:pPr>
                                    <w:rPr>
                                      <w:rFonts w:hint="eastAsia"/>
                                      <w:color w:val="00B050"/>
                                      <w:lang w:val="en-US" w:eastAsia="zh-CN"/>
                                    </w:rPr>
                                  </w:pPr>
                                  <w:r>
                                    <w:rPr>
                                      <w:rFonts w:hint="eastAsia"/>
                                      <w:color w:val="00B050"/>
                                      <w:lang w:val="en-US" w:eastAsia="zh-CN"/>
                                    </w:rPr>
                                    <w:t>坪</w:t>
                                  </w:r>
                                </w:p>
                                <w:p>
                                  <w:pPr>
                                    <w:rPr>
                                      <w:rFonts w:hint="default" w:eastAsiaTheme="minorEastAsia"/>
                                      <w:color w:val="00B050"/>
                                      <w:lang w:val="en-US" w:eastAsia="zh-CN"/>
                                    </w:rPr>
                                  </w:pPr>
                                  <w:r>
                                    <w:rPr>
                                      <w:rFonts w:hint="eastAsia"/>
                                      <w:color w:val="00B050"/>
                                      <w:lang w:val="en-US" w:eastAsia="zh-CN"/>
                                    </w:rPr>
                                    <w:t>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65pt;margin-top:59.15pt;height:57.65pt;width:33.65pt;z-index:251725824;mso-width-relative:page;mso-height-relative:page;" filled="f" stroked="f" coordsize="21600,21600" o:gfxdata="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V6gn62wAAAAsBAAAPAAAAAAAAAAEAIAAAACIAAABk&#10;cnMvZG93bnJldi54bWxQSwECFAAUAAAACACHTuJA3eqhgjwCAABpBAAADgAAAAAAAAABACAAAAAq&#10;AQAAZHJzL2Uyb0RvYy54bWxQSwUGAAAAAAYABgBZAQAA2AUAAAAA&#10;">
                      <v:fill on="f" focussize="0,0"/>
                      <v:stroke on="f" weight="0.5pt"/>
                      <v:imagedata o:title=""/>
                      <o:lock v:ext="edit" aspectratio="f"/>
                      <v:textbox>
                        <w:txbxContent>
                          <w:p>
                            <w:pPr>
                              <w:rPr>
                                <w:rFonts w:hint="eastAsia"/>
                                <w:color w:val="00B050"/>
                                <w:lang w:val="en-US" w:eastAsia="zh-CN"/>
                              </w:rPr>
                            </w:pPr>
                            <w:r>
                              <w:rPr>
                                <w:rFonts w:hint="eastAsia"/>
                                <w:color w:val="00B050"/>
                                <w:lang w:val="en-US" w:eastAsia="zh-CN"/>
                              </w:rPr>
                              <w:t>山</w:t>
                            </w:r>
                          </w:p>
                          <w:p>
                            <w:pPr>
                              <w:rPr>
                                <w:rFonts w:hint="eastAsia"/>
                                <w:color w:val="00B050"/>
                                <w:lang w:val="en-US" w:eastAsia="zh-CN"/>
                              </w:rPr>
                            </w:pPr>
                            <w:r>
                              <w:rPr>
                                <w:rFonts w:hint="eastAsia"/>
                                <w:color w:val="00B050"/>
                                <w:lang w:val="en-US" w:eastAsia="zh-CN"/>
                              </w:rPr>
                              <w:t>坪</w:t>
                            </w:r>
                          </w:p>
                          <w:p>
                            <w:pPr>
                              <w:rPr>
                                <w:rFonts w:hint="default" w:eastAsiaTheme="minorEastAsia"/>
                                <w:color w:val="00B050"/>
                                <w:lang w:val="en-US" w:eastAsia="zh-CN"/>
                              </w:rPr>
                            </w:pPr>
                            <w:r>
                              <w:rPr>
                                <w:rFonts w:hint="eastAsia"/>
                                <w:color w:val="00B050"/>
                                <w:lang w:val="en-US" w:eastAsia="zh-CN"/>
                              </w:rPr>
                              <w:t>塘</w:t>
                            </w:r>
                          </w:p>
                        </w:txbxContent>
                      </v:textbox>
                    </v:shape>
                  </w:pict>
                </mc:Fallback>
              </mc:AlternateContent>
            </w:r>
            <w:r>
              <w:rPr>
                <w:sz w:val="24"/>
              </w:rPr>
              <mc:AlternateContent>
                <mc:Choice Requires="wps">
                  <w:drawing>
                    <wp:anchor distT="0" distB="0" distL="114300" distR="114300" simplePos="0" relativeHeight="251724800" behindDoc="0" locked="0" layoutInCell="1" allowOverlap="1">
                      <wp:simplePos x="0" y="0"/>
                      <wp:positionH relativeFrom="column">
                        <wp:posOffset>2402205</wp:posOffset>
                      </wp:positionH>
                      <wp:positionV relativeFrom="paragraph">
                        <wp:posOffset>808355</wp:posOffset>
                      </wp:positionV>
                      <wp:extent cx="521970" cy="276225"/>
                      <wp:effectExtent l="0" t="0" r="0" b="0"/>
                      <wp:wrapNone/>
                      <wp:docPr id="226" name="文本框 226"/>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104m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15pt;margin-top:63.65pt;height:21.75pt;width:41.1pt;z-index:251724800;mso-width-relative:page;mso-height-relative:page;" filled="f" stroked="f" coordsize="21600,21600" o:gfxdata="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&#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iYEktsAAAALAQAADwAAAAAAAAABACAAAAAiAAAA&#10;ZHJzL2Rvd25yZXYueG1sUEsBAhQAFAAAAAgAh07iQPWQpHE9AgAAaQQAAA4AAAAAAAAAAQAgAAAA&#10;KgEAAGRycy9lMm9Eb2MueG1sUEsFBgAAAAAGAAYAWQEAANk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104m</w:t>
                            </w:r>
                          </w:p>
                        </w:txbxContent>
                      </v:textbox>
                    </v:shape>
                  </w:pict>
                </mc:Fallback>
              </mc:AlternateContent>
            </w:r>
            <w:r>
              <w:rPr>
                <w:sz w:val="24"/>
              </w:rPr>
              <mc:AlternateContent>
                <mc:Choice Requires="wps">
                  <w:drawing>
                    <wp:anchor distT="0" distB="0" distL="114300" distR="114300" simplePos="0" relativeHeight="251721728" behindDoc="0" locked="0" layoutInCell="1" allowOverlap="1">
                      <wp:simplePos x="0" y="0"/>
                      <wp:positionH relativeFrom="column">
                        <wp:posOffset>1858645</wp:posOffset>
                      </wp:positionH>
                      <wp:positionV relativeFrom="paragraph">
                        <wp:posOffset>631825</wp:posOffset>
                      </wp:positionV>
                      <wp:extent cx="1352550" cy="836295"/>
                      <wp:effectExtent l="0" t="0" r="19050" b="20955"/>
                      <wp:wrapNone/>
                      <wp:docPr id="225" name="直接箭头连接符 225"/>
                      <wp:cNvGraphicFramePr/>
                      <a:graphic xmlns:a="http://schemas.openxmlformats.org/drawingml/2006/main">
                        <a:graphicData uri="http://schemas.microsoft.com/office/word/2010/wordprocessingShape">
                          <wps:wsp>
                            <wps:cNvCnPr/>
                            <wps:spPr>
                              <a:xfrm flipH="1" flipV="1">
                                <a:off x="0" y="0"/>
                                <a:ext cx="1352550" cy="83629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46.35pt;margin-top:49.75pt;height:65.85pt;width:106.5pt;z-index:251721728;mso-width-relative:page;mso-height-relative:page;" filled="f" stroked="t" coordsize="21600,21600" o:gfxdata="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cDPJjYAAAACgEAAA8A&#10;AAAAAAAAAQAgAAAAIgAAAGRycy9kb3ducmV2LnhtbFBLAQIUABQAAAAIAIdO4kBflpbLFwIAAPwD&#10;AAAOAAAAAAAAAAEAIAAAACcBAABkcnMvZTJvRG9jLnhtbFBLBQYAAAAABgAGAFkBAACwBQAAAAA=&#10;">
                      <v:fill on="f" focussize="0,0"/>
                      <v:stroke weight="1pt" color="#FFFF00 [3204]" miterlimit="8" joinstyle="miter" endarrow="open"/>
                      <v:imagedata o:title=""/>
                      <o:lock v:ext="edit" aspectratio="f"/>
                    </v:shape>
                  </w:pict>
                </mc:Fallback>
              </mc:AlternateContent>
            </w:r>
            <w:r>
              <w:drawing>
                <wp:inline distT="0" distB="0" distL="114300" distR="114300">
                  <wp:extent cx="3384550" cy="2877820"/>
                  <wp:effectExtent l="0" t="0" r="6350" b="17780"/>
                  <wp:docPr id="2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5"/>
                          <pic:cNvPicPr>
                            <a:picLocks noChangeAspect="1"/>
                          </pic:cNvPicPr>
                        </pic:nvPicPr>
                        <pic:blipFill>
                          <a:blip r:embed="rId60"/>
                          <a:stretch>
                            <a:fillRect/>
                          </a:stretch>
                        </pic:blipFill>
                        <pic:spPr>
                          <a:xfrm>
                            <a:off x="0" y="0"/>
                            <a:ext cx="3384550" cy="2877820"/>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sz w:val="24"/>
              </w:rPr>
              <mc:AlternateContent>
                <mc:Choice Requires="wps">
                  <w:drawing>
                    <wp:anchor distT="0" distB="0" distL="114300" distR="114300" simplePos="0" relativeHeight="251734016" behindDoc="0" locked="0" layoutInCell="1" allowOverlap="1">
                      <wp:simplePos x="0" y="0"/>
                      <wp:positionH relativeFrom="column">
                        <wp:posOffset>1251585</wp:posOffset>
                      </wp:positionH>
                      <wp:positionV relativeFrom="paragraph">
                        <wp:posOffset>2420620</wp:posOffset>
                      </wp:positionV>
                      <wp:extent cx="1925955" cy="285750"/>
                      <wp:effectExtent l="0" t="0" r="17145" b="0"/>
                      <wp:wrapNone/>
                      <wp:docPr id="232" name="文本框 232"/>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老寨沟水库灌区临时工程布置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55pt;margin-top:190.6pt;height:22.5pt;width:151.65pt;z-index:251734016;mso-width-relative:page;mso-height-relative:page;" fillcolor="#FFFFFF [3212]" filled="t" stroked="f" coordsize="21600,21600" o:gfxdata="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kbNV/WAAAACwEAAA8A&#10;AAAAAAAAAQAgAAAAIgAAAGRycy9kb3ducmV2LnhtbFBLAQIUABQAAAAIAIdO4kBvWlSiUgIAAJME&#10;AAAOAAAAAAAAAAEAIAAAACUBAABkcnMvZTJvRG9jLnhtbFBLBQYAAAAABgAGAFkBAADpBQ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老寨沟水库灌区临时工程布置</w:t>
                            </w:r>
                          </w:p>
                        </w:txbxContent>
                      </v:textbox>
                    </v:shape>
                  </w:pict>
                </mc:Fallback>
              </mc:AlternateContent>
            </w:r>
            <w:r>
              <w:drawing>
                <wp:inline distT="0" distB="0" distL="114300" distR="114300">
                  <wp:extent cx="3398520" cy="2706370"/>
                  <wp:effectExtent l="0" t="0" r="11430" b="17780"/>
                  <wp:docPr id="2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6"/>
                          <pic:cNvPicPr>
                            <a:picLocks noChangeAspect="1"/>
                          </pic:cNvPicPr>
                        </pic:nvPicPr>
                        <pic:blipFill>
                          <a:blip r:embed="rId61"/>
                          <a:stretch>
                            <a:fillRect/>
                          </a:stretch>
                        </pic:blipFill>
                        <pic:spPr>
                          <a:xfrm>
                            <a:off x="0" y="0"/>
                            <a:ext cx="3398520" cy="2706370"/>
                          </a:xfrm>
                          <a:prstGeom prst="rect">
                            <a:avLst/>
                          </a:prstGeom>
                          <a:noFill/>
                          <a:ln>
                            <a:noFill/>
                          </a:ln>
                        </pic:spPr>
                      </pic:pic>
                    </a:graphicData>
                  </a:graphic>
                </wp:inline>
              </w:drawing>
            </w:r>
          </w:p>
          <w:p>
            <w:pPr>
              <w:pStyle w:val="17"/>
              <w:spacing w:line="360" w:lineRule="auto"/>
              <w:jc w:val="center"/>
              <w:rPr>
                <w:rFonts w:ascii="Times New Roman" w:hAnsi="Times New Roman" w:cs="Times New Roman"/>
                <w:b/>
                <w:bCs/>
                <w:color w:val="000000" w:themeColor="text1"/>
                <w:sz w:val="21"/>
                <w:szCs w:val="21"/>
                <w14:textFill>
                  <w14:solidFill>
                    <w14:schemeClr w14:val="tx1"/>
                  </w14:solidFill>
                </w14:textFill>
              </w:rPr>
            </w:pPr>
            <w:r>
              <w:rPr>
                <w:rFonts w:hint="eastAsia" w:eastAsiaTheme="minorEastAsia"/>
                <w:lang w:eastAsia="zh-CN"/>
              </w:rPr>
              <w:drawing>
                <wp:anchor distT="0" distB="0" distL="114300" distR="114300" simplePos="0" relativeHeight="251732992" behindDoc="0" locked="0" layoutInCell="1" allowOverlap="1">
                  <wp:simplePos x="0" y="0"/>
                  <wp:positionH relativeFrom="column">
                    <wp:posOffset>4159250</wp:posOffset>
                  </wp:positionH>
                  <wp:positionV relativeFrom="paragraph">
                    <wp:posOffset>5715</wp:posOffset>
                  </wp:positionV>
                  <wp:extent cx="476885" cy="485140"/>
                  <wp:effectExtent l="0" t="0" r="18415" b="10160"/>
                  <wp:wrapNone/>
                  <wp:docPr id="241" name="图片 241" descr="QQ截图2021011218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QQ截图20210112184542"/>
                          <pic:cNvPicPr>
                            <a:picLocks noChangeAspect="1"/>
                          </pic:cNvPicPr>
                        </pic:nvPicPr>
                        <pic:blipFill>
                          <a:blip r:embed="rId48"/>
                          <a:stretch>
                            <a:fillRect/>
                          </a:stretch>
                        </pic:blipFill>
                        <pic:spPr>
                          <a:xfrm>
                            <a:off x="0" y="0"/>
                            <a:ext cx="476885" cy="485140"/>
                          </a:xfrm>
                          <a:prstGeom prst="rect">
                            <a:avLst/>
                          </a:prstGeom>
                        </pic:spPr>
                      </pic:pic>
                    </a:graphicData>
                  </a:graphic>
                </wp:anchor>
              </w:drawing>
            </w:r>
            <w:r>
              <w:rPr>
                <w:sz w:val="24"/>
              </w:rPr>
              <mc:AlternateContent>
                <mc:Choice Requires="wps">
                  <w:drawing>
                    <wp:anchor distT="0" distB="0" distL="114300" distR="114300" simplePos="0" relativeHeight="251731968" behindDoc="0" locked="0" layoutInCell="1" allowOverlap="1">
                      <wp:simplePos x="0" y="0"/>
                      <wp:positionH relativeFrom="column">
                        <wp:posOffset>3516630</wp:posOffset>
                      </wp:positionH>
                      <wp:positionV relativeFrom="paragraph">
                        <wp:posOffset>1807845</wp:posOffset>
                      </wp:positionV>
                      <wp:extent cx="521970" cy="276225"/>
                      <wp:effectExtent l="0" t="0" r="0" b="0"/>
                      <wp:wrapNone/>
                      <wp:docPr id="240" name="文本框 240"/>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9pt;margin-top:142.35pt;height:21.75pt;width:41.1pt;z-index:251731968;mso-width-relative:page;mso-height-relative:page;" filled="f" stroked="f" coordsize="21600,21600" o:gfxdata="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&#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GVcetwAAAALAQAADwAAAAAAAAABACAAAAAiAAAA&#10;ZHJzL2Rvd25yZXYueG1sUEsBAhQAFAAAAAgAh07iQDXslhk8AgAAaQQAAA4AAAAAAAAAAQAgAAAA&#10;KwEAAGRycy9lMm9Eb2MueG1sUEsFBgAAAAAGAAYAWQEAANkFA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160m</w:t>
                            </w:r>
                          </w:p>
                        </w:txbxContent>
                      </v:textbox>
                    </v:shape>
                  </w:pict>
                </mc:Fallback>
              </mc:AlternateContent>
            </w:r>
            <w:r>
              <w:rPr>
                <w:sz w:val="24"/>
              </w:rPr>
              <mc:AlternateContent>
                <mc:Choice Requires="wps">
                  <w:drawing>
                    <wp:anchor distT="0" distB="0" distL="114300" distR="114300" simplePos="0" relativeHeight="251736064" behindDoc="0" locked="0" layoutInCell="1" allowOverlap="1">
                      <wp:simplePos x="0" y="0"/>
                      <wp:positionH relativeFrom="column">
                        <wp:posOffset>2859405</wp:posOffset>
                      </wp:positionH>
                      <wp:positionV relativeFrom="paragraph">
                        <wp:posOffset>1207770</wp:posOffset>
                      </wp:positionV>
                      <wp:extent cx="521970" cy="276225"/>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521970"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FF00"/>
                                      <w:lang w:val="en-US" w:eastAsia="zh-CN"/>
                                    </w:rPr>
                                  </w:pPr>
                                  <w:r>
                                    <w:rPr>
                                      <w:rFonts w:hint="eastAsia"/>
                                      <w:color w:val="FFFF00"/>
                                      <w:lang w:val="en-US" w:eastAsia="zh-CN"/>
                                    </w:rPr>
                                    <w:t>121m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15pt;margin-top:95.1pt;height:21.75pt;width:41.1pt;z-index:251736064;mso-width-relative:page;mso-height-relative:page;" filled="f" stroked="f" coordsize="21600,21600" o:gfxdata="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&#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aPc5DbAAAACwEAAA8AAAAAAAAAAQAgAAAAIgAA&#10;AGRycy9kb3ducmV2LnhtbFBLAQIUABQAAAAIAIdO4kDqeIPUPgIAAGkEAAAOAAAAAAAAAAEAIAAA&#10;ACoBAABkcnMvZTJvRG9jLnhtbFBLBQYAAAAABgAGAFkBAADaBQAAAAA=&#10;">
                      <v:fill on="f" focussize="0,0"/>
                      <v:stroke on="f" weight="0.5pt"/>
                      <v:imagedata o:title=""/>
                      <o:lock v:ext="edit" aspectratio="f"/>
                      <v:textbox>
                        <w:txbxContent>
                          <w:p>
                            <w:pPr>
                              <w:rPr>
                                <w:rFonts w:hint="default" w:eastAsiaTheme="minorEastAsia"/>
                                <w:color w:val="FFFF00"/>
                                <w:lang w:val="en-US" w:eastAsia="zh-CN"/>
                              </w:rPr>
                            </w:pPr>
                            <w:r>
                              <w:rPr>
                                <w:rFonts w:hint="eastAsia"/>
                                <w:color w:val="FFFF00"/>
                                <w:lang w:val="en-US" w:eastAsia="zh-CN"/>
                              </w:rPr>
                              <w:t>121m</w:t>
                            </w:r>
                          </w:p>
                        </w:txbxContent>
                      </v:textbox>
                    </v:shape>
                  </w:pict>
                </mc:Fallback>
              </mc:AlternateContent>
            </w:r>
            <w:r>
              <w:rPr>
                <w:sz w:val="24"/>
              </w:rPr>
              <mc:AlternateContent>
                <mc:Choice Requires="wps">
                  <w:drawing>
                    <wp:anchor distT="0" distB="0" distL="114300" distR="114300" simplePos="0" relativeHeight="251730944" behindDoc="0" locked="0" layoutInCell="1" allowOverlap="1">
                      <wp:simplePos x="0" y="0"/>
                      <wp:positionH relativeFrom="column">
                        <wp:posOffset>2820670</wp:posOffset>
                      </wp:positionH>
                      <wp:positionV relativeFrom="paragraph">
                        <wp:posOffset>1731010</wp:posOffset>
                      </wp:positionV>
                      <wp:extent cx="1619250" cy="190500"/>
                      <wp:effectExtent l="635" t="6350" r="18415" b="50800"/>
                      <wp:wrapNone/>
                      <wp:docPr id="239" name="直接箭头连接符 239"/>
                      <wp:cNvGraphicFramePr/>
                      <a:graphic xmlns:a="http://schemas.openxmlformats.org/drawingml/2006/main">
                        <a:graphicData uri="http://schemas.microsoft.com/office/word/2010/wordprocessingShape">
                          <wps:wsp>
                            <wps:cNvCnPr/>
                            <wps:spPr>
                              <a:xfrm>
                                <a:off x="0" y="0"/>
                                <a:ext cx="1619250" cy="19050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2.1pt;margin-top:136.3pt;height:15pt;width:127.5pt;z-index:251730944;mso-width-relative:page;mso-height-relative:page;" filled="f" stroked="t" coordsize="21600,21600" o:gfxdata="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7BTSWtcAAAALAQAADwAAAAAAAAABACAAAAAi&#10;AAAAZHJzL2Rvd25yZXYueG1sUEsBAhQAFAAAAAgAh07iQLNNeWkLAgAA6AMAAA4AAAAAAAAAAQAg&#10;AAAAJgEAAGRycy9lMm9Eb2MueG1sUEsFBgAAAAAGAAYAWQEAAKMFA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35040" behindDoc="0" locked="0" layoutInCell="1" allowOverlap="1">
                      <wp:simplePos x="0" y="0"/>
                      <wp:positionH relativeFrom="column">
                        <wp:posOffset>2811145</wp:posOffset>
                      </wp:positionH>
                      <wp:positionV relativeFrom="paragraph">
                        <wp:posOffset>1045210</wp:posOffset>
                      </wp:positionV>
                      <wp:extent cx="942975" cy="695325"/>
                      <wp:effectExtent l="3810" t="0" r="5715" b="9525"/>
                      <wp:wrapNone/>
                      <wp:docPr id="236" name="直接箭头连接符 236"/>
                      <wp:cNvGraphicFramePr/>
                      <a:graphic xmlns:a="http://schemas.openxmlformats.org/drawingml/2006/main">
                        <a:graphicData uri="http://schemas.microsoft.com/office/word/2010/wordprocessingShape">
                          <wps:wsp>
                            <wps:cNvCnPr/>
                            <wps:spPr>
                              <a:xfrm flipV="1">
                                <a:off x="0" y="0"/>
                                <a:ext cx="942975" cy="69532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1.35pt;margin-top:82.3pt;height:54.75pt;width:74.25pt;z-index:251735040;mso-width-relative:page;mso-height-relative:page;" filled="f" stroked="t" coordsize="21600,21600" o:gfxdata="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nxn/P1wAAAAsBAAAPAAAA&#10;AAAAAAEAIAAAACIAAABkcnMvZG93bnJldi54bWxQSwECFAAUAAAACACHTuJARVjZwRYCAADxAwAA&#10;DgAAAAAAAAABACAAAAAmAQAAZHJzL2Uyb0RvYy54bWxQSwUGAAAAAAYABgBZAQAArgUAAAAA&#10;">
                      <v:fill on="f" focussize="0,0"/>
                      <v:stroke weight="1pt" color="#FFFF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1261110</wp:posOffset>
                      </wp:positionH>
                      <wp:positionV relativeFrom="paragraph">
                        <wp:posOffset>2658110</wp:posOffset>
                      </wp:positionV>
                      <wp:extent cx="1925955" cy="285750"/>
                      <wp:effectExtent l="0" t="0" r="17145" b="0"/>
                      <wp:wrapNone/>
                      <wp:docPr id="235" name="文本框 235"/>
                      <wp:cNvGraphicFramePr/>
                      <a:graphic xmlns:a="http://schemas.openxmlformats.org/drawingml/2006/main">
                        <a:graphicData uri="http://schemas.microsoft.com/office/word/2010/wordprocessingShape">
                          <wps:wsp>
                            <wps:cNvSpPr txBox="1"/>
                            <wps:spPr>
                              <a:xfrm>
                                <a:off x="0" y="0"/>
                                <a:ext cx="1925955" cy="28575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阴洞岩水库灌区临时工程布置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3pt;margin-top:209.3pt;height:22.5pt;width:151.65pt;z-index:251729920;mso-width-relative:page;mso-height-relative:page;" fillcolor="#FFFFFF [3212]" filled="t" stroked="f" coordsize="21600,21600" o:gfxdata="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LKEIg9UAAAALAQAADwAA&#10;AAAAAAABACAAAAAiAAAAZHJzL2Rvd25yZXYueG1sUEsBAhQAFAAAAAgAh07iQK8mE2RSAgAAkwQA&#10;AA4AAAAAAAAAAQAgAAAAJAEAAGRycy9lMm9Eb2MueG1sUEsFBgAAAAAGAAYAWQEAAOgFAAAAAA==&#10;">
                      <v:fill on="t" focussize="0,0"/>
                      <v:stroke on="f" weight="0.5pt"/>
                      <v:imagedata o:title=""/>
                      <o:lock v:ext="edit" aspectratio="f"/>
                      <v:textbox>
                        <w:txbxContent>
                          <w:p>
                            <w:pP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阴洞岩水库灌区临时工程布置</w:t>
                            </w:r>
                          </w:p>
                        </w:txbxContent>
                      </v:textbox>
                    </v:shape>
                  </w:pict>
                </mc:Fallback>
              </mc:AlternateContent>
            </w:r>
            <w:r>
              <w:drawing>
                <wp:inline distT="0" distB="0" distL="114300" distR="114300">
                  <wp:extent cx="3374390" cy="2936875"/>
                  <wp:effectExtent l="0" t="0" r="16510" b="15875"/>
                  <wp:docPr id="2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7"/>
                          <pic:cNvPicPr>
                            <a:picLocks noChangeAspect="1"/>
                          </pic:cNvPicPr>
                        </pic:nvPicPr>
                        <pic:blipFill>
                          <a:blip r:embed="rId62"/>
                          <a:stretch>
                            <a:fillRect/>
                          </a:stretch>
                        </pic:blipFill>
                        <pic:spPr>
                          <a:xfrm>
                            <a:off x="0" y="0"/>
                            <a:ext cx="3374390" cy="2936875"/>
                          </a:xfrm>
                          <a:prstGeom prst="rect">
                            <a:avLst/>
                          </a:prstGeom>
                          <a:noFill/>
                          <a:ln>
                            <a:noFill/>
                          </a:ln>
                        </pic:spPr>
                      </pic:pic>
                    </a:graphicData>
                  </a:graphic>
                </wp:inline>
              </w:drawing>
            </w:r>
          </w:p>
          <w:p>
            <w:pPr>
              <w:pStyle w:val="17"/>
              <w:spacing w:line="360" w:lineRule="auto"/>
              <w:jc w:val="center"/>
              <w:rPr>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图2</w:t>
            </w:r>
            <w:r>
              <w:rPr>
                <w:rFonts w:hint="eastAsia" w:ascii="Times New Roman" w:hAnsi="Times New Roman" w:cs="Times New Roman"/>
                <w:b/>
                <w:bCs/>
                <w:color w:val="000000" w:themeColor="text1"/>
                <w:sz w:val="21"/>
                <w:szCs w:val="21"/>
                <w:lang w:val="en-US" w:eastAsia="zh-CN"/>
                <w14:textFill>
                  <w14:solidFill>
                    <w14:schemeClr w14:val="tx1"/>
                  </w14:solidFill>
                </w14:textFill>
              </w:rPr>
              <w:t>-7</w:t>
            </w:r>
            <w:r>
              <w:rPr>
                <w:rFonts w:ascii="Times New Roman" w:hAnsi="Times New Roman" w:cs="Times New Roman"/>
                <w:b/>
                <w:bCs/>
                <w:color w:val="000000" w:themeColor="text1"/>
                <w:sz w:val="21"/>
                <w:szCs w:val="21"/>
                <w14:textFill>
                  <w14:solidFill>
                    <w14:schemeClr w14:val="tx1"/>
                  </w14:solidFill>
                </w14:textFill>
              </w:rPr>
              <w:t xml:space="preserve">  </w:t>
            </w:r>
            <w:r>
              <w:rPr>
                <w:rFonts w:hint="eastAsia" w:ascii="Times New Roman" w:hAnsi="Times New Roman" w:cs="Times New Roman"/>
                <w:b/>
                <w:bCs/>
                <w:color w:val="000000" w:themeColor="text1"/>
                <w:sz w:val="21"/>
                <w:szCs w:val="21"/>
                <w14:textFill>
                  <w14:solidFill>
                    <w14:schemeClr w14:val="tx1"/>
                  </w14:solidFill>
                </w14:textFill>
              </w:rPr>
              <w:t>临时工程布置</w:t>
            </w:r>
            <w:r>
              <w:rPr>
                <w:rFonts w:hint="eastAsia" w:ascii="Times New Roman" w:hAnsi="Times New Roman" w:cs="Times New Roman"/>
                <w:b/>
                <w:bCs/>
                <w:color w:val="000000" w:themeColor="text1"/>
                <w:sz w:val="21"/>
                <w:szCs w:val="21"/>
                <w:lang w:val="en-US" w:eastAsia="zh-CN"/>
                <w14:textFill>
                  <w14:solidFill>
                    <w14:schemeClr w14:val="tx1"/>
                  </w14:solidFill>
                </w14:textFill>
              </w:rPr>
              <w:t>位置</w:t>
            </w:r>
            <w:r>
              <w:rPr>
                <w:rFonts w:ascii="Times New Roman" w:hAnsi="Times New Roman" w:cs="Times New Roman"/>
                <w:b/>
                <w:bCs/>
                <w:color w:val="000000" w:themeColor="text1"/>
                <w:sz w:val="21"/>
                <w:szCs w:val="21"/>
                <w14:textFill>
                  <w14:solidFill>
                    <w14:schemeClr w14:val="tx1"/>
                  </w14:solidFill>
                </w14:textFill>
              </w:rPr>
              <w:t>图</w:t>
            </w:r>
          </w:p>
          <w:p>
            <w:p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临时施工场地：主要功能为施工机械临时停放点、拌合站（因场地及施工规模限制，无法使用商混）、综合加工房、施工物料临时堆场等；</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临时堆土场：设置环形排水沟、沉砂池、土袋拦挡等，主要功能为新渠道/管道开挖及旧渠道/管道拆除清理的土石方暂存。</w:t>
            </w:r>
          </w:p>
          <w:p>
            <w:pPr>
              <w:autoSpaceDE w:val="0"/>
              <w:autoSpaceDN w:val="0"/>
              <w:adjustRightInd w:val="0"/>
              <w:snapToGrid w:val="0"/>
              <w:spacing w:line="360" w:lineRule="auto"/>
              <w:ind w:firstLine="480" w:firstLineChars="200"/>
              <w:rPr>
                <w:rFonts w:hint="default"/>
                <w:lang w:val="en-US" w:eastAsia="zh-CN"/>
              </w:rPr>
            </w:pPr>
            <w:r>
              <w:rPr>
                <w:rFonts w:hint="eastAsia"/>
                <w:b w:val="0"/>
                <w:bCs w:val="0"/>
                <w:sz w:val="24"/>
                <w:szCs w:val="24"/>
              </w:rPr>
              <w:t>淤泥堆放场</w:t>
            </w:r>
            <w:r>
              <w:rPr>
                <w:rFonts w:hint="eastAsia"/>
                <w:b w:val="0"/>
                <w:bCs w:val="0"/>
                <w:sz w:val="24"/>
                <w:szCs w:val="24"/>
                <w:lang w:eastAsia="zh-CN"/>
              </w:rPr>
              <w:t>：</w:t>
            </w:r>
            <w:r>
              <w:rPr>
                <w:rFonts w:hint="eastAsia"/>
                <w:b w:val="0"/>
                <w:bCs w:val="0"/>
                <w:sz w:val="24"/>
                <w:szCs w:val="24"/>
                <w:lang w:val="en-US" w:eastAsia="zh-CN"/>
              </w:rPr>
              <w:t>设置淤泥沉淀池，</w:t>
            </w:r>
            <w:r>
              <w:rPr>
                <w:rFonts w:hint="eastAsia"/>
                <w:b w:val="0"/>
                <w:bCs w:val="0"/>
                <w:sz w:val="24"/>
                <w:szCs w:val="24"/>
                <w:lang w:eastAsia="zh-CN"/>
              </w:rPr>
              <w:t>对渠道整治清理出的淤泥沉积物进行脱水干化后</w:t>
            </w:r>
            <w:r>
              <w:rPr>
                <w:rFonts w:hint="eastAsia"/>
                <w:b w:val="0"/>
                <w:bCs w:val="0"/>
                <w:sz w:val="24"/>
                <w:szCs w:val="24"/>
                <w:lang w:val="en-US" w:eastAsia="zh-CN"/>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施工方案</w:t>
            </w:r>
          </w:p>
        </w:tc>
        <w:tc>
          <w:tcPr>
            <w:tcW w:w="9508" w:type="dxa"/>
          </w:tcPr>
          <w:p>
            <w:pPr>
              <w:autoSpaceDE w:val="0"/>
              <w:autoSpaceDN w:val="0"/>
              <w:adjustRightInd w:val="0"/>
              <w:snapToGrid w:val="0"/>
              <w:spacing w:line="360" w:lineRule="auto"/>
              <w:rPr>
                <w:rFonts w:ascii="Times New Roman" w:hAnsi="Times New Roman" w:cs="Times New Roman"/>
                <w:b/>
                <w:bCs/>
                <w:kern w:val="0"/>
                <w:sz w:val="24"/>
                <w:szCs w:val="24"/>
              </w:rPr>
            </w:pPr>
            <w:r>
              <w:rPr>
                <w:rFonts w:ascii="Times New Roman" w:hAnsi="Times New Roman" w:cs="Times New Roman"/>
                <w:b/>
                <w:bCs/>
                <w:kern w:val="0"/>
                <w:sz w:val="24"/>
                <w:szCs w:val="24"/>
              </w:rPr>
              <w:t>一、施工工艺</w:t>
            </w:r>
          </w:p>
          <w:p>
            <w:pPr>
              <w:autoSpaceDE w:val="0"/>
              <w:autoSpaceDN w:val="0"/>
              <w:adjustRightInd w:val="0"/>
              <w:snapToGrid w:val="0"/>
              <w:spacing w:line="360" w:lineRule="auto"/>
              <w:ind w:firstLine="482" w:firstLineChars="200"/>
              <w:rPr>
                <w:rFonts w:ascii="Times New Roman" w:hAnsi="Times New Roman" w:cs="Times New Roman"/>
                <w:b/>
                <w:bCs/>
                <w:kern w:val="0"/>
                <w:sz w:val="24"/>
                <w:szCs w:val="24"/>
              </w:rPr>
            </w:pPr>
            <w:r>
              <w:rPr>
                <w:rFonts w:ascii="Times New Roman" w:hAnsi="Times New Roman" w:cs="Times New Roman"/>
                <w:b/>
                <w:bCs/>
                <w:kern w:val="0"/>
                <w:sz w:val="24"/>
                <w:szCs w:val="24"/>
              </w:rPr>
              <w:t>1、施工技术要求</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（1）在施工前，施工承包商应按监理工程师指令要求，根据设计图纸和现场条件，认真做好施工组织设计方案，做到文明施工和确保工程施工质量和施工安全。</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（2）施工中，复核现场测量控制点及高程系统，严格控制</w:t>
            </w:r>
            <w:r>
              <w:rPr>
                <w:rFonts w:hint="eastAsia" w:ascii="Times New Roman" w:hAnsi="Times New Roman" w:cs="Times New Roman"/>
                <w:kern w:val="0"/>
                <w:sz w:val="24"/>
                <w:szCs w:val="24"/>
                <w:lang w:val="en-US" w:eastAsia="zh-CN"/>
              </w:rPr>
              <w:t>施工范围</w:t>
            </w:r>
            <w:r>
              <w:rPr>
                <w:rFonts w:ascii="Times New Roman" w:hAnsi="Times New Roman" w:cs="Times New Roman"/>
                <w:kern w:val="0"/>
                <w:sz w:val="24"/>
                <w:szCs w:val="24"/>
              </w:rPr>
              <w:t>，不</w:t>
            </w:r>
            <w:r>
              <w:rPr>
                <w:rFonts w:hint="eastAsia" w:ascii="Times New Roman" w:hAnsi="Times New Roman" w:cs="Times New Roman"/>
                <w:kern w:val="0"/>
                <w:sz w:val="24"/>
                <w:szCs w:val="24"/>
              </w:rPr>
              <w:t>得</w:t>
            </w:r>
            <w:r>
              <w:rPr>
                <w:rFonts w:hint="eastAsia" w:ascii="Times New Roman" w:hAnsi="Times New Roman" w:cs="Times New Roman"/>
                <w:kern w:val="0"/>
                <w:sz w:val="24"/>
                <w:szCs w:val="24"/>
                <w:lang w:val="en-US" w:eastAsia="zh-CN"/>
              </w:rPr>
              <w:t>侵占耕地</w:t>
            </w:r>
            <w:r>
              <w:rPr>
                <w:rFonts w:ascii="Times New Roman" w:hAnsi="Times New Roman" w:cs="Times New Roman"/>
                <w:kern w:val="0"/>
                <w:sz w:val="24"/>
                <w:szCs w:val="24"/>
              </w:rPr>
              <w:t>。</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（3）严格按设计图纸及图中说明要求选取符合要求的土石填料，严禁采用淤泥。</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4</w:t>
            </w:r>
            <w:r>
              <w:rPr>
                <w:rFonts w:ascii="Times New Roman" w:hAnsi="Times New Roman" w:cs="Times New Roman"/>
                <w:kern w:val="0"/>
                <w:sz w:val="24"/>
                <w:szCs w:val="24"/>
              </w:rPr>
              <w:t>）工程使用的钢筋钢材须有出厂合格证明，非四川省质监部门指定免检的钢筋钢材应抽样送检合格后方可使用。不同强度混凝土工程在施工前，必须按国家基本建设要求进行配合比试块试验，混凝土工程在浇筑过程中应分批次进行取样试验。混凝土施工工艺要求必须遵守《水工混凝土施工规范》SL677-2014的相关条文规定，并将基础面平整、夯实，所有混凝土施工均应振捣密实，不能有蜂窝麻面出现，更不允许内部有空洞存在。</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5</w:t>
            </w:r>
            <w:r>
              <w:rPr>
                <w:rFonts w:ascii="Times New Roman" w:hAnsi="Times New Roman" w:cs="Times New Roman"/>
                <w:kern w:val="0"/>
                <w:sz w:val="24"/>
                <w:szCs w:val="24"/>
              </w:rPr>
              <w:t>）砼为</w:t>
            </w:r>
            <w:r>
              <w:rPr>
                <w:rFonts w:hint="eastAsia" w:ascii="Times New Roman" w:hAnsi="Times New Roman" w:cs="Times New Roman"/>
                <w:kern w:val="0"/>
                <w:sz w:val="24"/>
                <w:szCs w:val="24"/>
                <w:lang w:val="en-US" w:eastAsia="zh-CN"/>
              </w:rPr>
              <w:t>自拌合</w:t>
            </w:r>
            <w:r>
              <w:rPr>
                <w:rFonts w:ascii="Times New Roman" w:hAnsi="Times New Roman" w:cs="Times New Roman"/>
                <w:kern w:val="0"/>
                <w:sz w:val="24"/>
                <w:szCs w:val="24"/>
              </w:rPr>
              <w:t xml:space="preserve">砼。砼浇筑后，必须及时加强养护，模板拆除后，应及时清理迎水面，以保持光滑和美观整洁。 </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6</w:t>
            </w:r>
            <w:r>
              <w:rPr>
                <w:rFonts w:ascii="Times New Roman" w:hAnsi="Times New Roman" w:cs="Times New Roman"/>
                <w:kern w:val="0"/>
                <w:sz w:val="24"/>
                <w:szCs w:val="24"/>
              </w:rPr>
              <w:t>）钢筋混凝土施工中的钢筋焊接、搭接必须严格执行《水工混凝土施工规范》（DL/T 5144-2014）及《水工混凝土钢筋施工规范》（DL/T5169-2013）。</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val="en-US" w:eastAsia="zh-CN"/>
              </w:rPr>
              <w:t>7</w:t>
            </w:r>
            <w:r>
              <w:rPr>
                <w:rFonts w:hint="eastAsia" w:ascii="Times New Roman" w:hAnsi="Times New Roman" w:cs="Times New Roman"/>
                <w:kern w:val="0"/>
                <w:sz w:val="24"/>
                <w:szCs w:val="24"/>
                <w:lang w:eastAsia="zh-CN"/>
              </w:rPr>
              <w:t>）</w:t>
            </w:r>
            <w:r>
              <w:rPr>
                <w:rFonts w:ascii="Times New Roman" w:hAnsi="Times New Roman" w:cs="Times New Roman"/>
                <w:kern w:val="0"/>
                <w:sz w:val="24"/>
                <w:szCs w:val="24"/>
              </w:rPr>
              <w:t>施工过程中应注意文明施工，保证工程施工质量，杜绝野蛮施工，监理严格按照设计要求进行“三控两管”工程质量严格把关。</w:t>
            </w:r>
          </w:p>
          <w:p>
            <w:pPr>
              <w:autoSpaceDE w:val="0"/>
              <w:autoSpaceDN w:val="0"/>
              <w:adjustRightInd w:val="0"/>
              <w:snapToGrid w:val="0"/>
              <w:spacing w:line="360" w:lineRule="auto"/>
              <w:ind w:firstLine="482" w:firstLineChars="200"/>
              <w:rPr>
                <w:rFonts w:ascii="Times New Roman" w:hAnsi="Times New Roman" w:cs="Times New Roman"/>
                <w:b/>
                <w:bCs/>
                <w:kern w:val="0"/>
                <w:sz w:val="24"/>
                <w:szCs w:val="24"/>
              </w:rPr>
            </w:pPr>
            <w:r>
              <w:rPr>
                <w:rFonts w:ascii="Times New Roman" w:hAnsi="Times New Roman" w:cs="Times New Roman"/>
                <w:b/>
                <w:bCs/>
                <w:kern w:val="0"/>
                <w:sz w:val="24"/>
                <w:szCs w:val="24"/>
              </w:rPr>
              <w:t>2、主体工程施工</w:t>
            </w:r>
          </w:p>
          <w:p>
            <w:pPr>
              <w:autoSpaceDE w:val="0"/>
              <w:autoSpaceDN w:val="0"/>
              <w:adjustRightInd w:val="0"/>
              <w:snapToGrid w:val="0"/>
              <w:spacing w:line="360" w:lineRule="auto"/>
              <w:ind w:firstLine="480" w:firstLineChars="20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主体工程施工主要包括渠道整治工艺、渠道清淤工艺、管道化改造工艺（含新建管道）、渡槽建设工艺等，本项目不涉及水库改造工程，</w:t>
            </w:r>
            <w:r>
              <w:rPr>
                <w:rFonts w:hint="eastAsia" w:ascii="Times New Roman" w:hAnsi="Times New Roman" w:cs="Times New Roman"/>
                <w:b w:val="0"/>
                <w:bCs w:val="0"/>
                <w:kern w:val="0"/>
                <w:sz w:val="24"/>
                <w:lang w:val="en-US" w:eastAsia="zh-CN"/>
              </w:rPr>
              <w:t>隧洞较为狭窄，采用牵引管穿洞方式。</w:t>
            </w:r>
          </w:p>
          <w:p>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sz w:val="24"/>
                <w:szCs w:val="24"/>
                <w:lang w:val="en-US" w:eastAsia="zh-CN"/>
              </w:rPr>
            </w:pP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1</w:t>
            </w: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渠道整治工艺流程</w:t>
            </w:r>
          </w:p>
          <w:p>
            <w:pPr>
              <w:autoSpaceDE w:val="0"/>
              <w:autoSpaceDN w:val="0"/>
              <w:adjustRightInd w:val="0"/>
              <w:snapToGrid w:val="0"/>
              <w:spacing w:line="360" w:lineRule="auto"/>
              <w:rPr>
                <w:rFonts w:ascii="Times New Roman" w:hAnsi="Times New Roman" w:cs="Times New Roman"/>
                <w:sz w:val="24"/>
                <w:szCs w:val="24"/>
              </w:rPr>
            </w:pPr>
            <w:r>
              <w:drawing>
                <wp:inline distT="0" distB="0" distL="114300" distR="114300">
                  <wp:extent cx="5897880" cy="1442720"/>
                  <wp:effectExtent l="0" t="0" r="7620" b="5080"/>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63"/>
                          <a:stretch>
                            <a:fillRect/>
                          </a:stretch>
                        </pic:blipFill>
                        <pic:spPr>
                          <a:xfrm>
                            <a:off x="0" y="0"/>
                            <a:ext cx="5897880" cy="1442720"/>
                          </a:xfrm>
                          <a:prstGeom prst="rect">
                            <a:avLst/>
                          </a:prstGeom>
                          <a:noFill/>
                          <a:ln>
                            <a:noFill/>
                          </a:ln>
                        </pic:spPr>
                      </pic:pic>
                    </a:graphicData>
                  </a:graphic>
                </wp:inline>
              </w:drawing>
            </w:r>
          </w:p>
          <w:p>
            <w:pPr>
              <w:autoSpaceDE w:val="0"/>
              <w:autoSpaceDN w:val="0"/>
              <w:adjustRightInd w:val="0"/>
              <w:snapToGrid w:val="0"/>
              <w:spacing w:line="360" w:lineRule="auto"/>
              <w:jc w:val="center"/>
              <w:rPr>
                <w:rFonts w:hint="eastAsia" w:ascii="Times New Roman" w:hAnsi="Times New Roman" w:cs="Times New Roman"/>
                <w:kern w:val="0"/>
                <w:sz w:val="24"/>
                <w:szCs w:val="24"/>
              </w:rPr>
            </w:pPr>
            <w:r>
              <w:rPr>
                <w:rFonts w:hint="default" w:ascii="Times New Roman" w:hAnsi="Times New Roman" w:eastAsia="宋体" w:cs="Times New Roman"/>
                <w:b/>
                <w:bCs/>
                <w:color w:val="000000" w:themeColor="text1"/>
                <w:szCs w:val="21"/>
                <w14:textFill>
                  <w14:solidFill>
                    <w14:schemeClr w14:val="tx1"/>
                  </w14:solidFill>
                </w14:textFill>
              </w:rPr>
              <w:t>图2-</w:t>
            </w:r>
            <w:r>
              <w:rPr>
                <w:rFonts w:hint="eastAsia" w:ascii="Times New Roman" w:hAnsi="Times New Roman" w:eastAsia="宋体" w:cs="Times New Roman"/>
                <w:b/>
                <w:bCs/>
                <w:color w:val="000000" w:themeColor="text1"/>
                <w:szCs w:val="21"/>
                <w:lang w:val="en-US" w:eastAsia="zh-CN"/>
                <w14:textFill>
                  <w14:solidFill>
                    <w14:schemeClr w14:val="tx1"/>
                  </w14:solidFill>
                </w14:textFill>
              </w:rPr>
              <w:t xml:space="preserve">8 </w:t>
            </w:r>
            <w:r>
              <w:rPr>
                <w:rFonts w:hint="default" w:ascii="Times New Roman" w:hAnsi="Times New Roman" w:eastAsia="宋体" w:cs="Times New Roman"/>
                <w:b/>
                <w:bCs/>
                <w:color w:val="000000" w:themeColor="text1"/>
                <w:szCs w:val="21"/>
                <w14:textFill>
                  <w14:solidFill>
                    <w14:schemeClr w14:val="tx1"/>
                  </w14:solidFill>
                </w14:textFill>
              </w:rPr>
              <w:t xml:space="preserve"> </w:t>
            </w:r>
            <w:r>
              <w:rPr>
                <w:rFonts w:hint="eastAsia" w:ascii="Times New Roman" w:hAnsi="Times New Roman" w:eastAsia="宋体" w:cs="Times New Roman"/>
                <w:b/>
                <w:bCs/>
                <w:color w:val="000000" w:themeColor="text1"/>
                <w:szCs w:val="21"/>
                <w:lang w:val="en-US" w:eastAsia="zh-CN"/>
                <w14:textFill>
                  <w14:solidFill>
                    <w14:schemeClr w14:val="tx1"/>
                  </w14:solidFill>
                </w14:textFill>
              </w:rPr>
              <w:t>渠道整治</w:t>
            </w:r>
            <w:r>
              <w:rPr>
                <w:rFonts w:hint="default" w:ascii="Times New Roman" w:hAnsi="Times New Roman" w:eastAsia="宋体" w:cs="Times New Roman"/>
                <w:b/>
                <w:bCs/>
                <w:color w:val="000000" w:themeColor="text1"/>
                <w:szCs w:val="21"/>
                <w:lang w:val="en-US" w:eastAsia="zh-CN"/>
                <w14:textFill>
                  <w14:solidFill>
                    <w14:schemeClr w14:val="tx1"/>
                  </w14:solidFill>
                </w14:textFill>
              </w:rPr>
              <w:t>主要工艺及产污环节图</w:t>
            </w:r>
          </w:p>
          <w:p>
            <w:pPr>
              <w:autoSpaceDE w:val="0"/>
              <w:autoSpaceDN w:val="0"/>
              <w:adjustRightInd w:val="0"/>
              <w:snapToGrid w:val="0"/>
              <w:spacing w:line="360" w:lineRule="auto"/>
              <w:ind w:firstLine="480" w:firstLineChars="200"/>
              <w:rPr>
                <w:rFonts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工艺流程简述</w:t>
            </w:r>
            <w:r>
              <w:rPr>
                <w:rFonts w:hint="eastAsia" w:ascii="Times New Roman" w:hAnsi="Times New Roman" w:cs="Times New Roman"/>
                <w:b w:val="0"/>
                <w:bCs w:val="0"/>
                <w:kern w:val="0"/>
                <w:sz w:val="24"/>
                <w:szCs w:val="24"/>
              </w:rPr>
              <w:t>：</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1）</w:t>
            </w:r>
            <w:r>
              <w:rPr>
                <w:rFonts w:hint="eastAsia" w:ascii="Times New Roman" w:hAnsi="Times New Roman" w:cs="Times New Roman"/>
                <w:b w:val="0"/>
                <w:bCs w:val="0"/>
                <w:kern w:val="0"/>
                <w:sz w:val="24"/>
                <w:szCs w:val="24"/>
              </w:rPr>
              <w:t>围堰施工</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对于可能施工与灌溉同时进行的时段（或渠道内尚有残留水的时段），</w:t>
            </w:r>
            <w:r>
              <w:rPr>
                <w:rFonts w:hint="eastAsia" w:ascii="Times New Roman" w:hAnsi="Times New Roman" w:cs="Times New Roman"/>
                <w:b w:val="0"/>
                <w:bCs w:val="0"/>
                <w:kern w:val="0"/>
                <w:sz w:val="24"/>
                <w:szCs w:val="24"/>
              </w:rPr>
              <w:t>施工围堰采用编织袋装粘土堆码成围堰</w:t>
            </w:r>
            <w:r>
              <w:rPr>
                <w:rFonts w:hint="eastAsia" w:ascii="Times New Roman" w:hAnsi="Times New Roman" w:cs="Times New Roman"/>
                <w:b w:val="0"/>
                <w:bCs w:val="0"/>
                <w:kern w:val="0"/>
                <w:sz w:val="24"/>
                <w:szCs w:val="24"/>
                <w:lang w:eastAsia="zh-CN"/>
              </w:rPr>
              <w:t>（</w:t>
            </w:r>
            <w:r>
              <w:rPr>
                <w:rFonts w:hint="eastAsia" w:ascii="Times New Roman" w:hAnsi="Times New Roman" w:cs="Times New Roman"/>
                <w:b w:val="0"/>
                <w:bCs w:val="0"/>
                <w:kern w:val="0"/>
                <w:sz w:val="24"/>
                <w:szCs w:val="24"/>
                <w:u w:val="single"/>
                <w:lang w:val="en-US" w:eastAsia="zh-CN"/>
              </w:rPr>
              <w:t>迎水面须铺设防水土工膜</w:t>
            </w:r>
            <w:r>
              <w:rPr>
                <w:rFonts w:hint="eastAsia" w:ascii="Times New Roman" w:hAnsi="Times New Roman" w:cs="Times New Roman"/>
                <w:b w:val="0"/>
                <w:bCs w:val="0"/>
                <w:kern w:val="0"/>
                <w:sz w:val="24"/>
                <w:szCs w:val="24"/>
                <w:lang w:eastAsia="zh-CN"/>
              </w:rPr>
              <w:t>）</w:t>
            </w:r>
            <w:r>
              <w:rPr>
                <w:rFonts w:hint="eastAsia" w:ascii="Times New Roman" w:hAnsi="Times New Roman" w:cs="Times New Roman"/>
                <w:b w:val="0"/>
                <w:bCs w:val="0"/>
                <w:kern w:val="0"/>
                <w:sz w:val="24"/>
                <w:szCs w:val="24"/>
              </w:rPr>
              <w:t>，断面为梯形。堰高1.2m，堰顶宽0.8m，内外边坡均采用1：1.25m。围堰采用人工方法施工。土料距围堰较远的，选用拖拉机运，人工装编织袋，人工堆码。土料距围堰较近的，开挖后直接装编织袋，人力运输并堆码成型。完成导流任务后采用人工拆除，人力运输</w:t>
            </w:r>
            <w:r>
              <w:rPr>
                <w:rFonts w:hint="eastAsia" w:ascii="Times New Roman" w:hAnsi="Times New Roman" w:cs="Times New Roman"/>
                <w:b w:val="0"/>
                <w:bCs w:val="0"/>
                <w:kern w:val="0"/>
                <w:sz w:val="24"/>
                <w:szCs w:val="24"/>
                <w:lang w:val="en-US" w:eastAsia="zh-CN"/>
              </w:rPr>
              <w:t>临时堆土场</w:t>
            </w:r>
            <w:r>
              <w:rPr>
                <w:rFonts w:hint="eastAsia" w:ascii="Times New Roman" w:hAnsi="Times New Roman" w:cs="Times New Roman"/>
                <w:b w:val="0"/>
                <w:bCs w:val="0"/>
                <w:kern w:val="0"/>
                <w:sz w:val="24"/>
                <w:szCs w:val="24"/>
              </w:rPr>
              <w:t>堆放。</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2）</w:t>
            </w:r>
            <w:r>
              <w:rPr>
                <w:rFonts w:hint="eastAsia" w:ascii="Times New Roman" w:hAnsi="Times New Roman" w:cs="Times New Roman"/>
                <w:b w:val="0"/>
                <w:bCs w:val="0"/>
                <w:kern w:val="0"/>
                <w:sz w:val="24"/>
                <w:szCs w:val="24"/>
              </w:rPr>
              <w:t>拆除施工</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将对项目沿线损毁严重的</w:t>
            </w:r>
            <w:r>
              <w:rPr>
                <w:rFonts w:hint="eastAsia" w:ascii="Times New Roman" w:hAnsi="Times New Roman" w:cs="Times New Roman"/>
                <w:b w:val="0"/>
                <w:bCs w:val="0"/>
                <w:kern w:val="0"/>
                <w:sz w:val="24"/>
                <w:szCs w:val="24"/>
                <w:lang w:val="en-US" w:eastAsia="zh-CN"/>
              </w:rPr>
              <w:t>渠道</w:t>
            </w:r>
            <w:r>
              <w:rPr>
                <w:rFonts w:hint="eastAsia" w:ascii="Times New Roman" w:hAnsi="Times New Roman" w:cs="Times New Roman"/>
                <w:b w:val="0"/>
                <w:bCs w:val="0"/>
                <w:kern w:val="0"/>
                <w:sz w:val="24"/>
                <w:szCs w:val="24"/>
              </w:rPr>
              <w:t>、泄洪闸、进水闸等渠系建筑物进行拆除，拆除采用人工+机械拆除方式，</w:t>
            </w:r>
            <w:r>
              <w:rPr>
                <w:rFonts w:hint="eastAsia" w:ascii="Times New Roman" w:hAnsi="Times New Roman" w:cs="Times New Roman"/>
                <w:b w:val="0"/>
                <w:bCs w:val="0"/>
                <w:kern w:val="0"/>
                <w:sz w:val="24"/>
                <w:szCs w:val="24"/>
                <w:u w:val="single"/>
              </w:rPr>
              <w:t>不采用爆破</w:t>
            </w:r>
            <w:r>
              <w:rPr>
                <w:rFonts w:hint="eastAsia" w:ascii="Times New Roman" w:hAnsi="Times New Roman" w:cs="Times New Roman"/>
                <w:b w:val="0"/>
                <w:bCs w:val="0"/>
                <w:kern w:val="0"/>
                <w:sz w:val="24"/>
                <w:szCs w:val="24"/>
              </w:rPr>
              <w:t>。拆除作业产生建筑垃圾及扬尘。</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3）</w:t>
            </w:r>
            <w:r>
              <w:rPr>
                <w:rFonts w:hint="eastAsia" w:ascii="Times New Roman" w:hAnsi="Times New Roman" w:cs="Times New Roman"/>
                <w:b w:val="0"/>
                <w:bCs w:val="0"/>
                <w:kern w:val="0"/>
                <w:sz w:val="24"/>
                <w:szCs w:val="24"/>
              </w:rPr>
              <w:t>土石方开挖</w:t>
            </w:r>
          </w:p>
          <w:p>
            <w:pPr>
              <w:autoSpaceDE w:val="0"/>
              <w:autoSpaceDN w:val="0"/>
              <w:adjustRightInd w:val="0"/>
              <w:snapToGrid w:val="0"/>
              <w:spacing w:line="360" w:lineRule="auto"/>
              <w:ind w:firstLine="480" w:firstLineChars="200"/>
              <w:rPr>
                <w:rFonts w:hint="eastAsia" w:ascii="Times New Roman" w:hAnsi="Times New Roman" w:cs="Times New Roman"/>
                <w:b w:val="0"/>
                <w:bCs w:val="0"/>
                <w:color w:val="000000" w:themeColor="text1"/>
                <w:kern w:val="0"/>
                <w:sz w:val="24"/>
                <w:szCs w:val="24"/>
                <w14:textFill>
                  <w14:solidFill>
                    <w14:schemeClr w14:val="tx1"/>
                  </w14:solidFill>
                </w14:textFill>
              </w:rPr>
            </w:pPr>
            <w:r>
              <w:rPr>
                <w:rFonts w:hint="eastAsia" w:ascii="Times New Roman" w:hAnsi="Times New Roman" w:cs="Times New Roman"/>
                <w:b w:val="0"/>
                <w:bCs w:val="0"/>
                <w:kern w:val="0"/>
                <w:sz w:val="24"/>
                <w:szCs w:val="24"/>
              </w:rPr>
              <w:t>开挖采用分区分段，自</w:t>
            </w:r>
            <w:r>
              <w:rPr>
                <w:rFonts w:hint="eastAsia" w:ascii="Times New Roman" w:hAnsi="Times New Roman" w:cs="Times New Roman"/>
                <w:b w:val="0"/>
                <w:bCs w:val="0"/>
                <w:color w:val="000000" w:themeColor="text1"/>
                <w:kern w:val="0"/>
                <w:sz w:val="24"/>
                <w:szCs w:val="24"/>
                <w14:textFill>
                  <w14:solidFill>
                    <w14:schemeClr w14:val="tx1"/>
                  </w14:solidFill>
                </w14:textFill>
              </w:rPr>
              <w:t>上而下分层开挖，采用</w:t>
            </w: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0</w:t>
            </w:r>
            <w:r>
              <w:rPr>
                <w:rFonts w:hint="eastAsia" w:ascii="Times New Roman" w:hAnsi="Times New Roman" w:cs="Times New Roman"/>
                <w:b w:val="0"/>
                <w:bCs w:val="0"/>
                <w:color w:val="000000" w:themeColor="text1"/>
                <w:kern w:val="0"/>
                <w:sz w:val="24"/>
                <w:szCs w:val="24"/>
                <w14:textFill>
                  <w14:solidFill>
                    <w14:schemeClr w14:val="tx1"/>
                  </w14:solidFill>
                </w14:textFill>
              </w:rPr>
              <w:t>.6m³反铲挖掘机进行挖装，</w:t>
            </w: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1m</w:t>
            </w:r>
            <w:r>
              <w:rPr>
                <w:rFonts w:hint="eastAsia" w:ascii="Times New Roman" w:hAnsi="Times New Roman" w:cs="Times New Roman"/>
                <w:b w:val="0"/>
                <w:bCs w:val="0"/>
                <w:color w:val="000000" w:themeColor="text1"/>
                <w:kern w:val="0"/>
                <w:sz w:val="24"/>
                <w:szCs w:val="24"/>
                <w:vertAlign w:val="superscript"/>
                <w:lang w:val="en-US" w:eastAsia="zh-CN"/>
                <w14:textFill>
                  <w14:solidFill>
                    <w14:schemeClr w14:val="tx1"/>
                  </w14:solidFill>
                </w14:textFill>
              </w:rPr>
              <w:t>3</w:t>
            </w:r>
            <w:r>
              <w:rPr>
                <w:rFonts w:hint="eastAsia" w:ascii="Times New Roman" w:hAnsi="Times New Roman" w:cs="Times New Roman"/>
                <w:b w:val="0"/>
                <w:bCs w:val="0"/>
                <w:color w:val="000000" w:themeColor="text1"/>
                <w:kern w:val="0"/>
                <w:sz w:val="24"/>
                <w:szCs w:val="24"/>
                <w:vertAlign w:val="baseline"/>
                <w:lang w:val="en-US" w:eastAsia="zh-CN"/>
                <w14:textFill>
                  <w14:solidFill>
                    <w14:schemeClr w14:val="tx1"/>
                  </w14:solidFill>
                </w14:textFill>
              </w:rPr>
              <w:t>机动翻斗车</w:t>
            </w:r>
            <w:r>
              <w:rPr>
                <w:rFonts w:hint="eastAsia" w:ascii="Times New Roman" w:hAnsi="Times New Roman" w:cs="Times New Roman"/>
                <w:b w:val="0"/>
                <w:bCs w:val="0"/>
                <w:color w:val="000000" w:themeColor="text1"/>
                <w:kern w:val="0"/>
                <w:sz w:val="24"/>
                <w:szCs w:val="24"/>
                <w14:textFill>
                  <w14:solidFill>
                    <w14:schemeClr w14:val="tx1"/>
                  </w14:solidFill>
                </w14:textFill>
              </w:rPr>
              <w:t>运输。开挖时应减少对原</w:t>
            </w: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渠</w:t>
            </w:r>
            <w:r>
              <w:rPr>
                <w:rFonts w:hint="eastAsia" w:ascii="Times New Roman" w:hAnsi="Times New Roman" w:cs="Times New Roman"/>
                <w:b w:val="0"/>
                <w:bCs w:val="0"/>
                <w:color w:val="000000" w:themeColor="text1"/>
                <w:kern w:val="0"/>
                <w:sz w:val="24"/>
                <w:szCs w:val="24"/>
                <w14:textFill>
                  <w14:solidFill>
                    <w14:schemeClr w14:val="tx1"/>
                  </w14:solidFill>
                </w14:textFill>
              </w:rPr>
              <w:t>岸坡的扰动，可人工开挖以削为主，也可采用小型机械进行台阶状开挖，有利于回填碾压。开挖的土石方及时回填。</w:t>
            </w:r>
          </w:p>
          <w:p>
            <w:pPr>
              <w:autoSpaceDE w:val="0"/>
              <w:autoSpaceDN w:val="0"/>
              <w:adjustRightInd w:val="0"/>
              <w:snapToGrid w:val="0"/>
              <w:spacing w:line="360" w:lineRule="auto"/>
              <w:ind w:firstLine="480" w:firstLineChars="200"/>
              <w:rPr>
                <w:rFonts w:hint="eastAsia" w:ascii="Times New Roman" w:hAnsi="Times New Roman" w:cs="Times New Roman"/>
                <w:b w:val="0"/>
                <w:bCs w:val="0"/>
                <w:color w:val="000000" w:themeColor="text1"/>
                <w:kern w:val="0"/>
                <w:sz w:val="24"/>
                <w:szCs w:val="24"/>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4</w:t>
            </w:r>
            <w:r>
              <w:rPr>
                <w:rFonts w:hint="eastAsia" w:ascii="Times New Roman" w:hAnsi="Times New Roman" w:cs="Times New Roman"/>
                <w:b w:val="0"/>
                <w:bCs w:val="0"/>
                <w:kern w:val="0"/>
                <w:sz w:val="24"/>
                <w:szCs w:val="24"/>
                <w:lang w:val="en-US" w:eastAsia="zh-CN"/>
              </w:rPr>
              <w:t>）</w:t>
            </w:r>
            <w:r>
              <w:rPr>
                <w:rFonts w:hint="eastAsia" w:ascii="Times New Roman" w:hAnsi="Times New Roman" w:cs="Times New Roman"/>
                <w:b w:val="0"/>
                <w:bCs w:val="0"/>
                <w:color w:val="000000" w:themeColor="text1"/>
                <w:kern w:val="0"/>
                <w:sz w:val="24"/>
                <w:szCs w:val="24"/>
                <w14:textFill>
                  <w14:solidFill>
                    <w14:schemeClr w14:val="tx1"/>
                  </w14:solidFill>
                </w14:textFill>
              </w:rPr>
              <w:t>回填（填筑）工程施工</w:t>
            </w:r>
          </w:p>
          <w:p>
            <w:pPr>
              <w:autoSpaceDE w:val="0"/>
              <w:autoSpaceDN w:val="0"/>
              <w:adjustRightInd w:val="0"/>
              <w:snapToGrid w:val="0"/>
              <w:spacing w:line="360" w:lineRule="auto"/>
              <w:ind w:firstLine="480" w:firstLineChars="200"/>
              <w:rPr>
                <w:rFonts w:hint="eastAsia" w:ascii="Times New Roman" w:hAnsi="Times New Roman" w:cs="Times New Roman"/>
                <w:b w:val="0"/>
                <w:bCs w:val="0"/>
                <w:color w:val="000000" w:themeColor="text1"/>
                <w:kern w:val="0"/>
                <w:sz w:val="24"/>
                <w:szCs w:val="24"/>
                <w14:textFill>
                  <w14:solidFill>
                    <w14:schemeClr w14:val="tx1"/>
                  </w14:solidFill>
                </w14:textFill>
              </w:rPr>
            </w:pP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项目整体</w:t>
            </w:r>
            <w:r>
              <w:rPr>
                <w:rFonts w:hint="eastAsia" w:ascii="Times New Roman" w:hAnsi="Times New Roman" w:cs="Times New Roman"/>
                <w:b w:val="0"/>
                <w:bCs w:val="0"/>
                <w:color w:val="000000" w:themeColor="text1"/>
                <w:kern w:val="0"/>
                <w:sz w:val="24"/>
                <w:szCs w:val="24"/>
                <w14:textFill>
                  <w14:solidFill>
                    <w14:schemeClr w14:val="tx1"/>
                  </w14:solidFill>
                </w14:textFill>
              </w:rPr>
              <w:t>填筑工程土石方回填约3.6520万m</w:t>
            </w:r>
            <w:r>
              <w:rPr>
                <w:rFonts w:hint="eastAsia" w:ascii="Times New Roman" w:hAnsi="Times New Roman" w:cs="Times New Roman"/>
                <w:b w:val="0"/>
                <w:bCs w:val="0"/>
                <w:color w:val="000000" w:themeColor="text1"/>
                <w:kern w:val="0"/>
                <w:sz w:val="24"/>
                <w:szCs w:val="24"/>
                <w:vertAlign w:val="superscript"/>
                <w14:textFill>
                  <w14:solidFill>
                    <w14:schemeClr w14:val="tx1"/>
                  </w14:solidFill>
                </w14:textFill>
              </w:rPr>
              <w:t>3</w:t>
            </w:r>
            <w:r>
              <w:rPr>
                <w:rFonts w:hint="eastAsia" w:ascii="Times New Roman" w:hAnsi="Times New Roman" w:cs="Times New Roman"/>
                <w:b w:val="0"/>
                <w:bCs w:val="0"/>
                <w:color w:val="000000" w:themeColor="text1"/>
                <w:kern w:val="0"/>
                <w:sz w:val="24"/>
                <w:szCs w:val="24"/>
                <w14:textFill>
                  <w14:solidFill>
                    <w14:schemeClr w14:val="tx1"/>
                  </w14:solidFill>
                </w14:textFill>
              </w:rPr>
              <w:t>，项目填筑量</w:t>
            </w: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教</w:t>
            </w:r>
            <w:r>
              <w:rPr>
                <w:rFonts w:hint="eastAsia" w:ascii="Times New Roman" w:hAnsi="Times New Roman" w:cs="Times New Roman"/>
                <w:b w:val="0"/>
                <w:bCs w:val="0"/>
                <w:color w:val="000000" w:themeColor="text1"/>
                <w:kern w:val="0"/>
                <w:sz w:val="24"/>
                <w:szCs w:val="24"/>
                <w14:textFill>
                  <w14:solidFill>
                    <w14:schemeClr w14:val="tx1"/>
                  </w14:solidFill>
                </w14:textFill>
              </w:rPr>
              <w:t>大，采用机械化</w:t>
            </w: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结合</w:t>
            </w:r>
            <w:r>
              <w:rPr>
                <w:rFonts w:hint="eastAsia" w:ascii="Times New Roman" w:hAnsi="Times New Roman" w:cs="Times New Roman"/>
                <w:b w:val="0"/>
                <w:bCs w:val="0"/>
                <w:color w:val="000000" w:themeColor="text1"/>
                <w:kern w:val="0"/>
                <w:sz w:val="24"/>
                <w:szCs w:val="24"/>
                <w14:textFill>
                  <w14:solidFill>
                    <w14:schemeClr w14:val="tx1"/>
                  </w14:solidFill>
                </w14:textFill>
              </w:rPr>
              <w:t>人工</w:t>
            </w: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填筑</w:t>
            </w:r>
            <w:r>
              <w:rPr>
                <w:rFonts w:hint="eastAsia" w:ascii="Times New Roman" w:hAnsi="Times New Roman" w:cs="Times New Roman"/>
                <w:b w:val="0"/>
                <w:bCs w:val="0"/>
                <w:color w:val="000000" w:themeColor="text1"/>
                <w:kern w:val="0"/>
                <w:sz w:val="24"/>
                <w:szCs w:val="24"/>
                <w14:textFill>
                  <w14:solidFill>
                    <w14:schemeClr w14:val="tx1"/>
                  </w14:solidFill>
                </w14:textFill>
              </w:rPr>
              <w:t>，采用分区分层的回填施工方案。</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color w:val="000000" w:themeColor="text1"/>
                <w:kern w:val="0"/>
                <w:sz w:val="24"/>
                <w:szCs w:val="24"/>
                <w14:textFill>
                  <w14:solidFill>
                    <w14:schemeClr w14:val="tx1"/>
                  </w14:solidFill>
                </w14:textFill>
              </w:rPr>
              <w:t>拟采用开挖料填筑，填筑仓面和回填量均较大，拟采用分段、分片、分层机械化流水线回填施工作业，74kW推土机运料，13～14t振动碾压实。填筑采用分层铺料，其每层厚度为0.3～0.4m，碾压采用进退错距法，压实遍数6～9遍。相对密度</w:t>
            </w:r>
            <w:r>
              <w:rPr>
                <w:rFonts w:hint="eastAsia" w:ascii="Times New Roman" w:hAnsi="Times New Roman" w:cs="Times New Roman"/>
                <w:b w:val="0"/>
                <w:bCs w:val="0"/>
                <w:kern w:val="0"/>
                <w:sz w:val="24"/>
                <w:szCs w:val="24"/>
              </w:rPr>
              <w:t>0.62，对于新填砂卵石料与岸坡结合部位的土料，为保证其压实质量，应减少对原堤体的扰动，可人工夯实配合10t斜坡振动碾压密实，也可采用小型机械碾压。</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填筑时，利用开挖料，</w:t>
            </w:r>
            <w:r>
              <w:rPr>
                <w:rFonts w:hint="eastAsia" w:ascii="Times New Roman" w:hAnsi="Times New Roman" w:cs="Times New Roman"/>
                <w:b w:val="0"/>
                <w:bCs w:val="0"/>
                <w:kern w:val="0"/>
                <w:sz w:val="24"/>
                <w:szCs w:val="24"/>
                <w:lang w:val="en-US" w:eastAsia="zh-CN"/>
              </w:rPr>
              <w:t>部分渠段</w:t>
            </w:r>
            <w:r>
              <w:rPr>
                <w:rFonts w:hint="eastAsia" w:ascii="Times New Roman" w:hAnsi="Times New Roman" w:cs="Times New Roman"/>
                <w:b w:val="0"/>
                <w:bCs w:val="0"/>
                <w:kern w:val="0"/>
                <w:sz w:val="24"/>
                <w:szCs w:val="24"/>
              </w:rPr>
              <w:t>机械不便施工时，可采用人工配合打夯机或其他小型机械夯填。回填一律分层平铺倒土，水平分层由低处开始逐层回填，不得顺坡铺填。</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土样检测合格后利用人工与机械进行拉毛，使上下土层之间接合良好。碾压机械行走方向平行堤轴线，对机械无法施工部位，与岸坡结合部位的土料，采用人工配合2.8kW蛙式打夯机夯实。</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5）</w:t>
            </w:r>
            <w:r>
              <w:rPr>
                <w:rFonts w:hint="eastAsia" w:ascii="Times New Roman" w:hAnsi="Times New Roman" w:cs="Times New Roman"/>
                <w:b w:val="0"/>
                <w:bCs w:val="0"/>
                <w:kern w:val="0"/>
                <w:sz w:val="24"/>
                <w:szCs w:val="24"/>
              </w:rPr>
              <w:t>混凝土及砌筑工程</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主要施工工艺：准备工作→立模→钢筋安装混凝土入仓浇筑→振捣→养护。</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A、</w:t>
            </w:r>
            <w:r>
              <w:rPr>
                <w:rFonts w:hint="eastAsia" w:ascii="Times New Roman" w:hAnsi="Times New Roman" w:cs="Times New Roman"/>
                <w:b w:val="0"/>
                <w:bCs w:val="0"/>
                <w:kern w:val="0"/>
                <w:sz w:val="24"/>
                <w:szCs w:val="24"/>
              </w:rPr>
              <w:t>砼</w:t>
            </w:r>
            <w:r>
              <w:rPr>
                <w:rFonts w:hint="eastAsia" w:ascii="Times New Roman" w:hAnsi="Times New Roman" w:cs="Times New Roman"/>
                <w:b w:val="0"/>
                <w:bCs w:val="0"/>
                <w:kern w:val="0"/>
                <w:sz w:val="24"/>
                <w:szCs w:val="24"/>
                <w:lang w:val="en-US" w:eastAsia="zh-CN"/>
              </w:rPr>
              <w:t>浇筑，本项目渠道段商混罐车无法到达，砼采用0.4m</w:t>
            </w:r>
            <w:r>
              <w:rPr>
                <w:rFonts w:hint="eastAsia" w:ascii="Times New Roman" w:hAnsi="Times New Roman" w:cs="Times New Roman"/>
                <w:b w:val="0"/>
                <w:bCs w:val="0"/>
                <w:kern w:val="0"/>
                <w:sz w:val="24"/>
                <w:szCs w:val="24"/>
                <w:vertAlign w:val="superscript"/>
                <w:lang w:val="en-US" w:eastAsia="zh-CN"/>
              </w:rPr>
              <w:t>3</w:t>
            </w:r>
            <w:r>
              <w:rPr>
                <w:rFonts w:hint="eastAsia" w:ascii="Times New Roman" w:hAnsi="Times New Roman" w:cs="Times New Roman"/>
                <w:b w:val="0"/>
                <w:bCs w:val="0"/>
                <w:kern w:val="0"/>
                <w:sz w:val="24"/>
                <w:szCs w:val="24"/>
                <w:lang w:val="en-US" w:eastAsia="zh-CN"/>
              </w:rPr>
              <w:t>砼拌和机拌合，需分段分部位浇筑，每3～5m为一个工作面进行及时浇筑。1m</w:t>
            </w:r>
            <w:r>
              <w:rPr>
                <w:rFonts w:hint="eastAsia" w:ascii="Times New Roman" w:hAnsi="Times New Roman" w:cs="Times New Roman"/>
                <w:b w:val="0"/>
                <w:bCs w:val="0"/>
                <w:kern w:val="0"/>
                <w:sz w:val="24"/>
                <w:szCs w:val="24"/>
                <w:vertAlign w:val="superscript"/>
                <w:lang w:val="en-US" w:eastAsia="zh-CN"/>
              </w:rPr>
              <w:t>3</w:t>
            </w:r>
            <w:r>
              <w:rPr>
                <w:rFonts w:hint="eastAsia" w:ascii="Times New Roman" w:hAnsi="Times New Roman" w:cs="Times New Roman"/>
                <w:b w:val="0"/>
                <w:bCs w:val="0"/>
                <w:kern w:val="0"/>
                <w:sz w:val="24"/>
                <w:szCs w:val="24"/>
                <w:lang w:val="en-US" w:eastAsia="zh-CN"/>
              </w:rPr>
              <w:t>机动翻斗车水平入仓，人工泵送垂直入仓，插入式振捣器振捣。</w:t>
            </w:r>
          </w:p>
          <w:p>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B、</w:t>
            </w:r>
            <w:r>
              <w:rPr>
                <w:rFonts w:hint="eastAsia" w:ascii="Times New Roman" w:hAnsi="Times New Roman" w:cs="Times New Roman"/>
                <w:b w:val="0"/>
                <w:bCs w:val="0"/>
                <w:kern w:val="0"/>
                <w:sz w:val="24"/>
                <w:szCs w:val="24"/>
              </w:rPr>
              <w:t>钢模施工，采用1.1kw/2.2kW插入式振捣器或平板式振捣器振捣砼，对部分落差较大的部位采用溜槽入仓。砼护岸整体性要求较高，施工中应按设计要求的工作缝分仓，减少不必要的施工缝出现。在砼浇筑完成后，应按规范，随时进行保温、保湿等养护措施。出口采取相应的砼缓溜设置，严禁直接从高处下倾倒砼，入口与仓面垂直距离控制在1.5m以内，若垂直距离过大，必须设溜槽或溜筒缓置。砼施工时，需采用砼输送泵、挖掘机或简易缆索起重机配合砼罐进行砼的垂直运输。现浇</w:t>
            </w:r>
            <w:r>
              <w:rPr>
                <w:rFonts w:hint="eastAsia" w:ascii="Times New Roman" w:hAnsi="Times New Roman" w:cs="Times New Roman"/>
                <w:b w:val="0"/>
                <w:bCs w:val="0"/>
                <w:kern w:val="0"/>
                <w:sz w:val="24"/>
                <w:szCs w:val="24"/>
                <w:lang w:val="en-US" w:eastAsia="zh-CN"/>
              </w:rPr>
              <w:t>渠顶道路</w:t>
            </w:r>
            <w:r>
              <w:rPr>
                <w:rFonts w:hint="eastAsia" w:ascii="Times New Roman" w:hAnsi="Times New Roman" w:cs="Times New Roman"/>
                <w:b w:val="0"/>
                <w:bCs w:val="0"/>
                <w:kern w:val="0"/>
                <w:sz w:val="24"/>
                <w:szCs w:val="24"/>
              </w:rPr>
              <w:t>等施工时，可架设支撑结构及脚手架等。</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混凝土砌卵石施工前，首先进行坡面修整，修整后坡度准确，标明平整密实。砌筑时，卵石砌块应坐浆挤紧，后用砼灌缝，注意应无空洞现象。成品砌体外观应牢固，边缘直顺。勾缝平顺，缝宽均匀，无脱落现象。</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C、</w:t>
            </w:r>
            <w:r>
              <w:rPr>
                <w:rFonts w:hint="eastAsia" w:ascii="Times New Roman" w:hAnsi="Times New Roman" w:cs="Times New Roman"/>
                <w:b w:val="0"/>
                <w:bCs w:val="0"/>
                <w:kern w:val="0"/>
                <w:sz w:val="24"/>
                <w:szCs w:val="24"/>
              </w:rPr>
              <w:t>钢筋安装</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所有品种型号的钢筋须经验收合格后，才能进入</w:t>
            </w:r>
            <w:r>
              <w:rPr>
                <w:rFonts w:hint="eastAsia" w:ascii="Times New Roman" w:hAnsi="Times New Roman" w:cs="Times New Roman"/>
                <w:b w:val="0"/>
                <w:bCs w:val="0"/>
                <w:kern w:val="0"/>
                <w:sz w:val="24"/>
                <w:szCs w:val="24"/>
                <w:lang w:val="en-US" w:eastAsia="zh-CN"/>
              </w:rPr>
              <w:t>外部</w:t>
            </w:r>
            <w:r>
              <w:rPr>
                <w:rFonts w:hint="eastAsia" w:ascii="Times New Roman" w:hAnsi="Times New Roman" w:cs="Times New Roman"/>
                <w:b w:val="0"/>
                <w:bCs w:val="0"/>
                <w:kern w:val="0"/>
                <w:sz w:val="24"/>
                <w:szCs w:val="24"/>
              </w:rPr>
              <w:t>钢筋加工厂进行切割、弯曲、焊接等加工制作。钢筋安装的位置、间距、焊接、保护层及各部位钢筋的大小尺寸，严格按设计要求国家标准的有关规定。</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D、</w:t>
            </w:r>
            <w:r>
              <w:rPr>
                <w:rFonts w:hint="eastAsia" w:ascii="Times New Roman" w:hAnsi="Times New Roman" w:cs="Times New Roman"/>
                <w:b w:val="0"/>
                <w:bCs w:val="0"/>
                <w:kern w:val="0"/>
                <w:sz w:val="24"/>
                <w:szCs w:val="24"/>
              </w:rPr>
              <w:t>分缝施工</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伸缩缝施工在混凝土施工完成后进行，采用填塞沥青杉板方式填缝。</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E、</w:t>
            </w:r>
            <w:r>
              <w:rPr>
                <w:rFonts w:hint="eastAsia" w:ascii="Times New Roman" w:hAnsi="Times New Roman" w:cs="Times New Roman"/>
                <w:b w:val="0"/>
                <w:bCs w:val="0"/>
                <w:kern w:val="0"/>
                <w:sz w:val="24"/>
                <w:szCs w:val="24"/>
              </w:rPr>
              <w:t>模板安装及拆除</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面板护坡采用滑模、侧模，其余各类混凝土浇筑模板，拟采用普通标准钢模板。</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模板安装按照放样、立模、支撑加固、吊正找平、尺寸校核、堵塞缝隙及清仓去污的程序进行，并注意与砼浇捣等工序的配合。模板拆除时，不承重的模板在砼强度能保证其表面及棱角不因拆模而受损坏时拆除，拆除时尽可能避免损伤砼构件表面及模板本身。模板拆除后及时加以清理、修整，按模板种类及尺寸堆好，以便重复使用。</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6）附属</w:t>
            </w:r>
            <w:r>
              <w:rPr>
                <w:rFonts w:hint="eastAsia" w:ascii="Times New Roman" w:hAnsi="Times New Roman" w:cs="Times New Roman"/>
                <w:b w:val="0"/>
                <w:bCs w:val="0"/>
                <w:kern w:val="0"/>
                <w:sz w:val="24"/>
                <w:szCs w:val="24"/>
              </w:rPr>
              <w:t>工程</w:t>
            </w:r>
          </w:p>
          <w:p>
            <w:pPr>
              <w:autoSpaceDE w:val="0"/>
              <w:autoSpaceDN w:val="0"/>
              <w:adjustRightInd w:val="0"/>
              <w:snapToGrid w:val="0"/>
              <w:spacing w:line="360" w:lineRule="auto"/>
              <w:ind w:firstLine="480" w:firstLineChars="200"/>
              <w:rPr>
                <w:rFonts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明确加盖板由人工现场直接铺装。</w:t>
            </w:r>
            <w:r>
              <w:rPr>
                <w:rFonts w:hint="eastAsia" w:ascii="Times New Roman" w:hAnsi="Times New Roman" w:cs="Times New Roman"/>
                <w:b w:val="0"/>
                <w:bCs w:val="0"/>
                <w:kern w:val="0"/>
                <w:sz w:val="24"/>
                <w:szCs w:val="24"/>
              </w:rPr>
              <w:t>闸门、启闭机等由具有生产资质的厂家生产，启闭机及电气设备按设计图纸规定的规格配套，10t汽车吊卸车，5～10t电动葫芦吊装。施工条件差和闸门较小的地方，选用5t葫芦吊装。需更换、维护的闸门或启闭机均由人工拆卸、安装等施工作业。</w:t>
            </w:r>
          </w:p>
          <w:p>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sz w:val="24"/>
                <w:szCs w:val="24"/>
                <w:lang w:val="en-US" w:eastAsia="zh-CN"/>
              </w:rPr>
            </w:pP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2</w:t>
            </w: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渠道清淤工艺流程</w:t>
            </w:r>
          </w:p>
          <w:p>
            <w:pPr>
              <w:autoSpaceDE w:val="0"/>
              <w:autoSpaceDN w:val="0"/>
              <w:adjustRightInd w:val="0"/>
              <w:snapToGrid w:val="0"/>
              <w:spacing w:line="360" w:lineRule="auto"/>
              <w:jc w:val="center"/>
              <w:rPr>
                <w:rFonts w:ascii="Times New Roman" w:hAnsi="Times New Roman" w:cs="Times New Roman"/>
                <w:sz w:val="24"/>
                <w:szCs w:val="24"/>
              </w:rPr>
            </w:pPr>
            <w:r>
              <w:drawing>
                <wp:inline distT="0" distB="0" distL="114300" distR="114300">
                  <wp:extent cx="4295775" cy="1885950"/>
                  <wp:effectExtent l="0" t="0" r="9525" b="0"/>
                  <wp:docPr id="1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5"/>
                          <pic:cNvPicPr>
                            <a:picLocks noChangeAspect="1"/>
                          </pic:cNvPicPr>
                        </pic:nvPicPr>
                        <pic:blipFill>
                          <a:blip r:embed="rId64"/>
                          <a:stretch>
                            <a:fillRect/>
                          </a:stretch>
                        </pic:blipFill>
                        <pic:spPr>
                          <a:xfrm>
                            <a:off x="0" y="0"/>
                            <a:ext cx="4295775" cy="1885950"/>
                          </a:xfrm>
                          <a:prstGeom prst="rect">
                            <a:avLst/>
                          </a:prstGeom>
                          <a:noFill/>
                          <a:ln>
                            <a:noFill/>
                          </a:ln>
                        </pic:spPr>
                      </pic:pic>
                    </a:graphicData>
                  </a:graphic>
                </wp:inline>
              </w:drawing>
            </w:r>
          </w:p>
          <w:p>
            <w:pPr>
              <w:autoSpaceDE w:val="0"/>
              <w:autoSpaceDN w:val="0"/>
              <w:adjustRightInd w:val="0"/>
              <w:snapToGrid w:val="0"/>
              <w:spacing w:line="360" w:lineRule="auto"/>
              <w:jc w:val="center"/>
              <w:rPr>
                <w:rFonts w:ascii="Times New Roman" w:hAnsi="Times New Roman" w:cs="Times New Roman"/>
                <w:b/>
                <w:bCs/>
                <w:kern w:val="0"/>
                <w:sz w:val="24"/>
                <w:szCs w:val="24"/>
              </w:rPr>
            </w:pPr>
            <w:r>
              <w:rPr>
                <w:rFonts w:hint="default" w:ascii="Times New Roman" w:hAnsi="Times New Roman" w:eastAsia="宋体" w:cs="Times New Roman"/>
                <w:b/>
                <w:bCs/>
                <w:color w:val="000000" w:themeColor="text1"/>
                <w:szCs w:val="21"/>
                <w14:textFill>
                  <w14:solidFill>
                    <w14:schemeClr w14:val="tx1"/>
                  </w14:solidFill>
                </w14:textFill>
              </w:rPr>
              <w:t>图2-</w:t>
            </w:r>
            <w:r>
              <w:rPr>
                <w:rFonts w:hint="eastAsia" w:ascii="Times New Roman" w:hAnsi="Times New Roman" w:eastAsia="宋体" w:cs="Times New Roman"/>
                <w:b/>
                <w:bCs/>
                <w:color w:val="000000" w:themeColor="text1"/>
                <w:szCs w:val="21"/>
                <w:lang w:val="en-US" w:eastAsia="zh-CN"/>
                <w14:textFill>
                  <w14:solidFill>
                    <w14:schemeClr w14:val="tx1"/>
                  </w14:solidFill>
                </w14:textFill>
              </w:rPr>
              <w:t xml:space="preserve">9 </w:t>
            </w:r>
            <w:r>
              <w:rPr>
                <w:rFonts w:hint="default" w:ascii="Times New Roman" w:hAnsi="Times New Roman" w:eastAsia="宋体" w:cs="Times New Roman"/>
                <w:b/>
                <w:bCs/>
                <w:color w:val="000000" w:themeColor="text1"/>
                <w:szCs w:val="21"/>
                <w14:textFill>
                  <w14:solidFill>
                    <w14:schemeClr w14:val="tx1"/>
                  </w14:solidFill>
                </w14:textFill>
              </w:rPr>
              <w:t xml:space="preserve"> </w:t>
            </w:r>
            <w:r>
              <w:rPr>
                <w:rFonts w:hint="default" w:ascii="Times New Roman" w:hAnsi="Times New Roman" w:eastAsia="宋体" w:cs="Times New Roman"/>
                <w:b/>
                <w:bCs/>
                <w:color w:val="000000" w:themeColor="text1"/>
                <w:szCs w:val="21"/>
                <w:lang w:val="en-US" w:eastAsia="zh-CN"/>
                <w14:textFill>
                  <w14:solidFill>
                    <w14:schemeClr w14:val="tx1"/>
                  </w14:solidFill>
                </w14:textFill>
              </w:rPr>
              <w:t>渠道</w:t>
            </w:r>
            <w:r>
              <w:rPr>
                <w:rFonts w:hint="eastAsia" w:ascii="Times New Roman" w:hAnsi="Times New Roman" w:eastAsia="宋体" w:cs="Times New Roman"/>
                <w:b/>
                <w:bCs/>
                <w:color w:val="000000" w:themeColor="text1"/>
                <w:szCs w:val="21"/>
                <w:lang w:val="en-US" w:eastAsia="zh-CN"/>
                <w14:textFill>
                  <w14:solidFill>
                    <w14:schemeClr w14:val="tx1"/>
                  </w14:solidFill>
                </w14:textFill>
              </w:rPr>
              <w:t>清淤</w:t>
            </w:r>
            <w:r>
              <w:rPr>
                <w:rFonts w:hint="default" w:ascii="Times New Roman" w:hAnsi="Times New Roman" w:eastAsia="宋体" w:cs="Times New Roman"/>
                <w:b/>
                <w:bCs/>
                <w:color w:val="000000" w:themeColor="text1"/>
                <w:szCs w:val="21"/>
                <w:lang w:val="en-US" w:eastAsia="zh-CN"/>
                <w14:textFill>
                  <w14:solidFill>
                    <w14:schemeClr w14:val="tx1"/>
                  </w14:solidFill>
                </w14:textFill>
              </w:rPr>
              <w:t>工艺及产污环节图</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工艺流程简述：</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rPr>
              <w:t>渠道清淤工程采用</w:t>
            </w:r>
            <w:r>
              <w:rPr>
                <w:rFonts w:hint="eastAsia" w:ascii="Times New Roman" w:hAnsi="Times New Roman" w:cs="Times New Roman"/>
                <w:b w:val="0"/>
                <w:bCs w:val="0"/>
                <w:kern w:val="0"/>
                <w:sz w:val="24"/>
                <w:szCs w:val="24"/>
                <w:lang w:val="en-US" w:eastAsia="zh-CN"/>
              </w:rPr>
              <w:t>人工清淤配合0.6</w:t>
            </w:r>
            <w:r>
              <w:rPr>
                <w:rFonts w:hint="eastAsia" w:ascii="Times New Roman" w:hAnsi="Times New Roman" w:cs="Times New Roman"/>
                <w:b w:val="0"/>
                <w:bCs w:val="0"/>
                <w:kern w:val="0"/>
                <w:sz w:val="24"/>
                <w:szCs w:val="24"/>
              </w:rPr>
              <w:t>m</w:t>
            </w:r>
            <w:r>
              <w:rPr>
                <w:rFonts w:hint="eastAsia" w:ascii="Times New Roman" w:hAnsi="Times New Roman" w:cs="Times New Roman"/>
                <w:b w:val="0"/>
                <w:bCs w:val="0"/>
                <w:kern w:val="0"/>
                <w:sz w:val="24"/>
                <w:szCs w:val="24"/>
                <w:vertAlign w:val="superscript"/>
              </w:rPr>
              <w:t>3</w:t>
            </w:r>
            <w:r>
              <w:rPr>
                <w:rFonts w:hint="eastAsia" w:ascii="Times New Roman" w:hAnsi="Times New Roman" w:cs="Times New Roman"/>
                <w:b w:val="0"/>
                <w:bCs w:val="0"/>
                <w:kern w:val="0"/>
                <w:sz w:val="24"/>
                <w:szCs w:val="24"/>
              </w:rPr>
              <w:t>挖掘机挖装，配双胶轮车运输</w:t>
            </w:r>
            <w:r>
              <w:rPr>
                <w:rFonts w:hint="eastAsia" w:ascii="Times New Roman" w:hAnsi="Times New Roman" w:cs="Times New Roman"/>
                <w:b w:val="0"/>
                <w:bCs w:val="0"/>
                <w:kern w:val="0"/>
                <w:sz w:val="24"/>
                <w:szCs w:val="24"/>
                <w:lang w:eastAsia="zh-CN"/>
              </w:rPr>
              <w:t>，</w:t>
            </w:r>
            <w:r>
              <w:rPr>
                <w:rFonts w:hint="eastAsia" w:ascii="Times New Roman" w:hAnsi="Times New Roman" w:cs="Times New Roman"/>
                <w:b w:val="0"/>
                <w:bCs w:val="0"/>
                <w:kern w:val="0"/>
                <w:sz w:val="24"/>
                <w:szCs w:val="24"/>
              </w:rPr>
              <w:t>清理的淤泥送至</w:t>
            </w:r>
            <w:r>
              <w:rPr>
                <w:rFonts w:hint="eastAsia" w:ascii="Times New Roman" w:hAnsi="Times New Roman" w:cs="Times New Roman"/>
                <w:b w:val="0"/>
                <w:bCs w:val="0"/>
                <w:kern w:val="0"/>
                <w:sz w:val="24"/>
                <w:szCs w:val="24"/>
                <w:lang w:val="en-US" w:eastAsia="zh-CN"/>
              </w:rPr>
              <w:t>淤泥堆放场干化</w:t>
            </w:r>
            <w:r>
              <w:rPr>
                <w:rFonts w:hint="eastAsia" w:ascii="Times New Roman" w:hAnsi="Times New Roman" w:cs="Times New Roman"/>
                <w:b w:val="0"/>
                <w:bCs w:val="0"/>
                <w:kern w:val="0"/>
                <w:sz w:val="24"/>
                <w:szCs w:val="24"/>
              </w:rPr>
              <w:t>。挖掘机、推土机及人工将渠基范围内的杂草、腐殖土、盐渍土、淤泥、垃圾、树根等彻底清除，清基厚度不小于</w:t>
            </w:r>
            <w:r>
              <w:rPr>
                <w:rFonts w:hint="eastAsia" w:ascii="Times New Roman" w:hAnsi="Times New Roman" w:cs="Times New Roman"/>
                <w:b w:val="0"/>
                <w:bCs w:val="0"/>
                <w:kern w:val="0"/>
                <w:sz w:val="24"/>
                <w:szCs w:val="24"/>
                <w:lang w:val="en-US" w:eastAsia="zh-CN"/>
              </w:rPr>
              <w:t>20~</w:t>
            </w:r>
            <w:r>
              <w:rPr>
                <w:rFonts w:hint="eastAsia" w:ascii="Times New Roman" w:hAnsi="Times New Roman" w:cs="Times New Roman"/>
                <w:b w:val="0"/>
                <w:bCs w:val="0"/>
                <w:kern w:val="0"/>
                <w:sz w:val="24"/>
                <w:szCs w:val="24"/>
              </w:rPr>
              <w:t>30cm，清除物卸到</w:t>
            </w:r>
            <w:r>
              <w:rPr>
                <w:rFonts w:hint="eastAsia" w:ascii="Times New Roman" w:hAnsi="Times New Roman" w:cs="Times New Roman"/>
                <w:b w:val="0"/>
                <w:bCs w:val="0"/>
                <w:kern w:val="0"/>
                <w:sz w:val="24"/>
                <w:szCs w:val="24"/>
                <w:lang w:val="en-US" w:eastAsia="zh-CN"/>
              </w:rPr>
              <w:t>淤泥堆放场进一步分类处置</w:t>
            </w:r>
            <w:r>
              <w:rPr>
                <w:rFonts w:hint="eastAsia" w:ascii="Times New Roman" w:hAnsi="Times New Roman" w:cs="Times New Roman"/>
                <w:b w:val="0"/>
                <w:bCs w:val="0"/>
                <w:kern w:val="0"/>
                <w:sz w:val="24"/>
                <w:szCs w:val="24"/>
              </w:rPr>
              <w:t>。清除过程中，若遇到地质情况异常，及时通知设计及监理工程师到场协商解决。清基自上而下进行，对边角部位和</w:t>
            </w:r>
            <w:r>
              <w:rPr>
                <w:rFonts w:hint="eastAsia" w:ascii="Times New Roman" w:hAnsi="Times New Roman" w:cs="Times New Roman"/>
                <w:b w:val="0"/>
                <w:bCs w:val="0"/>
                <w:kern w:val="0"/>
                <w:sz w:val="24"/>
                <w:szCs w:val="24"/>
                <w:lang w:val="en-US" w:eastAsia="zh-CN"/>
              </w:rPr>
              <w:t>渠道</w:t>
            </w:r>
            <w:r>
              <w:rPr>
                <w:rFonts w:hint="eastAsia" w:ascii="Times New Roman" w:hAnsi="Times New Roman" w:cs="Times New Roman"/>
                <w:b w:val="0"/>
                <w:bCs w:val="0"/>
                <w:kern w:val="0"/>
                <w:sz w:val="24"/>
                <w:szCs w:val="24"/>
              </w:rPr>
              <w:t>基底局部采用人工清挖进行施工，使其达到设计要求，请监理工程师及建设单位验收合格后再进行下一道</w:t>
            </w:r>
            <w:r>
              <w:rPr>
                <w:rFonts w:hint="eastAsia" w:ascii="Times New Roman" w:hAnsi="Times New Roman" w:cs="Times New Roman"/>
                <w:b w:val="0"/>
                <w:bCs w:val="0"/>
                <w:kern w:val="0"/>
                <w:sz w:val="24"/>
                <w:szCs w:val="24"/>
                <w:lang w:val="en-US" w:eastAsia="zh-CN"/>
              </w:rPr>
              <w:t>渠堤加固</w:t>
            </w:r>
            <w:r>
              <w:rPr>
                <w:rFonts w:hint="eastAsia" w:ascii="Times New Roman" w:hAnsi="Times New Roman" w:cs="Times New Roman"/>
                <w:b w:val="0"/>
                <w:bCs w:val="0"/>
                <w:kern w:val="0"/>
                <w:sz w:val="24"/>
                <w:szCs w:val="24"/>
              </w:rPr>
              <w:t>工序的施工。</w:t>
            </w:r>
          </w:p>
          <w:p>
            <w:pPr>
              <w:numPr>
                <w:ilvl w:val="0"/>
                <w:numId w:val="0"/>
              </w:numPr>
              <w:autoSpaceDE w:val="0"/>
              <w:autoSpaceDN w:val="0"/>
              <w:adjustRightInd w:val="0"/>
              <w:snapToGrid w:val="0"/>
              <w:spacing w:line="360" w:lineRule="auto"/>
              <w:ind w:firstLine="482" w:firstLineChars="200"/>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（3）管道化改造（含新建管道）工艺流程</w:t>
            </w:r>
          </w:p>
          <w:p>
            <w:pPr>
              <w:numPr>
                <w:ilvl w:val="0"/>
                <w:numId w:val="0"/>
              </w:numPr>
              <w:autoSpaceDE w:val="0"/>
              <w:autoSpaceDN w:val="0"/>
              <w:adjustRightInd w:val="0"/>
              <w:snapToGrid w:val="0"/>
              <w:spacing w:line="360" w:lineRule="auto"/>
              <w:ind w:firstLine="480" w:firstLineChars="200"/>
              <w:rPr>
                <w:rFonts w:hint="default"/>
              </w:rPr>
            </w:pPr>
            <w:r>
              <w:rPr>
                <w:rFonts w:hint="eastAsia" w:ascii="Times New Roman" w:hAnsi="Times New Roman" w:cs="Times New Roman"/>
                <w:b w:val="0"/>
                <w:bCs w:val="0"/>
                <w:kern w:val="0"/>
                <w:sz w:val="24"/>
                <w:szCs w:val="24"/>
                <w:lang w:val="en-US" w:eastAsia="zh-CN"/>
              </w:rPr>
              <w:t>对于土渠、完好率低的渠道及无输水工程的灌区采取渠道改管道或新建管道的整治措施，对于沿公路、现状渠道等现有设施布置的管道以明管为主，其他部位和小管径PE管以埋管为主。管道化改造工艺流程如下：</w:t>
            </w:r>
          </w:p>
          <w:p>
            <w:pPr>
              <w:spacing w:after="156" w:afterLines="50" w:line="360" w:lineRule="auto"/>
              <w:jc w:val="center"/>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897880" cy="1736090"/>
                  <wp:effectExtent l="0" t="0" r="7620" b="16510"/>
                  <wp:docPr id="23" name="图片 23" descr="微信截图_2024040218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截图_20240402185302"/>
                          <pic:cNvPicPr>
                            <a:picLocks noChangeAspect="1"/>
                          </pic:cNvPicPr>
                        </pic:nvPicPr>
                        <pic:blipFill>
                          <a:blip r:embed="rId65"/>
                          <a:stretch>
                            <a:fillRect/>
                          </a:stretch>
                        </pic:blipFill>
                        <pic:spPr>
                          <a:xfrm>
                            <a:off x="0" y="0"/>
                            <a:ext cx="5897880" cy="1736090"/>
                          </a:xfrm>
                          <a:prstGeom prst="rect">
                            <a:avLst/>
                          </a:prstGeom>
                        </pic:spPr>
                      </pic:pic>
                    </a:graphicData>
                  </a:graphic>
                </wp:inline>
              </w:drawing>
            </w:r>
          </w:p>
          <w:p>
            <w:pPr>
              <w:spacing w:after="156" w:afterLines="50" w:line="240" w:lineRule="auto"/>
              <w:jc w:val="center"/>
              <w:rPr>
                <w:rFonts w:hint="default" w:ascii="Times New Roman" w:hAnsi="Times New Roman" w:cs="Times New Roman"/>
                <w:lang w:val="zh-CN"/>
              </w:rPr>
            </w:pPr>
            <w:r>
              <w:rPr>
                <w:rFonts w:hint="default" w:ascii="Times New Roman" w:hAnsi="Times New Roman" w:eastAsia="宋体" w:cs="Times New Roman"/>
                <w:b/>
                <w:bCs/>
                <w:color w:val="000000" w:themeColor="text1"/>
                <w:szCs w:val="21"/>
                <w14:textFill>
                  <w14:solidFill>
                    <w14:schemeClr w14:val="tx1"/>
                  </w14:solidFill>
                </w14:textFill>
              </w:rPr>
              <w:t>图2-1</w:t>
            </w:r>
            <w:r>
              <w:rPr>
                <w:rFonts w:hint="eastAsia" w:ascii="Times New Roman" w:hAnsi="Times New Roman" w:eastAsia="宋体" w:cs="Times New Roman"/>
                <w:b/>
                <w:bCs/>
                <w:color w:val="000000" w:themeColor="text1"/>
                <w:szCs w:val="21"/>
                <w:lang w:val="en-US" w:eastAsia="zh-CN"/>
                <w14:textFill>
                  <w14:solidFill>
                    <w14:schemeClr w14:val="tx1"/>
                  </w14:solidFill>
                </w14:textFill>
              </w:rPr>
              <w:t xml:space="preserve">0 </w:t>
            </w:r>
            <w:r>
              <w:rPr>
                <w:rFonts w:hint="default" w:ascii="Times New Roman" w:hAnsi="Times New Roman" w:eastAsia="宋体" w:cs="Times New Roman"/>
                <w:b/>
                <w:bCs/>
                <w:color w:val="000000" w:themeColor="text1"/>
                <w:szCs w:val="21"/>
                <w14:textFill>
                  <w14:solidFill>
                    <w14:schemeClr w14:val="tx1"/>
                  </w14:solidFill>
                </w14:textFill>
              </w:rPr>
              <w:t xml:space="preserve"> </w:t>
            </w:r>
            <w:r>
              <w:rPr>
                <w:rFonts w:hint="eastAsia" w:ascii="Times New Roman" w:hAnsi="Times New Roman" w:eastAsia="宋体" w:cs="Times New Roman"/>
                <w:b/>
                <w:bCs/>
                <w:color w:val="000000" w:themeColor="text1"/>
                <w:szCs w:val="21"/>
                <w:lang w:val="en-US" w:eastAsia="zh-CN"/>
                <w14:textFill>
                  <w14:solidFill>
                    <w14:schemeClr w14:val="tx1"/>
                  </w14:solidFill>
                </w14:textFill>
              </w:rPr>
              <w:t>管道化改造（新建管道）</w:t>
            </w:r>
            <w:r>
              <w:rPr>
                <w:rFonts w:hint="default" w:ascii="Times New Roman" w:hAnsi="Times New Roman" w:eastAsia="宋体" w:cs="Times New Roman"/>
                <w:b/>
                <w:bCs/>
                <w:color w:val="000000" w:themeColor="text1"/>
                <w:szCs w:val="21"/>
                <w:lang w:val="en-US" w:eastAsia="zh-CN"/>
                <w14:textFill>
                  <w14:solidFill>
                    <w14:schemeClr w14:val="tx1"/>
                  </w14:solidFill>
                </w14:textFill>
              </w:rPr>
              <w:t>工艺及产污环节图</w:t>
            </w:r>
          </w:p>
          <w:p>
            <w:pPr>
              <w:autoSpaceDE w:val="0"/>
              <w:autoSpaceDN w:val="0"/>
              <w:adjustRightInd w:val="0"/>
              <w:snapToGrid w:val="0"/>
              <w:spacing w:line="360" w:lineRule="auto"/>
              <w:ind w:firstLine="480" w:firstLineChars="200"/>
              <w:rPr>
                <w:rFonts w:hint="default"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工艺流程简述：</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1</w:t>
            </w:r>
            <w:r>
              <w:rPr>
                <w:rFonts w:hint="eastAsia" w:ascii="Times New Roman" w:hAnsi="Times New Roman" w:cs="Times New Roman"/>
                <w:b w:val="0"/>
                <w:bCs w:val="0"/>
                <w:kern w:val="0"/>
                <w:sz w:val="24"/>
                <w:szCs w:val="24"/>
                <w:lang w:eastAsia="zh-CN"/>
              </w:rPr>
              <w:t>）</w:t>
            </w:r>
            <w:r>
              <w:rPr>
                <w:rFonts w:hint="eastAsia" w:ascii="Times New Roman" w:hAnsi="Times New Roman" w:cs="Times New Roman"/>
                <w:b w:val="0"/>
                <w:bCs w:val="0"/>
                <w:kern w:val="0"/>
                <w:sz w:val="24"/>
                <w:szCs w:val="24"/>
                <w:lang w:val="en-US" w:eastAsia="zh-CN"/>
              </w:rPr>
              <w:t>测量定线</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现场按照设计线路进行定线，确定坐标。</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rPr>
              <w:t>2）</w:t>
            </w:r>
            <w:r>
              <w:rPr>
                <w:rFonts w:hint="eastAsia" w:ascii="Times New Roman" w:hAnsi="Times New Roman" w:cs="Times New Roman"/>
                <w:b w:val="0"/>
                <w:bCs w:val="0"/>
                <w:kern w:val="0"/>
                <w:sz w:val="24"/>
                <w:szCs w:val="24"/>
                <w:lang w:val="en-US" w:eastAsia="zh-CN"/>
              </w:rPr>
              <w:t>土石方、拆除工程</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对于新建管道，</w:t>
            </w:r>
            <w:r>
              <w:rPr>
                <w:rFonts w:hint="eastAsia" w:ascii="Times New Roman" w:hAnsi="Times New Roman" w:cs="Times New Roman"/>
                <w:b w:val="0"/>
                <w:bCs w:val="0"/>
                <w:kern w:val="0"/>
                <w:sz w:val="24"/>
                <w:szCs w:val="24"/>
              </w:rPr>
              <w:t>土</w:t>
            </w:r>
            <w:r>
              <w:rPr>
                <w:rFonts w:hint="eastAsia" w:ascii="Times New Roman" w:hAnsi="Times New Roman" w:cs="Times New Roman"/>
                <w:b w:val="0"/>
                <w:bCs w:val="0"/>
                <w:kern w:val="0"/>
                <w:sz w:val="24"/>
                <w:szCs w:val="24"/>
                <w:lang w:val="en-US" w:eastAsia="zh-CN"/>
              </w:rPr>
              <w:t>石</w:t>
            </w:r>
            <w:r>
              <w:rPr>
                <w:rFonts w:hint="eastAsia" w:ascii="Times New Roman" w:hAnsi="Times New Roman" w:cs="Times New Roman"/>
                <w:b w:val="0"/>
                <w:bCs w:val="0"/>
                <w:kern w:val="0"/>
                <w:sz w:val="24"/>
                <w:szCs w:val="24"/>
              </w:rPr>
              <w:t>方工程主要是管道沟开挖和回填。土方开挖必须严格按设计和施工规范要求进行。因本工程场地面积小，工程量小，</w:t>
            </w:r>
            <w:r>
              <w:rPr>
                <w:rFonts w:hint="eastAsia" w:ascii="Times New Roman" w:hAnsi="Times New Roman" w:cs="Times New Roman"/>
                <w:b w:val="0"/>
                <w:bCs w:val="0"/>
                <w:kern w:val="0"/>
                <w:sz w:val="24"/>
                <w:szCs w:val="24"/>
                <w:lang w:val="en-US" w:eastAsia="zh-CN"/>
              </w:rPr>
              <w:t>采</w:t>
            </w:r>
            <w:r>
              <w:rPr>
                <w:rFonts w:hint="eastAsia" w:ascii="Times New Roman" w:hAnsi="Times New Roman" w:cs="Times New Roman"/>
                <w:b w:val="0"/>
                <w:bCs w:val="0"/>
                <w:kern w:val="0"/>
                <w:sz w:val="24"/>
                <w:szCs w:val="24"/>
              </w:rPr>
              <w:t>用小挖掘机结合人工开挖。开挖时自上向下，在一个工作面内由一端向另一端进行，开挖边坡一次形成。土方开挖应按</w:t>
            </w:r>
            <w:r>
              <w:rPr>
                <w:rFonts w:hint="eastAsia" w:ascii="Times New Roman" w:hAnsi="Times New Roman" w:cs="Times New Roman"/>
                <w:b w:val="0"/>
                <w:bCs w:val="0"/>
                <w:kern w:val="0"/>
                <w:sz w:val="24"/>
                <w:szCs w:val="24"/>
                <w:lang w:val="en-US" w:eastAsia="zh-CN"/>
              </w:rPr>
              <w:t>预定开挖宽度和深度</w:t>
            </w:r>
            <w:r>
              <w:rPr>
                <w:rFonts w:hint="eastAsia" w:ascii="Times New Roman" w:hAnsi="Times New Roman" w:cs="Times New Roman"/>
                <w:b w:val="0"/>
                <w:bCs w:val="0"/>
                <w:kern w:val="0"/>
                <w:sz w:val="24"/>
                <w:szCs w:val="24"/>
              </w:rPr>
              <w:t>进行，并保留一定的富余尺寸。</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u w:val="none"/>
                <w:lang w:val="en-US" w:eastAsia="zh-CN"/>
              </w:rPr>
            </w:pPr>
            <w:r>
              <w:rPr>
                <w:rFonts w:hint="eastAsia" w:ascii="Times New Roman" w:hAnsi="Times New Roman" w:cs="Times New Roman"/>
                <w:b w:val="0"/>
                <w:bCs w:val="0"/>
                <w:kern w:val="0"/>
                <w:sz w:val="24"/>
                <w:szCs w:val="24"/>
                <w:lang w:val="en-US" w:eastAsia="zh-CN"/>
              </w:rPr>
              <w:t>对于旧渠道管道化改造，首先对现有破损渠道进行混凝土、土坝的拆除，</w:t>
            </w:r>
            <w:r>
              <w:rPr>
                <w:rFonts w:hint="eastAsia" w:ascii="Times New Roman" w:hAnsi="Times New Roman" w:cs="Times New Roman"/>
                <w:b w:val="0"/>
                <w:bCs w:val="0"/>
                <w:kern w:val="0"/>
                <w:sz w:val="24"/>
                <w:szCs w:val="24"/>
              </w:rPr>
              <w:t>拆除采用人工+机械拆除方式，</w:t>
            </w:r>
            <w:r>
              <w:rPr>
                <w:rFonts w:hint="eastAsia" w:ascii="Times New Roman" w:hAnsi="Times New Roman" w:cs="Times New Roman"/>
                <w:b w:val="0"/>
                <w:bCs w:val="0"/>
                <w:kern w:val="0"/>
                <w:sz w:val="24"/>
                <w:szCs w:val="24"/>
                <w:u w:val="single"/>
              </w:rPr>
              <w:t>不采用爆破</w:t>
            </w:r>
            <w:r>
              <w:rPr>
                <w:rFonts w:hint="eastAsia" w:ascii="Times New Roman" w:hAnsi="Times New Roman" w:cs="Times New Roman"/>
                <w:b w:val="0"/>
                <w:bCs w:val="0"/>
                <w:kern w:val="0"/>
                <w:sz w:val="24"/>
                <w:szCs w:val="24"/>
                <w:u w:val="none"/>
                <w:lang w:eastAsia="zh-CN"/>
              </w:rPr>
              <w:t>，</w:t>
            </w:r>
            <w:r>
              <w:rPr>
                <w:rFonts w:hint="eastAsia" w:ascii="Times New Roman" w:hAnsi="Times New Roman" w:cs="Times New Roman"/>
                <w:b w:val="0"/>
                <w:bCs w:val="0"/>
                <w:kern w:val="0"/>
                <w:sz w:val="24"/>
                <w:szCs w:val="24"/>
                <w:u w:val="none"/>
                <w:lang w:val="en-US" w:eastAsia="zh-CN"/>
              </w:rPr>
              <w:t>拆除过程产生建渣运至临时堆土场暂存后外运市政指定建筑垃圾处置场处置。</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rPr>
              <w:t>3）</w:t>
            </w:r>
            <w:r>
              <w:rPr>
                <w:rFonts w:hint="eastAsia" w:ascii="Times New Roman" w:hAnsi="Times New Roman" w:cs="Times New Roman"/>
                <w:b w:val="0"/>
                <w:bCs w:val="0"/>
                <w:kern w:val="0"/>
                <w:sz w:val="24"/>
                <w:szCs w:val="24"/>
                <w:lang w:val="en-US" w:eastAsia="zh-CN"/>
              </w:rPr>
              <w:t>管道安装</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u w:val="none"/>
              </w:rPr>
            </w:pPr>
            <w:r>
              <w:rPr>
                <w:rFonts w:hint="eastAsia" w:ascii="Times New Roman" w:hAnsi="Times New Roman" w:cs="Times New Roman"/>
                <w:b w:val="0"/>
                <w:bCs w:val="0"/>
                <w:kern w:val="0"/>
                <w:sz w:val="24"/>
                <w:szCs w:val="24"/>
              </w:rPr>
              <w:t>本项目管道安装和试压执行国标《给水排水管道工程施工及验收规程》（GB50268</w:t>
            </w:r>
            <w:r>
              <w:rPr>
                <w:rFonts w:hint="eastAsia" w:ascii="Times New Roman" w:hAnsi="Times New Roman" w:cs="Times New Roman"/>
                <w:b w:val="0"/>
                <w:bCs w:val="0"/>
                <w:kern w:val="0"/>
                <w:sz w:val="24"/>
                <w:szCs w:val="24"/>
                <w:lang w:val="en-US" w:eastAsia="zh-CN"/>
              </w:rPr>
              <w:t>-</w:t>
            </w:r>
            <w:r>
              <w:rPr>
                <w:rFonts w:hint="eastAsia" w:ascii="Times New Roman" w:hAnsi="Times New Roman" w:cs="Times New Roman"/>
                <w:b w:val="0"/>
                <w:bCs w:val="0"/>
                <w:kern w:val="0"/>
                <w:sz w:val="24"/>
                <w:szCs w:val="24"/>
              </w:rPr>
              <w:t>2008）。始装节一般采用土建施工卷扬机等起重设备吊装，始装节安装应符合DL5017-93规定。始装节安装的里程偏差应不超过±5mm，两端管口垂直度偏差应不超过±3mm，管口圆度偏差不应大于5D/1000，最大不应大于10mm。要防止因上下游管节压缝时移位。作业人员按焊接工艺要求的规范和顺序焊接，预热焊缝和焊接质量应符合DL5017-93要求。</w:t>
            </w:r>
            <w:r>
              <w:rPr>
                <w:rFonts w:hint="eastAsia" w:ascii="Times New Roman" w:hAnsi="Times New Roman" w:cs="Times New Roman"/>
                <w:b w:val="0"/>
                <w:bCs w:val="0"/>
                <w:kern w:val="0"/>
                <w:sz w:val="24"/>
                <w:u w:val="single"/>
                <w:lang w:val="en-US" w:eastAsia="zh-CN"/>
              </w:rPr>
              <w:t>各灌区干、支管输水管道管材采用防腐涂料防腐钢管，小于DN200管径的埋管段管材采用PE100级管1.25Mpa，管径（外径）110~273mm</w:t>
            </w:r>
            <w:r>
              <w:rPr>
                <w:rFonts w:hint="eastAsia" w:ascii="Times New Roman" w:hAnsi="Times New Roman" w:cs="Times New Roman"/>
                <w:b w:val="0"/>
                <w:bCs w:val="0"/>
                <w:kern w:val="0"/>
                <w:sz w:val="24"/>
                <w:u w:val="none"/>
                <w:lang w:val="en-US" w:eastAsia="zh-CN"/>
              </w:rPr>
              <w:t>。</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4</w:t>
            </w:r>
            <w:r>
              <w:rPr>
                <w:rFonts w:hint="eastAsia" w:ascii="Times New Roman" w:hAnsi="Times New Roman" w:cs="Times New Roman"/>
                <w:b w:val="0"/>
                <w:bCs w:val="0"/>
                <w:kern w:val="0"/>
                <w:sz w:val="24"/>
                <w:szCs w:val="24"/>
              </w:rPr>
              <w:t>）管道试压</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rPr>
              <w:t>本项目</w:t>
            </w:r>
            <w:r>
              <w:rPr>
                <w:rFonts w:hint="eastAsia" w:ascii="Times New Roman" w:hAnsi="Times New Roman" w:cs="Times New Roman"/>
                <w:b w:val="0"/>
                <w:bCs w:val="0"/>
                <w:kern w:val="0"/>
                <w:sz w:val="24"/>
                <w:szCs w:val="24"/>
                <w:lang w:val="en-US" w:eastAsia="zh-CN"/>
              </w:rPr>
              <w:t>管道</w:t>
            </w:r>
            <w:r>
              <w:rPr>
                <w:rFonts w:hint="eastAsia" w:ascii="Times New Roman" w:hAnsi="Times New Roman" w:cs="Times New Roman"/>
                <w:b w:val="0"/>
                <w:bCs w:val="0"/>
                <w:kern w:val="0"/>
                <w:sz w:val="24"/>
                <w:szCs w:val="24"/>
              </w:rPr>
              <w:t>安装完成后，管道沿线有专人监视、记录，并有可靠的通讯联络设施进行整体或分段水压试验。</w:t>
            </w:r>
            <w:r>
              <w:rPr>
                <w:rFonts w:hint="eastAsia" w:ascii="Times New Roman" w:hAnsi="Times New Roman" w:cs="Times New Roman"/>
                <w:b w:val="0"/>
                <w:bCs w:val="0"/>
                <w:kern w:val="0"/>
                <w:sz w:val="24"/>
                <w:szCs w:val="24"/>
                <w:lang w:val="en-US" w:eastAsia="zh-CN"/>
              </w:rPr>
              <w:t>试压废水用于场内洒水降尘。</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5</w:t>
            </w:r>
            <w:r>
              <w:rPr>
                <w:rFonts w:hint="eastAsia" w:ascii="Times New Roman" w:hAnsi="Times New Roman" w:cs="Times New Roman"/>
                <w:b w:val="0"/>
                <w:bCs w:val="0"/>
                <w:kern w:val="0"/>
                <w:sz w:val="24"/>
                <w:szCs w:val="24"/>
                <w:lang w:eastAsia="zh-CN"/>
              </w:rPr>
              <w:t>）</w:t>
            </w:r>
            <w:r>
              <w:rPr>
                <w:rFonts w:hint="eastAsia" w:ascii="Times New Roman" w:hAnsi="Times New Roman" w:cs="Times New Roman"/>
                <w:b w:val="0"/>
                <w:bCs w:val="0"/>
                <w:kern w:val="0"/>
                <w:sz w:val="24"/>
                <w:szCs w:val="24"/>
                <w:lang w:val="en-US" w:eastAsia="zh-CN"/>
              </w:rPr>
              <w:t>土方回填</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暗管段需要进行土石方回填，</w:t>
            </w:r>
            <w:r>
              <w:rPr>
                <w:rFonts w:hint="eastAsia" w:ascii="Times New Roman" w:hAnsi="Times New Roman" w:cs="Times New Roman"/>
                <w:b w:val="0"/>
                <w:bCs w:val="0"/>
                <w:kern w:val="0"/>
                <w:sz w:val="24"/>
                <w:szCs w:val="24"/>
              </w:rPr>
              <w:t>管道沟槽回填采用粗砂回填冲水夯实。虚铺厚度控制在0.3m以内，再由小型机械动夯实，每层铺土都力求平整。回填夯实时，小型夯机夯实时不可触碰到管道，仅可在管道边缘5cm处夯实。管道边缘处机械无法夯实的部位，人工用工具夯实，夯实时不可对管道造成影响，防止使管道移位。不能用电动夯的部位用人工夯夯实。相邻作业面应均衡上升，以减少施工缝；一个面层完成时，必须清除结合部位的各种杂物，保持与下一面层的结合部位清洁方可进行下一面层的施工。管侧填土压实度要求达到90%。</w:t>
            </w:r>
          </w:p>
          <w:p>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sz w:val="24"/>
                <w:szCs w:val="24"/>
                <w:lang w:val="en-US" w:eastAsia="zh-CN"/>
              </w:rPr>
            </w:pP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4</w:t>
            </w: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渡槽拆除重建工艺流程</w:t>
            </w:r>
          </w:p>
          <w:p>
            <w:pPr>
              <w:pStyle w:val="3"/>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渡槽拆除重建工艺流程如下：</w:t>
            </w:r>
          </w:p>
          <w:p>
            <w:pPr>
              <w:jc w:val="center"/>
              <w:rPr>
                <w:rFonts w:hint="eastAsia" w:ascii="Times New Roman" w:hAnsi="Times New Roman" w:cs="Times New Roman" w:eastAsiaTheme="minorEastAsia"/>
                <w:b w:val="0"/>
                <w:bCs w:val="0"/>
                <w:kern w:val="0"/>
                <w:sz w:val="24"/>
                <w:szCs w:val="24"/>
                <w:lang w:eastAsia="zh-CN"/>
              </w:rPr>
            </w:pPr>
            <w:r>
              <w:rPr>
                <w:rFonts w:hint="eastAsia" w:ascii="Times New Roman" w:hAnsi="Times New Roman" w:cs="Times New Roman" w:eastAsiaTheme="minorEastAsia"/>
                <w:b w:val="0"/>
                <w:bCs w:val="0"/>
                <w:kern w:val="0"/>
                <w:sz w:val="24"/>
                <w:szCs w:val="24"/>
                <w:lang w:eastAsia="zh-CN"/>
              </w:rPr>
              <w:drawing>
                <wp:inline distT="0" distB="0" distL="114300" distR="114300">
                  <wp:extent cx="4578350" cy="4564380"/>
                  <wp:effectExtent l="0" t="0" r="12700" b="7620"/>
                  <wp:docPr id="35" name="图片 3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1"/>
                          <pic:cNvPicPr>
                            <a:picLocks noChangeAspect="1"/>
                          </pic:cNvPicPr>
                        </pic:nvPicPr>
                        <pic:blipFill>
                          <a:blip r:embed="rId66"/>
                          <a:stretch>
                            <a:fillRect/>
                          </a:stretch>
                        </pic:blipFill>
                        <pic:spPr>
                          <a:xfrm>
                            <a:off x="0" y="0"/>
                            <a:ext cx="4578350" cy="4564380"/>
                          </a:xfrm>
                          <a:prstGeom prst="rect">
                            <a:avLst/>
                          </a:prstGeom>
                        </pic:spPr>
                      </pic:pic>
                    </a:graphicData>
                  </a:graphic>
                </wp:inline>
              </w:drawing>
            </w:r>
          </w:p>
          <w:p>
            <w:pPr>
              <w:pStyle w:val="3"/>
              <w:jc w:val="center"/>
              <w:rPr>
                <w:rFonts w:hint="eastAsia" w:ascii="Times New Roman" w:hAnsi="Times New Roman" w:cs="Times New Roman"/>
                <w:b w:val="0"/>
                <w:bCs w:val="0"/>
                <w:kern w:val="0"/>
                <w:sz w:val="24"/>
                <w:szCs w:val="24"/>
              </w:rPr>
            </w:pPr>
            <w:r>
              <w:rPr>
                <w:rFonts w:hint="default" w:ascii="Times New Roman" w:hAnsi="Times New Roman" w:cs="Times New Roman"/>
                <w:b/>
                <w:sz w:val="21"/>
                <w:szCs w:val="21"/>
              </w:rPr>
              <w:t>图</w:t>
            </w:r>
            <w:r>
              <w:rPr>
                <w:rFonts w:hint="eastAsia" w:ascii="Times New Roman" w:hAnsi="Times New Roman" w:cs="Times New Roman"/>
                <w:b/>
                <w:sz w:val="21"/>
                <w:szCs w:val="21"/>
                <w:lang w:val="en-US" w:eastAsia="zh-CN"/>
              </w:rPr>
              <w:t>2</w:t>
            </w:r>
            <w:r>
              <w:rPr>
                <w:rFonts w:hint="default" w:ascii="Times New Roman" w:hAnsi="Times New Roman" w:cs="Times New Roman"/>
                <w:b/>
                <w:sz w:val="21"/>
                <w:szCs w:val="21"/>
              </w:rPr>
              <w:t>-</w:t>
            </w:r>
            <w:r>
              <w:rPr>
                <w:rFonts w:hint="eastAsia" w:ascii="Times New Roman" w:hAnsi="Times New Roman" w:cs="Times New Roman"/>
                <w:b/>
                <w:sz w:val="21"/>
                <w:szCs w:val="21"/>
                <w:lang w:val="en-US" w:eastAsia="zh-CN"/>
              </w:rPr>
              <w:t xml:space="preserve">11 </w:t>
            </w:r>
            <w:r>
              <w:rPr>
                <w:rFonts w:hint="default" w:ascii="Times New Roman" w:hAnsi="Times New Roman" w:cs="Times New Roman"/>
                <w:b/>
                <w:sz w:val="21"/>
                <w:szCs w:val="21"/>
              </w:rPr>
              <w:t xml:space="preserve"> </w:t>
            </w:r>
            <w:r>
              <w:rPr>
                <w:rFonts w:hint="eastAsia" w:ascii="Times New Roman" w:hAnsi="Times New Roman" w:cs="Times New Roman"/>
                <w:b/>
                <w:sz w:val="21"/>
                <w:szCs w:val="21"/>
                <w:lang w:val="en-US" w:eastAsia="zh-CN"/>
              </w:rPr>
              <w:t>渡槽施工</w:t>
            </w:r>
            <w:r>
              <w:rPr>
                <w:rFonts w:hint="default" w:ascii="Times New Roman" w:hAnsi="Times New Roman" w:cs="Times New Roman"/>
                <w:b/>
                <w:sz w:val="21"/>
                <w:szCs w:val="21"/>
              </w:rPr>
              <w:t>工艺流程及产污环节图</w:t>
            </w:r>
          </w:p>
          <w:p>
            <w:pPr>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eastAsiaTheme="minorEastAsia"/>
                <w:b w:val="0"/>
                <w:bCs w:val="0"/>
                <w:kern w:val="0"/>
                <w:sz w:val="24"/>
                <w:szCs w:val="24"/>
                <w:lang w:val="en-US" w:eastAsia="zh-CN" w:bidi="ar-SA"/>
              </w:rPr>
              <w:t>工艺流程简述：</w:t>
            </w:r>
          </w:p>
          <w:p>
            <w:pPr>
              <w:pStyle w:val="3"/>
              <w:spacing w:line="360" w:lineRule="auto"/>
              <w:ind w:firstLine="480" w:firstLineChars="200"/>
              <w:rPr>
                <w:rFonts w:hint="default" w:ascii="Times New Roman" w:hAnsi="Times New Roman" w:cs="Times New Roman"/>
                <w:b w:val="0"/>
                <w:bCs w:val="0"/>
                <w:kern w:val="0"/>
                <w:sz w:val="24"/>
                <w:szCs w:val="24"/>
                <w:lang w:val="en-US"/>
              </w:rPr>
            </w:pPr>
            <w:r>
              <w:rPr>
                <w:rFonts w:hint="eastAsia" w:ascii="Times New Roman" w:hAnsi="Times New Roman" w:cs="Times New Roman"/>
                <w:b w:val="0"/>
                <w:bCs w:val="0"/>
                <w:kern w:val="0"/>
                <w:sz w:val="24"/>
                <w:szCs w:val="24"/>
                <w:lang w:val="en-US" w:eastAsia="zh-CN" w:bidi="ar-SA"/>
              </w:rPr>
              <w:t>1）破损渡槽拆除</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b w:val="0"/>
                <w:bCs w:val="0"/>
                <w:kern w:val="0"/>
                <w:sz w:val="24"/>
                <w:szCs w:val="24"/>
                <w:lang w:val="en-US" w:eastAsia="zh-CN" w:bidi="ar-SA"/>
              </w:rPr>
              <w:t>采用挖掘机结合人力方式对破损渡槽进行拆除，拆除选择无水时段进行</w:t>
            </w:r>
            <w:r>
              <w:rPr>
                <w:rFonts w:hint="eastAsia" w:ascii="Times New Roman" w:hAnsi="Times New Roman" w:cs="Times New Roman" w:eastAsiaTheme="minorEastAsia"/>
                <w:b w:val="0"/>
                <w:bCs w:val="0"/>
                <w:kern w:val="0"/>
                <w:sz w:val="24"/>
                <w:szCs w:val="24"/>
                <w:lang w:val="en-US" w:eastAsia="zh-CN" w:bidi="ar-SA"/>
              </w:rPr>
              <w:t>。</w:t>
            </w:r>
          </w:p>
          <w:p>
            <w:pPr>
              <w:spacing w:line="360" w:lineRule="auto"/>
              <w:ind w:firstLine="480" w:firstLineChars="200"/>
              <w:rPr>
                <w:rFonts w:hint="default"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b w:val="0"/>
                <w:bCs w:val="0"/>
                <w:kern w:val="0"/>
                <w:sz w:val="24"/>
                <w:szCs w:val="24"/>
                <w:lang w:val="en-US" w:eastAsia="zh-CN" w:bidi="ar-SA"/>
              </w:rPr>
              <w:t>2）</w:t>
            </w:r>
            <w:r>
              <w:rPr>
                <w:rFonts w:hint="eastAsia" w:ascii="Times New Roman" w:hAnsi="Times New Roman" w:cs="Times New Roman" w:eastAsiaTheme="minorEastAsia"/>
                <w:b w:val="0"/>
                <w:bCs w:val="0"/>
                <w:kern w:val="0"/>
                <w:sz w:val="24"/>
                <w:szCs w:val="24"/>
                <w:lang w:val="en-US" w:eastAsia="zh-CN" w:bidi="ar-SA"/>
              </w:rPr>
              <w:t>墩、台基础施工、台身施工</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eastAsiaTheme="minorEastAsia"/>
                <w:b w:val="0"/>
                <w:bCs w:val="0"/>
                <w:kern w:val="0"/>
                <w:sz w:val="24"/>
                <w:szCs w:val="24"/>
                <w:lang w:val="en-US" w:eastAsia="zh-CN" w:bidi="ar-SA"/>
              </w:rPr>
              <w:t>渡槽桥墩基础均采用C</w:t>
            </w:r>
            <w:r>
              <w:rPr>
                <w:rFonts w:hint="eastAsia" w:ascii="Times New Roman" w:hAnsi="Times New Roman" w:cs="Times New Roman"/>
                <w:b w:val="0"/>
                <w:bCs w:val="0"/>
                <w:kern w:val="0"/>
                <w:sz w:val="24"/>
                <w:szCs w:val="24"/>
                <w:lang w:val="en-US" w:eastAsia="zh-CN" w:bidi="ar-SA"/>
              </w:rPr>
              <w:t>25钢</w:t>
            </w:r>
            <w:r>
              <w:rPr>
                <w:rFonts w:hint="eastAsia" w:ascii="Times New Roman" w:hAnsi="Times New Roman" w:cs="Times New Roman" w:eastAsiaTheme="minorEastAsia"/>
                <w:b w:val="0"/>
                <w:bCs w:val="0"/>
                <w:kern w:val="0"/>
                <w:sz w:val="24"/>
                <w:szCs w:val="24"/>
                <w:lang w:val="en-US" w:eastAsia="zh-CN" w:bidi="ar-SA"/>
              </w:rPr>
              <w:t>混扩大基础。基坑检验合格后，支模进行基础混凝土的现浇作业。渡槽基础混凝土浇筑要经渡槽基础验收合格后再浇筑，模板采用钢模进行拼装，用钢管做围檩，在模板底部外侧预设短钢筋来固定模板底部，上部用钢管斜撑调整垂直度并固定于坑壁上。安装完毕及时检查位置(轴线)及几何尺寸是否符合图纸要求。</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eastAsiaTheme="minorEastAsia"/>
                <w:b w:val="0"/>
                <w:bCs w:val="0"/>
                <w:kern w:val="0"/>
                <w:sz w:val="24"/>
                <w:szCs w:val="24"/>
                <w:lang w:val="en-US" w:eastAsia="zh-CN" w:bidi="ar-SA"/>
              </w:rPr>
              <w:t>浇筑时有专人看模，及时纠正模板系统的变形和防止漏浆。混凝土采用集中拌和，运输车运送到现场人工入仓。混凝土坍落度控制在8~10cm。浇筑砼采用插入式振捣器进行捣实，振捣器的插入要紧跟砼的入模，防止漏振与过振。浇筑时在整个平截面范围水平分层进行浇筑，每层厚度不大于30cm，上下两层间隙时间应尽量缩短，在振捣时要将插入式振捣器的振动棒稍伸入到下层5~10cm。振捣时间以被振捣砼表面停止沉落和表面气泡不再冒出为准。基础顶面做好抹面工作。</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eastAsiaTheme="minorEastAsia"/>
                <w:b w:val="0"/>
                <w:bCs w:val="0"/>
                <w:kern w:val="0"/>
                <w:sz w:val="24"/>
                <w:szCs w:val="24"/>
                <w:lang w:val="en-US" w:eastAsia="zh-CN" w:bidi="ar-SA"/>
              </w:rPr>
              <w:t>混凝土浇筑完成并在收浆后尽快予以覆盖和酒水养护。当气温低于5℃时，进行覆盖保温，不得洒水。混凝土酒水养护时间一般为7d，每天酒水次数以能保持混凝土表面经常处于湿润状态为度。拆模后采用塑料薄膜封闭养护。</w:t>
            </w:r>
          </w:p>
          <w:p>
            <w:pPr>
              <w:spacing w:line="360" w:lineRule="auto"/>
              <w:ind w:firstLine="480" w:firstLineChars="200"/>
              <w:rPr>
                <w:rFonts w:hint="default"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b w:val="0"/>
                <w:bCs w:val="0"/>
                <w:kern w:val="0"/>
                <w:sz w:val="24"/>
                <w:szCs w:val="24"/>
                <w:lang w:val="en-US" w:eastAsia="zh-CN" w:bidi="ar-SA"/>
              </w:rPr>
              <w:t>3）</w:t>
            </w:r>
            <w:r>
              <w:rPr>
                <w:rFonts w:hint="eastAsia" w:ascii="Times New Roman" w:hAnsi="Times New Roman" w:cs="Times New Roman" w:eastAsiaTheme="minorEastAsia"/>
                <w:b w:val="0"/>
                <w:bCs w:val="0"/>
                <w:kern w:val="0"/>
                <w:sz w:val="24"/>
                <w:szCs w:val="24"/>
                <w:lang w:val="en-US" w:eastAsia="zh-CN" w:bidi="ar-SA"/>
              </w:rPr>
              <w:t>排架墩、槽身施工</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b w:val="0"/>
                <w:bCs w:val="0"/>
                <w:kern w:val="0"/>
                <w:sz w:val="24"/>
                <w:szCs w:val="24"/>
                <w:lang w:val="en-US" w:eastAsia="zh-CN" w:bidi="ar-SA"/>
              </w:rPr>
              <w:t>①</w:t>
            </w:r>
            <w:r>
              <w:rPr>
                <w:rFonts w:hint="eastAsia" w:ascii="Times New Roman" w:hAnsi="Times New Roman" w:cs="Times New Roman" w:eastAsiaTheme="minorEastAsia"/>
                <w:b w:val="0"/>
                <w:bCs w:val="0"/>
                <w:kern w:val="0"/>
                <w:sz w:val="24"/>
                <w:szCs w:val="24"/>
                <w:lang w:val="en-US" w:eastAsia="zh-CN" w:bidi="ar-SA"/>
              </w:rPr>
              <w:t>模板</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eastAsiaTheme="minorEastAsia"/>
                <w:b w:val="0"/>
                <w:bCs w:val="0"/>
                <w:kern w:val="0"/>
                <w:sz w:val="24"/>
                <w:szCs w:val="24"/>
                <w:lang w:val="en-US" w:eastAsia="zh-CN" w:bidi="ar-SA"/>
              </w:rPr>
              <w:t>渡槽槽身模板采用专门定制大型钢模。立模时利用架设的脚手排架作为支撑进行固定。</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b w:val="0"/>
                <w:bCs w:val="0"/>
                <w:kern w:val="0"/>
                <w:sz w:val="24"/>
                <w:szCs w:val="24"/>
                <w:lang w:val="en-US" w:eastAsia="zh-CN" w:bidi="ar-SA"/>
              </w:rPr>
              <w:t>②</w:t>
            </w:r>
            <w:r>
              <w:rPr>
                <w:rFonts w:hint="eastAsia" w:ascii="Times New Roman" w:hAnsi="Times New Roman" w:cs="Times New Roman" w:eastAsiaTheme="minorEastAsia"/>
                <w:b w:val="0"/>
                <w:bCs w:val="0"/>
                <w:kern w:val="0"/>
                <w:sz w:val="24"/>
                <w:szCs w:val="24"/>
                <w:lang w:val="en-US" w:eastAsia="zh-CN" w:bidi="ar-SA"/>
              </w:rPr>
              <w:t>钢筋</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eastAsiaTheme="minorEastAsia"/>
                <w:b w:val="0"/>
                <w:bCs w:val="0"/>
                <w:kern w:val="0"/>
                <w:sz w:val="24"/>
                <w:szCs w:val="24"/>
                <w:lang w:val="en-US" w:eastAsia="zh-CN" w:bidi="ar-SA"/>
              </w:rPr>
              <w:t>钢筋在钢筋加工厂集中加工编号，现场吊装绑扎。</w:t>
            </w:r>
          </w:p>
          <w:p>
            <w:pPr>
              <w:spacing w:line="360" w:lineRule="auto"/>
              <w:ind w:firstLine="480" w:firstLineChars="200"/>
              <w:rPr>
                <w:rFonts w:hint="eastAsia" w:ascii="Times New Roman" w:hAnsi="Times New Roman" w:cs="Times New Roman" w:eastAsiaTheme="minorEastAsia"/>
                <w:b w:val="0"/>
                <w:bCs w:val="0"/>
                <w:kern w:val="0"/>
                <w:sz w:val="24"/>
                <w:szCs w:val="24"/>
                <w:lang w:val="en-US" w:eastAsia="zh-CN" w:bidi="ar-SA"/>
              </w:rPr>
            </w:pPr>
            <w:r>
              <w:rPr>
                <w:rFonts w:hint="eastAsia" w:ascii="Times New Roman" w:hAnsi="Times New Roman" w:cs="Times New Roman"/>
                <w:b w:val="0"/>
                <w:bCs w:val="0"/>
                <w:kern w:val="0"/>
                <w:sz w:val="24"/>
                <w:szCs w:val="24"/>
                <w:lang w:val="en-US" w:eastAsia="zh-CN" w:bidi="ar-SA"/>
              </w:rPr>
              <w:t>③</w:t>
            </w:r>
            <w:r>
              <w:rPr>
                <w:rFonts w:hint="eastAsia" w:ascii="Times New Roman" w:hAnsi="Times New Roman" w:cs="Times New Roman" w:eastAsiaTheme="minorEastAsia"/>
                <w:b w:val="0"/>
                <w:bCs w:val="0"/>
                <w:kern w:val="0"/>
                <w:sz w:val="24"/>
                <w:szCs w:val="24"/>
                <w:lang w:val="en-US" w:eastAsia="zh-CN" w:bidi="ar-SA"/>
              </w:rPr>
              <w:t>混凝土入仓</w:t>
            </w:r>
            <w:r>
              <w:rPr>
                <w:rFonts w:hint="eastAsia" w:ascii="Times New Roman" w:hAnsi="Times New Roman" w:cs="Times New Roman"/>
                <w:b w:val="0"/>
                <w:bCs w:val="0"/>
                <w:kern w:val="0"/>
                <w:sz w:val="24"/>
                <w:szCs w:val="24"/>
                <w:lang w:val="en-US" w:eastAsia="zh-CN" w:bidi="ar-SA"/>
              </w:rPr>
              <w:t>：</w:t>
            </w:r>
            <w:r>
              <w:rPr>
                <w:rFonts w:hint="eastAsia" w:ascii="Times New Roman" w:hAnsi="Times New Roman" w:cs="Times New Roman"/>
                <w:b w:val="0"/>
                <w:bCs w:val="0"/>
                <w:kern w:val="0"/>
                <w:sz w:val="24"/>
                <w:szCs w:val="24"/>
                <w:lang w:val="en-US" w:eastAsia="zh-CN"/>
              </w:rPr>
              <w:t>采用0.4m³砼拌和机拌合，需分段分部位浇筑，每3～5m为一个工作面进行及时浇筑。1m³机动翻斗车水平入仓，人工泵送垂直入仓，插入式振捣器振捣</w:t>
            </w:r>
            <w:r>
              <w:rPr>
                <w:rFonts w:hint="eastAsia" w:ascii="Times New Roman" w:hAnsi="Times New Roman" w:cs="Times New Roman" w:eastAsiaTheme="minorEastAsia"/>
                <w:b w:val="0"/>
                <w:bCs w:val="0"/>
                <w:kern w:val="0"/>
                <w:sz w:val="24"/>
                <w:szCs w:val="24"/>
                <w:lang w:val="en-US" w:eastAsia="zh-CN" w:bidi="ar-SA"/>
              </w:rPr>
              <w:t>。</w:t>
            </w:r>
          </w:p>
          <w:p>
            <w:pPr>
              <w:pStyle w:val="15"/>
              <w:spacing w:line="360" w:lineRule="auto"/>
              <w:rPr>
                <w:rFonts w:hint="default" w:ascii="Times New Roman" w:hAnsi="Times New Roman" w:cs="Times New Roman"/>
                <w:b w:val="0"/>
                <w:bCs w:val="0"/>
                <w:kern w:val="0"/>
                <w:sz w:val="24"/>
                <w:szCs w:val="24"/>
                <w:lang w:val="en-US" w:eastAsia="zh-CN" w:bidi="ar-SA"/>
              </w:rPr>
            </w:pPr>
            <w:r>
              <w:rPr>
                <w:rFonts w:hint="eastAsia" w:ascii="Times New Roman" w:hAnsi="Times New Roman" w:cs="Times New Roman"/>
                <w:b w:val="0"/>
                <w:bCs w:val="0"/>
                <w:kern w:val="0"/>
                <w:sz w:val="24"/>
                <w:szCs w:val="24"/>
                <w:lang w:val="en-US" w:eastAsia="zh-CN" w:bidi="ar-SA"/>
              </w:rPr>
              <w:t>4）接口及内壁处理</w:t>
            </w:r>
          </w:p>
          <w:p>
            <w:pPr>
              <w:pStyle w:val="15"/>
              <w:spacing w:line="360" w:lineRule="auto"/>
              <w:rPr>
                <w:rFonts w:hint="eastAsia"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根据招标设计，渡槽15m设置伸缩缝一道，缝宽3cm。接缝处采用665型胶止水带、聚氯乙烯胶泥、沥青砂浆填塞。填塞方法：将内杂物清理干净，施工方法采用“热拌热铺”；内外模用对拉螺杆紧固，形成整体。栏杆底面与下部连接混凝土接缝要精心处理，以防漏浆。</w:t>
            </w:r>
          </w:p>
          <w:p>
            <w:pPr>
              <w:pStyle w:val="15"/>
              <w:spacing w:line="360" w:lineRule="auto"/>
              <w:rPr>
                <w:rFonts w:hint="eastAsia" w:ascii="Times New Roman" w:hAnsi="Times New Roman" w:cs="Times New Roman"/>
                <w:b/>
                <w:bCs/>
                <w:kern w:val="0"/>
                <w:sz w:val="24"/>
                <w:szCs w:val="24"/>
                <w:lang w:val="en-US" w:eastAsia="zh-CN"/>
              </w:rPr>
            </w:pPr>
            <w:r>
              <w:rPr>
                <w:rFonts w:hint="eastAsia" w:ascii="Times New Roman" w:hAnsi="Times New Roman" w:cs="Times New Roman"/>
                <w:b/>
                <w:bCs/>
                <w:kern w:val="0"/>
                <w:sz w:val="24"/>
                <w:szCs w:val="24"/>
                <w:lang w:val="en-US" w:eastAsia="zh-CN"/>
              </w:rPr>
              <w:t>（5）隧洞引管</w:t>
            </w:r>
          </w:p>
          <w:p>
            <w:pPr>
              <w:autoSpaceDE w:val="0"/>
              <w:autoSpaceDN w:val="0"/>
              <w:adjustRightInd w:val="0"/>
              <w:snapToGrid w:val="0"/>
              <w:spacing w:line="360" w:lineRule="auto"/>
              <w:ind w:firstLine="480" w:firstLineChars="200"/>
              <w:rPr>
                <w:rFonts w:ascii="Times New Roman" w:hAnsi="Times New Roman" w:cs="Times New Roman"/>
                <w:b/>
                <w:bCs/>
                <w:kern w:val="0"/>
                <w:sz w:val="24"/>
                <w:szCs w:val="24"/>
              </w:rPr>
            </w:pPr>
            <w:r>
              <w:rPr>
                <w:rFonts w:hint="eastAsia" w:ascii="Times New Roman" w:hAnsi="Times New Roman" w:cs="Times New Roman"/>
                <w:b w:val="0"/>
                <w:bCs w:val="0"/>
                <w:kern w:val="0"/>
                <w:sz w:val="24"/>
                <w:szCs w:val="24"/>
                <w:lang w:val="en-US" w:eastAsia="zh-CN"/>
              </w:rPr>
              <w:t>本次穿越隧洞均为现有引水隧洞的穿越，不涉及新钻隧洞，各灌区渠系现有穿山隧洞基本未衬砌，且尺寸多小于1.0m，进洞施工困难，为了减少对围岩及环境的影响，对渗漏严重的隧洞采用牵引管穿洞的方式，采用定向钻直接回拉管道牵引进出隧洞即可。</w:t>
            </w:r>
          </w:p>
          <w:p>
            <w:pPr>
              <w:autoSpaceDE w:val="0"/>
              <w:autoSpaceDN w:val="0"/>
              <w:adjustRightInd w:val="0"/>
              <w:snapToGrid w:val="0"/>
              <w:spacing w:line="360" w:lineRule="auto"/>
              <w:rPr>
                <w:rFonts w:ascii="Times New Roman" w:hAnsi="Times New Roman" w:cs="Times New Roman"/>
                <w:b/>
                <w:bCs/>
                <w:kern w:val="0"/>
                <w:sz w:val="24"/>
                <w:szCs w:val="24"/>
              </w:rPr>
            </w:pPr>
            <w:r>
              <w:rPr>
                <w:rFonts w:ascii="Times New Roman" w:hAnsi="Times New Roman" w:cs="Times New Roman"/>
                <w:b/>
                <w:bCs/>
                <w:kern w:val="0"/>
                <w:sz w:val="24"/>
                <w:szCs w:val="24"/>
              </w:rPr>
              <w:t>二、建设周期</w:t>
            </w:r>
          </w:p>
          <w:p>
            <w:pPr>
              <w:autoSpaceDE w:val="0"/>
              <w:autoSpaceDN w:val="0"/>
              <w:adjustRightInd w:val="0"/>
              <w:snapToGrid w:val="0"/>
              <w:spacing w:line="360" w:lineRule="auto"/>
              <w:ind w:firstLine="482" w:firstLineChars="200"/>
              <w:rPr>
                <w:rFonts w:ascii="Times New Roman" w:hAnsi="Times New Roman" w:cs="Times New Roman"/>
                <w:sz w:val="24"/>
                <w:szCs w:val="24"/>
              </w:rPr>
            </w:pPr>
            <w:r>
              <w:rPr>
                <w:rFonts w:ascii="Times New Roman" w:hAnsi="Times New Roman" w:cs="Times New Roman"/>
                <w:b/>
                <w:bCs/>
                <w:sz w:val="24"/>
                <w:szCs w:val="24"/>
              </w:rPr>
              <w:t>本项目施工时间应根据</w:t>
            </w:r>
            <w:r>
              <w:rPr>
                <w:rFonts w:hint="eastAsia" w:ascii="Times New Roman" w:hAnsi="Times New Roman" w:cs="Times New Roman"/>
                <w:b/>
                <w:bCs/>
                <w:sz w:val="24"/>
                <w:szCs w:val="24"/>
                <w:lang w:val="en-US" w:eastAsia="zh-CN"/>
              </w:rPr>
              <w:t>当地</w:t>
            </w:r>
            <w:r>
              <w:rPr>
                <w:rFonts w:ascii="Times New Roman" w:hAnsi="Times New Roman" w:cs="Times New Roman"/>
                <w:b/>
                <w:bCs/>
                <w:sz w:val="24"/>
                <w:szCs w:val="24"/>
              </w:rPr>
              <w:t>洪水特征</w:t>
            </w:r>
            <w:r>
              <w:rPr>
                <w:rFonts w:hint="eastAsia" w:ascii="Times New Roman" w:hAnsi="Times New Roman" w:cs="Times New Roman"/>
                <w:b/>
                <w:bCs/>
                <w:sz w:val="24"/>
                <w:szCs w:val="24"/>
                <w:lang w:eastAsia="zh-CN"/>
              </w:rPr>
              <w:t>、</w:t>
            </w:r>
            <w:r>
              <w:rPr>
                <w:rFonts w:hint="eastAsia" w:ascii="Times New Roman" w:hAnsi="Times New Roman" w:cs="Times New Roman"/>
                <w:b/>
                <w:bCs/>
                <w:sz w:val="24"/>
                <w:szCs w:val="24"/>
                <w:lang w:val="en-US" w:eastAsia="zh-CN"/>
              </w:rPr>
              <w:t>农灌周期</w:t>
            </w:r>
            <w:r>
              <w:rPr>
                <w:rFonts w:ascii="Times New Roman" w:hAnsi="Times New Roman" w:cs="Times New Roman"/>
                <w:b/>
                <w:bCs/>
                <w:sz w:val="24"/>
                <w:szCs w:val="24"/>
              </w:rPr>
              <w:t>优化施工时间，在</w:t>
            </w:r>
            <w:r>
              <w:rPr>
                <w:rFonts w:hint="eastAsia" w:ascii="Times New Roman" w:hAnsi="Times New Roman" w:cs="Times New Roman"/>
                <w:b/>
                <w:bCs/>
                <w:sz w:val="24"/>
                <w:szCs w:val="24"/>
                <w:lang w:val="en-US" w:eastAsia="zh-CN"/>
              </w:rPr>
              <w:t>非农灌季节</w:t>
            </w:r>
            <w:r>
              <w:rPr>
                <w:rFonts w:ascii="Times New Roman" w:hAnsi="Times New Roman" w:cs="Times New Roman"/>
                <w:b/>
                <w:bCs/>
                <w:sz w:val="24"/>
                <w:szCs w:val="24"/>
              </w:rPr>
              <w:t>开展施工</w:t>
            </w:r>
            <w:r>
              <w:rPr>
                <w:rFonts w:ascii="Times New Roman" w:hAnsi="Times New Roman" w:cs="Times New Roman"/>
                <w:sz w:val="24"/>
                <w:szCs w:val="24"/>
              </w:rPr>
              <w:t>。</w:t>
            </w:r>
            <w:r>
              <w:rPr>
                <w:rFonts w:hint="eastAsia" w:ascii="Times New Roman" w:hAnsi="Times New Roman" w:cs="Times New Roman"/>
                <w:b w:val="0"/>
                <w:bCs w:val="0"/>
                <w:kern w:val="0"/>
                <w:sz w:val="24"/>
                <w:szCs w:val="24"/>
                <w:lang w:val="en-US" w:eastAsia="zh-CN"/>
              </w:rPr>
              <w:t>本工程分段施工，拟定总工期8个月，前期准备期1个月，主体工程施工6个月，完建期1个月。预计2024年5月启动建设，在避开农灌季节后，预计2024年12月完成建设。</w:t>
            </w:r>
          </w:p>
          <w:p>
            <w:pPr>
              <w:autoSpaceDE w:val="0"/>
              <w:autoSpaceDN w:val="0"/>
              <w:adjustRightInd w:val="0"/>
              <w:snapToGrid w:val="0"/>
              <w:spacing w:line="360" w:lineRule="auto"/>
              <w:rPr>
                <w:rFonts w:ascii="Times New Roman" w:hAnsi="Times New Roman" w:cs="Times New Roman"/>
                <w:b/>
                <w:bCs/>
                <w:kern w:val="0"/>
                <w:sz w:val="24"/>
                <w:szCs w:val="24"/>
              </w:rPr>
            </w:pPr>
            <w:r>
              <w:rPr>
                <w:rFonts w:ascii="Times New Roman" w:hAnsi="Times New Roman" w:cs="Times New Roman"/>
                <w:b/>
                <w:bCs/>
                <w:kern w:val="0"/>
                <w:sz w:val="24"/>
                <w:szCs w:val="24"/>
              </w:rPr>
              <w:t>三、施工劳动供应</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sz w:val="24"/>
                <w:szCs w:val="24"/>
              </w:rPr>
              <w:t>本工程劳动力需用量按现行四川省水利水电工程定额计算并结合施工进度及强度确定供应计划，施工高峰人数</w:t>
            </w:r>
            <w:r>
              <w:rPr>
                <w:rFonts w:hint="eastAsia" w:ascii="Times New Roman" w:hAnsi="Times New Roman" w:cs="Times New Roman"/>
                <w:sz w:val="24"/>
                <w:szCs w:val="24"/>
              </w:rPr>
              <w:t>约</w:t>
            </w:r>
            <w:r>
              <w:rPr>
                <w:rFonts w:ascii="Times New Roman" w:hAnsi="Times New Roman" w:cs="Times New Roman"/>
                <w:sz w:val="24"/>
                <w:szCs w:val="24"/>
              </w:rPr>
              <w:t>为</w:t>
            </w:r>
            <w:r>
              <w:rPr>
                <w:rFonts w:hint="eastAsia" w:ascii="Times New Roman" w:hAnsi="Times New Roman" w:cs="Times New Roman"/>
                <w:sz w:val="24"/>
                <w:szCs w:val="24"/>
                <w:lang w:val="en-US" w:eastAsia="zh-CN"/>
              </w:rPr>
              <w:t>50</w:t>
            </w:r>
            <w:r>
              <w:rPr>
                <w:rFonts w:ascii="Times New Roman" w:hAnsi="Times New Roman" w:cs="Times New Roman"/>
                <w:sz w:val="24"/>
                <w:szCs w:val="24"/>
              </w:rPr>
              <w:t>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其他</w:t>
            </w:r>
          </w:p>
        </w:tc>
        <w:tc>
          <w:tcPr>
            <w:tcW w:w="9508" w:type="dxa"/>
          </w:tcPr>
          <w:p>
            <w:pPr>
              <w:autoSpaceDE w:val="0"/>
              <w:autoSpaceDN w:val="0"/>
              <w:adjustRightInd w:val="0"/>
              <w:snapToGrid w:val="0"/>
              <w:spacing w:line="360" w:lineRule="auto"/>
              <w:ind w:firstLine="480" w:firstLineChars="200"/>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val="en-US" w:eastAsia="zh-CN"/>
              </w:rPr>
              <w:t>通过现场踏勘，本次工程渠道整治段破损、渗漏、垮塌等情况见下图。</w:t>
            </w:r>
          </w:p>
          <w:p>
            <w:pPr>
              <w:snapToGrid w:val="0"/>
              <w:spacing w:line="500" w:lineRule="atLeast"/>
              <w:ind w:firstLine="0" w:firstLineChars="0"/>
              <w:jc w:val="center"/>
              <w:rPr>
                <w:color w:val="FF0000"/>
                <w:highlight w:val="none"/>
              </w:rPr>
            </w:pPr>
            <w:r>
              <w:rPr>
                <w:color w:val="FF0000"/>
                <w:highlight w:val="none"/>
              </w:rPr>
              <w:drawing>
                <wp:inline distT="0" distB="0" distL="0" distR="0">
                  <wp:extent cx="2514600" cy="1933575"/>
                  <wp:effectExtent l="0" t="0" r="0"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14600" cy="1933575"/>
                          </a:xfrm>
                          <a:prstGeom prst="rect">
                            <a:avLst/>
                          </a:prstGeom>
                        </pic:spPr>
                      </pic:pic>
                    </a:graphicData>
                  </a:graphic>
                </wp:inline>
              </w:drawing>
            </w:r>
            <w:r>
              <w:rPr>
                <w:rFonts w:hint="eastAsia"/>
                <w:color w:val="FF0000"/>
                <w:highlight w:val="none"/>
              </w:rPr>
              <w:t xml:space="preserve"> </w:t>
            </w:r>
            <w:r>
              <w:rPr>
                <w:color w:val="FF0000"/>
                <w:highlight w:val="none"/>
              </w:rPr>
              <w:drawing>
                <wp:inline distT="0" distB="0" distL="0" distR="0">
                  <wp:extent cx="2647950" cy="1933575"/>
                  <wp:effectExtent l="0" t="0" r="0" b="952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47950" cy="1933575"/>
                          </a:xfrm>
                          <a:prstGeom prst="rect">
                            <a:avLst/>
                          </a:prstGeom>
                        </pic:spPr>
                      </pic:pic>
                    </a:graphicData>
                  </a:graphic>
                </wp:inline>
              </w:drawing>
            </w:r>
          </w:p>
          <w:p>
            <w:pPr>
              <w:pStyle w:val="7"/>
              <w:spacing w:after="60"/>
              <w:ind w:firstLine="1470" w:firstLineChars="700"/>
              <w:jc w:val="both"/>
              <w:rPr>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秧田湾水库灌区干渠</w:t>
            </w:r>
            <w:r>
              <w:rPr>
                <w:rFonts w:hint="eastAsia"/>
                <w:color w:val="000000" w:themeColor="text1"/>
                <w:highlight w:val="none"/>
                <w14:textFill>
                  <w14:solidFill>
                    <w14:schemeClr w14:val="tx1"/>
                  </w14:solidFill>
                </w14:textFill>
              </w:rPr>
              <w:t xml:space="preserve">淤积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szCs w:val="24"/>
                <w:highlight w:val="none"/>
                <w14:textFill>
                  <w14:solidFill>
                    <w14:schemeClr w14:val="tx1"/>
                  </w14:solidFill>
                </w14:textFill>
              </w:rPr>
              <w:t>秧田湾水库灌区干渠</w:t>
            </w:r>
            <w:r>
              <w:rPr>
                <w:rFonts w:hint="eastAsia"/>
                <w:color w:val="000000" w:themeColor="text1"/>
                <w:highlight w:val="none"/>
                <w14:textFill>
                  <w14:solidFill>
                    <w14:schemeClr w14:val="tx1"/>
                  </w14:solidFill>
                </w14:textFill>
              </w:rPr>
              <w:t>被截断</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14600" cy="2047875"/>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14600" cy="204787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647950" cy="2047875"/>
                  <wp:effectExtent l="0" t="0" r="0" b="952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47950" cy="2047875"/>
                          </a:xfrm>
                          <a:prstGeom prst="rect">
                            <a:avLst/>
                          </a:prstGeom>
                        </pic:spPr>
                      </pic:pic>
                    </a:graphicData>
                  </a:graphic>
                </wp:inline>
              </w:drawing>
            </w:r>
          </w:p>
          <w:p>
            <w:pPr>
              <w:pStyle w:val="7"/>
              <w:spacing w:after="60"/>
              <w:ind w:firstLine="1470" w:firstLineChars="700"/>
              <w:jc w:val="both"/>
              <w:rPr>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观音岩水库灌区干渠</w:t>
            </w:r>
            <w:r>
              <w:rPr>
                <w:rFonts w:hint="eastAsia"/>
                <w:color w:val="000000" w:themeColor="text1"/>
                <w:highlight w:val="none"/>
                <w14:textFill>
                  <w14:solidFill>
                    <w14:schemeClr w14:val="tx1"/>
                  </w14:solidFill>
                </w14:textFill>
              </w:rPr>
              <w:t xml:space="preserve">淤积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szCs w:val="24"/>
                <w:highlight w:val="none"/>
                <w14:textFill>
                  <w14:solidFill>
                    <w14:schemeClr w14:val="tx1"/>
                  </w14:solidFill>
                </w14:textFill>
              </w:rPr>
              <w:t>观音岩水库灌区干渠</w:t>
            </w:r>
            <w:r>
              <w:rPr>
                <w:rFonts w:hint="eastAsia"/>
                <w:color w:val="000000" w:themeColor="text1"/>
                <w:highlight w:val="none"/>
                <w14:textFill>
                  <w14:solidFill>
                    <w14:schemeClr w14:val="tx1"/>
                  </w14:solidFill>
                </w14:textFill>
              </w:rPr>
              <w:t>损毁严重</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14600" cy="2428875"/>
                  <wp:effectExtent l="0" t="0" r="0" b="952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15915" cy="243014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647950" cy="2428875"/>
                  <wp:effectExtent l="0" t="0" r="0" b="952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49335" cy="2430145"/>
                          </a:xfrm>
                          <a:prstGeom prst="rect">
                            <a:avLst/>
                          </a:prstGeom>
                        </pic:spPr>
                      </pic:pic>
                    </a:graphicData>
                  </a:graphic>
                </wp:inline>
              </w:drawing>
            </w:r>
          </w:p>
          <w:p>
            <w:pPr>
              <w:pStyle w:val="7"/>
              <w:spacing w:after="60"/>
              <w:ind w:firstLine="1260" w:firstLineChars="600"/>
              <w:jc w:val="both"/>
              <w:rPr>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曹家沟水库灌区干渠底板渗漏</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w:t>
            </w:r>
            <w:r>
              <w:rPr>
                <w:rFonts w:hint="eastAsia"/>
                <w:color w:val="000000" w:themeColor="text1"/>
                <w:szCs w:val="24"/>
                <w:highlight w:val="none"/>
                <w14:textFill>
                  <w14:solidFill>
                    <w14:schemeClr w14:val="tx1"/>
                  </w14:solidFill>
                </w14:textFill>
              </w:rPr>
              <w:t>曹家沟水库灌区干渠淤积</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43175" cy="2428875"/>
                  <wp:effectExtent l="0" t="0" r="9525" b="952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44505" cy="243014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600325" cy="2434590"/>
                  <wp:effectExtent l="0" t="0" r="9525" b="381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00325" cy="2434939"/>
                          </a:xfrm>
                          <a:prstGeom prst="rect">
                            <a:avLst/>
                          </a:prstGeom>
                        </pic:spPr>
                      </pic:pic>
                    </a:graphicData>
                  </a:graphic>
                </wp:inline>
              </w:drawing>
            </w:r>
          </w:p>
          <w:p>
            <w:pPr>
              <w:pStyle w:val="7"/>
              <w:spacing w:after="60"/>
              <w:ind w:firstLine="1260" w:firstLineChars="60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九军坪水库灌区干渠淤积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九军坪水库灌区渡槽损毁</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33650" cy="2428875"/>
                  <wp:effectExtent l="0" t="0" r="0" b="952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34975" cy="243014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619375" cy="2428875"/>
                  <wp:effectExtent l="0" t="0" r="9525" b="952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19375" cy="2428875"/>
                          </a:xfrm>
                          <a:prstGeom prst="rect">
                            <a:avLst/>
                          </a:prstGeom>
                        </pic:spPr>
                      </pic:pic>
                    </a:graphicData>
                  </a:graphic>
                </wp:inline>
              </w:drawing>
            </w:r>
          </w:p>
          <w:p>
            <w:pPr>
              <w:pStyle w:val="7"/>
              <w:spacing w:after="60"/>
              <w:ind w:firstLine="1260" w:firstLineChars="600"/>
              <w:jc w:val="both"/>
              <w:rPr>
                <w:rFonts w:hint="eastAsia" w:eastAsia="黑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 xml:space="preserve">阴洞岩水库灌区干渠淤积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阴洞岩水库灌区引水隧洞</w:t>
            </w:r>
            <w:r>
              <w:rPr>
                <w:rFonts w:hint="eastAsia"/>
                <w:color w:val="000000" w:themeColor="text1"/>
                <w:highlight w:val="none"/>
                <w:lang w:val="en-US" w:eastAsia="zh-CN"/>
                <w14:textFill>
                  <w14:solidFill>
                    <w14:schemeClr w14:val="tx1"/>
                  </w14:solidFill>
                </w14:textFill>
              </w:rPr>
              <w:t>破碎</w:t>
            </w:r>
          </w:p>
          <w:p>
            <w:pPr>
              <w:snapToGrid w:val="0"/>
              <w:spacing w:line="500" w:lineRule="atLeast"/>
              <w:ind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33650" cy="2428875"/>
                  <wp:effectExtent l="0" t="0" r="0"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33650" cy="242887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619375" cy="2428875"/>
                  <wp:effectExtent l="0" t="0" r="9525"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20745" cy="2430145"/>
                          </a:xfrm>
                          <a:prstGeom prst="rect">
                            <a:avLst/>
                          </a:prstGeom>
                        </pic:spPr>
                      </pic:pic>
                    </a:graphicData>
                  </a:graphic>
                </wp:inline>
              </w:drawing>
            </w:r>
          </w:p>
          <w:p>
            <w:pPr>
              <w:pStyle w:val="7"/>
              <w:spacing w:after="60"/>
              <w:ind w:firstLine="1470" w:firstLineChars="70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南六水库灌区干渠淤积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南六水库灌区干渠垮塌</w:t>
            </w:r>
          </w:p>
          <w:p>
            <w:pPr>
              <w:snapToGrid w:val="0"/>
              <w:spacing w:line="500" w:lineRule="atLeast"/>
              <w:ind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90800" cy="2352675"/>
                  <wp:effectExtent l="0" t="0" r="0" b="952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90800" cy="235267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543175" cy="2361565"/>
                  <wp:effectExtent l="0" t="0" r="9525" b="6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43175" cy="2362199"/>
                          </a:xfrm>
                          <a:prstGeom prst="rect">
                            <a:avLst/>
                          </a:prstGeom>
                        </pic:spPr>
                      </pic:pic>
                    </a:graphicData>
                  </a:graphic>
                </wp:inline>
              </w:drawing>
            </w:r>
          </w:p>
          <w:p>
            <w:pPr>
              <w:pStyle w:val="7"/>
              <w:spacing w:after="60"/>
              <w:ind w:firstLine="1680" w:firstLineChars="80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云顶水库灌区干渠断裂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云顶水库灌区干渠底板渗漏</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90800" cy="219075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92155" cy="2191896"/>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514600" cy="2200275"/>
                  <wp:effectExtent l="0" t="0" r="0" b="952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15915" cy="2201426"/>
                          </a:xfrm>
                          <a:prstGeom prst="rect">
                            <a:avLst/>
                          </a:prstGeom>
                        </pic:spPr>
                      </pic:pic>
                    </a:graphicData>
                  </a:graphic>
                </wp:inline>
              </w:drawing>
            </w:r>
          </w:p>
          <w:p>
            <w:pPr>
              <w:pStyle w:val="7"/>
              <w:spacing w:after="60"/>
              <w:ind w:firstLine="1470" w:firstLineChars="70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烂田湾水库灌区干渠变形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烂田湾水库灌区干渠未衬砌</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90800" cy="2428875"/>
                  <wp:effectExtent l="0" t="0" r="0" b="952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90800" cy="242887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552700" cy="2428875"/>
                  <wp:effectExtent l="0" t="0" r="0" b="952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54035" cy="2430145"/>
                          </a:xfrm>
                          <a:prstGeom prst="rect">
                            <a:avLst/>
                          </a:prstGeom>
                        </pic:spPr>
                      </pic:pic>
                    </a:graphicData>
                  </a:graphic>
                </wp:inline>
              </w:drawing>
            </w:r>
          </w:p>
          <w:p>
            <w:pPr>
              <w:pStyle w:val="7"/>
              <w:spacing w:after="60"/>
              <w:ind w:firstLine="1050" w:firstLineChars="50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长征水库灌区引水隧洞洞口垮塌</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长征水库灌区干渠渗漏</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52700" cy="2428875"/>
                  <wp:effectExtent l="0" t="0" r="0" b="952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54035" cy="243014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552700" cy="2428875"/>
                  <wp:effectExtent l="0" t="0" r="0" b="952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54035" cy="2430145"/>
                          </a:xfrm>
                          <a:prstGeom prst="rect">
                            <a:avLst/>
                          </a:prstGeom>
                        </pic:spPr>
                      </pic:pic>
                    </a:graphicData>
                  </a:graphic>
                </wp:inline>
              </w:drawing>
            </w:r>
          </w:p>
          <w:p>
            <w:pPr>
              <w:pStyle w:val="7"/>
              <w:spacing w:after="60"/>
              <w:ind w:firstLine="1260" w:firstLineChars="600"/>
              <w:jc w:val="both"/>
              <w:rPr>
                <w:rFonts w:hint="eastAsia" w:eastAsia="黑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 xml:space="preserve">后头湾水库灌区干渠淤积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后头湾水库灌区干渠破损</w:t>
            </w:r>
            <w:r>
              <w:rPr>
                <w:rFonts w:hint="eastAsia"/>
                <w:color w:val="000000" w:themeColor="text1"/>
                <w:highlight w:val="none"/>
                <w:lang w:val="en-US" w:eastAsia="zh-CN"/>
                <w14:textFill>
                  <w14:solidFill>
                    <w14:schemeClr w14:val="tx1"/>
                  </w14:solidFill>
                </w14:textFill>
              </w:rPr>
              <w:t>变形</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52700" cy="2238375"/>
                  <wp:effectExtent l="0" t="0" r="0" b="952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54035" cy="2239546"/>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600325" cy="2247900"/>
                  <wp:effectExtent l="0" t="0" r="9525"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01685" cy="2249076"/>
                          </a:xfrm>
                          <a:prstGeom prst="rect">
                            <a:avLst/>
                          </a:prstGeom>
                        </pic:spPr>
                      </pic:pic>
                    </a:graphicData>
                  </a:graphic>
                </wp:inline>
              </w:drawing>
            </w:r>
          </w:p>
          <w:p>
            <w:pPr>
              <w:pStyle w:val="7"/>
              <w:spacing w:after="60"/>
              <w:ind w:firstLine="1470" w:firstLineChars="70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小沟河水库灌区干渠淤积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小沟河水库灌区渡槽渗漏</w:t>
            </w:r>
          </w:p>
          <w:p>
            <w:pPr>
              <w:snapToGrid w:val="0"/>
              <w:spacing w:line="500" w:lineRule="atLeast"/>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0" distR="0">
                  <wp:extent cx="2552700" cy="2428875"/>
                  <wp:effectExtent l="0" t="0" r="0" b="952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54035" cy="2430145"/>
                          </a:xfrm>
                          <a:prstGeom prst="rect">
                            <a:avLst/>
                          </a:prstGeom>
                        </pic:spPr>
                      </pic:pic>
                    </a:graphicData>
                  </a:graphic>
                </wp:inline>
              </w:drawing>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0" distR="0">
                  <wp:extent cx="2600325" cy="2428875"/>
                  <wp:effectExtent l="0" t="0" r="9525" b="952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01685" cy="2430145"/>
                          </a:xfrm>
                          <a:prstGeom prst="rect">
                            <a:avLst/>
                          </a:prstGeom>
                        </pic:spPr>
                      </pic:pic>
                    </a:graphicData>
                  </a:graphic>
                </wp:inline>
              </w:drawing>
            </w:r>
          </w:p>
          <w:p>
            <w:pPr>
              <w:pStyle w:val="7"/>
              <w:spacing w:after="60"/>
              <w:ind w:firstLine="1470" w:firstLineChars="700"/>
              <w:jc w:val="both"/>
            </w:pPr>
            <w:r>
              <w:rPr>
                <w:rFonts w:hint="eastAsia"/>
                <w:color w:val="000000" w:themeColor="text1"/>
                <w:highlight w:val="none"/>
                <w14:textFill>
                  <w14:solidFill>
                    <w14:schemeClr w14:val="tx1"/>
                  </w14:solidFill>
                </w14:textFill>
              </w:rPr>
              <w:t xml:space="preserve">寨沟水库灌区干渠损毁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漆树沟水库灌区干渠垮塌</w:t>
            </w:r>
          </w:p>
          <w:p>
            <w:pPr>
              <w:spacing w:line="360" w:lineRule="auto"/>
              <w:ind w:firstLine="480" w:firstLineChars="200"/>
              <w:rPr>
                <w:rFonts w:hint="default" w:eastAsiaTheme="minorEastAsia"/>
                <w:lang w:val="en-US" w:eastAsia="zh-CN"/>
              </w:rPr>
            </w:pPr>
            <w:r>
              <w:rPr>
                <w:rFonts w:hint="eastAsia"/>
                <w:sz w:val="24"/>
                <w:szCs w:val="24"/>
                <w:lang w:val="en-US" w:eastAsia="zh-CN"/>
              </w:rPr>
              <w:t>总体而言，项目现有渠道</w:t>
            </w:r>
            <w:r>
              <w:rPr>
                <w:rFonts w:hint="eastAsia" w:ascii="Times New Roman" w:hAnsi="Times New Roman" w:cs="Times New Roman"/>
                <w:kern w:val="0"/>
                <w:sz w:val="24"/>
                <w:szCs w:val="24"/>
                <w:lang w:val="en-US" w:eastAsia="zh-CN"/>
              </w:rPr>
              <w:t>破损、渗漏、垮塌等情况较多，由于渠道两侧以耕地、林地等为主，部分渠道的破损带来不同程度的水土流失，生活垃圾、枯枝树叶等堵塞渠道未进行定期清理。通过现场踏勘，</w:t>
            </w:r>
            <w:r>
              <w:rPr>
                <w:rFonts w:hint="eastAsia" w:ascii="Times New Roman" w:hAnsi="Times New Roman" w:cs="Times New Roman"/>
                <w:b/>
                <w:bCs/>
                <w:kern w:val="0"/>
                <w:sz w:val="24"/>
                <w:szCs w:val="24"/>
                <w:lang w:val="en-US" w:eastAsia="zh-CN"/>
              </w:rPr>
              <w:t>无工业污染源直排渠道等情况存在</w:t>
            </w:r>
            <w:r>
              <w:rPr>
                <w:rFonts w:hint="eastAsia" w:ascii="Times New Roman" w:hAnsi="Times New Roman" w:cs="Times New Roman"/>
                <w:kern w:val="0"/>
                <w:sz w:val="24"/>
                <w:szCs w:val="24"/>
                <w:lang w:val="en-US" w:eastAsia="zh-CN"/>
              </w:rPr>
              <w:t>。</w:t>
            </w:r>
          </w:p>
        </w:tc>
      </w:tr>
    </w:tbl>
    <w:p>
      <w:pPr>
        <w:adjustRightInd w:val="0"/>
        <w:snapToGrid w:val="0"/>
        <w:spacing w:line="288" w:lineRule="auto"/>
        <w:jc w:val="center"/>
        <w:rPr>
          <w:rFonts w:ascii="Times New Roman" w:hAnsi="Times New Roman" w:eastAsia="黑体" w:cs="Times New Roman"/>
          <w:sz w:val="30"/>
          <w:szCs w:val="30"/>
        </w:rPr>
        <w:sectPr>
          <w:pgSz w:w="11906" w:h="16838"/>
          <w:pgMar w:top="1440" w:right="1080" w:bottom="1440" w:left="1080" w:header="851" w:footer="992" w:gutter="0"/>
          <w:cols w:space="425" w:num="1"/>
          <w:docGrid w:type="lines" w:linePitch="312" w:charSpace="0"/>
        </w:sectPr>
      </w:pPr>
    </w:p>
    <w:p>
      <w:pPr>
        <w:pStyle w:val="22"/>
        <w:rPr>
          <w:rFonts w:ascii="Times New Roman" w:hAnsi="Times New Roman" w:cs="Times New Roman"/>
        </w:rPr>
      </w:pPr>
      <w:r>
        <w:rPr>
          <w:rFonts w:ascii="Times New Roman" w:hAnsi="Times New Roman" w:cs="Times New Roman"/>
        </w:rPr>
        <w:t>三、生态环境现状、保护目标及评价标准</w:t>
      </w:r>
    </w:p>
    <w:tbl>
      <w:tblPr>
        <w:tblStyle w:val="27"/>
        <w:tblW w:w="9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9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dxa"/>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生态环境现状</w:t>
            </w:r>
          </w:p>
        </w:tc>
        <w:tc>
          <w:tcPr>
            <w:tcW w:w="9524" w:type="dxa"/>
            <w:vAlign w:val="center"/>
          </w:tcPr>
          <w:p>
            <w:pPr>
              <w:pStyle w:val="74"/>
              <w:spacing w:line="360" w:lineRule="auto"/>
              <w:rPr>
                <w:rFonts w:hint="default" w:ascii="Times New Roman" w:hAnsi="Times New Roman" w:cs="Times New Roman"/>
                <w:b/>
                <w:color w:val="auto"/>
              </w:rPr>
            </w:pPr>
            <w:r>
              <w:rPr>
                <w:rFonts w:ascii="Times New Roman" w:hAnsi="Times New Roman" w:cs="Times New Roman"/>
                <w:b/>
                <w:color w:val="auto"/>
              </w:rPr>
              <w:t>一、生态环境现状</w:t>
            </w:r>
          </w:p>
          <w:p>
            <w:pPr>
              <w:pStyle w:val="74"/>
              <w:spacing w:line="360" w:lineRule="auto"/>
              <w:ind w:firstLine="482" w:firstLineChars="200"/>
              <w:rPr>
                <w:rFonts w:hint="default" w:ascii="Times New Roman" w:hAnsi="Times New Roman" w:cs="Times New Roman"/>
                <w:b/>
                <w:bCs w:val="0"/>
                <w:color w:val="000000" w:themeColor="text1"/>
                <w14:textFill>
                  <w14:solidFill>
                    <w14:schemeClr w14:val="tx1"/>
                  </w14:solidFill>
                </w14:textFill>
              </w:rPr>
            </w:pPr>
            <w:r>
              <w:rPr>
                <w:rFonts w:ascii="Times New Roman" w:hAnsi="Times New Roman" w:cs="Times New Roman"/>
                <w:b/>
                <w:bCs w:val="0"/>
                <w:color w:val="000000" w:themeColor="text1"/>
                <w14:textFill>
                  <w14:solidFill>
                    <w14:schemeClr w14:val="tx1"/>
                  </w14:solidFill>
                </w14:textFill>
              </w:rPr>
              <w:t>（一）主体功能区划</w:t>
            </w:r>
          </w:p>
          <w:p>
            <w:pPr>
              <w:pStyle w:val="74"/>
              <w:spacing w:line="360" w:lineRule="auto"/>
              <w:ind w:firstLine="480" w:firstLineChars="200"/>
              <w:rPr>
                <w:rFonts w:hint="default" w:hAnsi="宋体"/>
                <w:color w:val="000000" w:themeColor="text1"/>
                <w:kern w:val="0"/>
                <w14:textFill>
                  <w14:solidFill>
                    <w14:schemeClr w14:val="tx1"/>
                  </w14:solidFill>
                </w14:textFill>
              </w:rPr>
            </w:pPr>
            <w:r>
              <w:rPr>
                <w:rFonts w:hAnsi="宋体"/>
                <w:color w:val="000000" w:themeColor="text1"/>
                <w:kern w:val="0"/>
                <w14:textFill>
                  <w14:solidFill>
                    <w14:schemeClr w14:val="tx1"/>
                  </w14:solidFill>
                </w14:textFill>
              </w:rPr>
              <w:t>根据《四川省主体功能区划》，本项目位于川东北地区，该区域是省级层面的重点开发区域，位于川渝陕结合部，天然气、煤等储量丰富，人口众多，特色农产品资源丰富，以红色旅游、绿色生态旅游、历史文化旅游为代表的旅游资源独具特色。</w:t>
            </w:r>
          </w:p>
          <w:p>
            <w:pPr>
              <w:pStyle w:val="74"/>
              <w:spacing w:line="360" w:lineRule="auto"/>
              <w:ind w:firstLine="480" w:firstLineChars="200"/>
              <w:rPr>
                <w:rFonts w:hint="default" w:ascii="Times New Roman" w:hAnsi="Times New Roman" w:cs="Times New Roman"/>
                <w:bCs/>
                <w:color w:val="000000" w:themeColor="text1"/>
                <w14:textFill>
                  <w14:solidFill>
                    <w14:schemeClr w14:val="tx1"/>
                  </w14:solidFill>
                </w14:textFill>
              </w:rPr>
            </w:pPr>
            <w:r>
              <w:rPr>
                <w:rFonts w:hAnsi="宋体"/>
                <w:color w:val="000000" w:themeColor="text1"/>
                <w14:textFill>
                  <w14:solidFill>
                    <w14:schemeClr w14:val="tx1"/>
                  </w14:solidFill>
                </w14:textFill>
              </w:rPr>
              <w:t>本项目与《四川省主体功能区规划》的符合性分析见下表所示。</w:t>
            </w:r>
          </w:p>
          <w:p>
            <w:pPr>
              <w:pStyle w:val="74"/>
              <w:jc w:val="center"/>
              <w:rPr>
                <w:rFonts w:hint="default"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表3-1  与《四川省主体功能区规划》符合性对比表</w:t>
            </w:r>
          </w:p>
          <w:tbl>
            <w:tblPr>
              <w:tblStyle w:val="27"/>
              <w:tblW w:w="93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4461"/>
              <w:gridCol w:w="2880"/>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9" w:type="dxa"/>
                  <w:vAlign w:val="center"/>
                </w:tcPr>
                <w:p>
                  <w:pPr>
                    <w:pStyle w:val="74"/>
                    <w:jc w:val="center"/>
                    <w:rPr>
                      <w:rFonts w:hint="default"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序号</w:t>
                  </w:r>
                </w:p>
              </w:tc>
              <w:tc>
                <w:tcPr>
                  <w:tcW w:w="4461" w:type="dxa"/>
                  <w:vAlign w:val="center"/>
                </w:tcPr>
                <w:p>
                  <w:pPr>
                    <w:pStyle w:val="74"/>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《四川省主体功能区规划》相关要求</w:t>
                  </w:r>
                </w:p>
              </w:tc>
              <w:tc>
                <w:tcPr>
                  <w:tcW w:w="2880" w:type="dxa"/>
                  <w:vAlign w:val="center"/>
                </w:tcPr>
                <w:p>
                  <w:pPr>
                    <w:pStyle w:val="74"/>
                    <w:jc w:val="center"/>
                    <w:rPr>
                      <w:rFonts w:hint="default"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本项目情况</w:t>
                  </w:r>
                </w:p>
              </w:tc>
              <w:tc>
                <w:tcPr>
                  <w:tcW w:w="1178" w:type="dxa"/>
                  <w:vAlign w:val="center"/>
                </w:tcPr>
                <w:p>
                  <w:pPr>
                    <w:pStyle w:val="74"/>
                    <w:jc w:val="center"/>
                    <w:rPr>
                      <w:rFonts w:hint="default"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9" w:type="dxa"/>
                  <w:vAlign w:val="center"/>
                </w:tcPr>
                <w:p>
                  <w:pPr>
                    <w:pStyle w:val="74"/>
                    <w:jc w:val="center"/>
                    <w:rPr>
                      <w:rFonts w:hint="default"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1</w:t>
                  </w:r>
                </w:p>
              </w:tc>
              <w:tc>
                <w:tcPr>
                  <w:tcW w:w="4461" w:type="dxa"/>
                  <w:vAlign w:val="center"/>
                </w:tcPr>
                <w:p>
                  <w:pPr>
                    <w:pStyle w:val="74"/>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第六章限制开发区域（重点生态功能区）第一节重点生态功能区范围重点生态功能区共57个县（市），总面积31.8万平方公里，扣除其中省级重点生态功能区中重点开发的县城镇及重点镇规划面积，占全省</w:t>
                  </w:r>
                  <w:r>
                    <w:rPr>
                      <w:rFonts w:hint="eastAsia" w:ascii="Times New Roman" w:hAnsi="Times New Roman" w:cs="Times New Roman"/>
                      <w:bCs/>
                      <w:color w:val="000000" w:themeColor="text1"/>
                      <w:sz w:val="21"/>
                      <w:szCs w:val="21"/>
                      <w:lang w:eastAsia="zh-CN"/>
                      <w14:textFill>
                        <w14:solidFill>
                          <w14:schemeClr w14:val="tx1"/>
                        </w14:solidFill>
                      </w14:textFill>
                    </w:rPr>
                    <w:t>辖区面积</w:t>
                  </w:r>
                  <w:r>
                    <w:rPr>
                      <w:rFonts w:hint="default" w:ascii="Times New Roman" w:hAnsi="Times New Roman" w:cs="Times New Roman"/>
                      <w:bCs/>
                      <w:color w:val="000000" w:themeColor="text1"/>
                      <w:sz w:val="21"/>
                      <w:szCs w:val="21"/>
                      <w14:textFill>
                        <w14:solidFill>
                          <w14:schemeClr w14:val="tx1"/>
                        </w14:solidFill>
                      </w14:textFill>
                    </w:rPr>
                    <w:t>65.4%。</w:t>
                  </w:r>
                </w:p>
                <w:p>
                  <w:pPr>
                    <w:pStyle w:val="74"/>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——国家层面的重点生态功能区。包括若尔盖草原湿地生态功能区、川滇森林及生物多样性生态功能区、秦巴生物多样性生态功能区，共42个县，面积28.6</w:t>
                  </w:r>
                  <w:r>
                    <w:rPr>
                      <w:rFonts w:ascii="Times New Roman" w:hAnsi="Times New Roman" w:cs="Times New Roman"/>
                      <w:bCs/>
                      <w:color w:val="000000" w:themeColor="text1"/>
                      <w:sz w:val="21"/>
                      <w:szCs w:val="21"/>
                      <w14:textFill>
                        <w14:solidFill>
                          <w14:schemeClr w14:val="tx1"/>
                        </w14:solidFill>
                      </w14:textFill>
                    </w:rPr>
                    <w:t>5</w:t>
                  </w:r>
                  <w:r>
                    <w:rPr>
                      <w:rFonts w:hint="default" w:ascii="Times New Roman" w:hAnsi="Times New Roman" w:cs="Times New Roman"/>
                      <w:bCs/>
                      <w:color w:val="000000" w:themeColor="text1"/>
                      <w:sz w:val="21"/>
                      <w:szCs w:val="21"/>
                      <w14:textFill>
                        <w14:solidFill>
                          <w14:schemeClr w14:val="tx1"/>
                        </w14:solidFill>
                      </w14:textFill>
                    </w:rPr>
                    <w:t>万平方公里，占全省面积58.95%。</w:t>
                  </w:r>
                </w:p>
                <w:p>
                  <w:pPr>
                    <w:pStyle w:val="74"/>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——省级层面的重点生态功能区。为大小凉山水土保持和生物多样性生态功能区，共15个县，面积3.17万平方公里，扣除其中重点开发的县城镇及重点镇规划面积，实际占全省面积 6.42%。</w:t>
                  </w:r>
                </w:p>
              </w:tc>
              <w:tc>
                <w:tcPr>
                  <w:tcW w:w="2880" w:type="dxa"/>
                  <w:vAlign w:val="center"/>
                </w:tcPr>
                <w:p>
                  <w:pPr>
                    <w:pStyle w:val="74"/>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根据《四川省重点生态功能区分布图》，达州不在限制开发区域</w:t>
                  </w:r>
                  <w:r>
                    <w:rPr>
                      <w:rFonts w:ascii="Times New Roman" w:hAnsi="Times New Roman" w:cs="Times New Roman"/>
                      <w:bCs/>
                      <w:color w:val="000000" w:themeColor="text1"/>
                      <w:sz w:val="21"/>
                      <w:szCs w:val="21"/>
                      <w14:textFill>
                        <w14:solidFill>
                          <w14:schemeClr w14:val="tx1"/>
                        </w14:solidFill>
                      </w14:textFill>
                    </w:rPr>
                    <w:t>，不涉及重点生态功能区</w:t>
                  </w:r>
                  <w:r>
                    <w:rPr>
                      <w:rFonts w:hint="default" w:ascii="Times New Roman" w:hAnsi="Times New Roman" w:cs="Times New Roman"/>
                      <w:bCs/>
                      <w:color w:val="000000" w:themeColor="text1"/>
                      <w:sz w:val="21"/>
                      <w:szCs w:val="21"/>
                      <w14:textFill>
                        <w14:solidFill>
                          <w14:schemeClr w14:val="tx1"/>
                        </w14:solidFill>
                      </w14:textFill>
                    </w:rPr>
                    <w:t>。同时，本项目为</w:t>
                  </w:r>
                  <w:r>
                    <w:rPr>
                      <w:rFonts w:hint="eastAsia" w:ascii="Times New Roman" w:hAnsi="Times New Roman" w:cs="Times New Roman"/>
                      <w:bCs/>
                      <w:color w:val="000000" w:themeColor="text1"/>
                      <w:sz w:val="21"/>
                      <w:szCs w:val="21"/>
                      <w:lang w:val="en-US" w:eastAsia="zh-CN"/>
                      <w14:textFill>
                        <w14:solidFill>
                          <w14:schemeClr w14:val="tx1"/>
                        </w14:solidFill>
                      </w14:textFill>
                    </w:rPr>
                    <w:t>农村小型灌区整治工程</w:t>
                  </w:r>
                  <w:r>
                    <w:rPr>
                      <w:rFonts w:hint="default" w:ascii="Times New Roman" w:hAnsi="Times New Roman" w:cs="Times New Roman"/>
                      <w:bCs/>
                      <w:color w:val="000000" w:themeColor="text1"/>
                      <w:sz w:val="21"/>
                      <w:szCs w:val="21"/>
                      <w14:textFill>
                        <w14:solidFill>
                          <w14:schemeClr w14:val="tx1"/>
                        </w14:solidFill>
                      </w14:textFill>
                    </w:rPr>
                    <w:t>，环评要求严格落实</w:t>
                  </w:r>
                  <w:r>
                    <w:rPr>
                      <w:rFonts w:ascii="Times New Roman" w:hAnsi="Times New Roman" w:cs="Times New Roman"/>
                      <w:bCs/>
                      <w:color w:val="000000" w:themeColor="text1"/>
                      <w:sz w:val="21"/>
                      <w:szCs w:val="21"/>
                      <w14:textFill>
                        <w14:solidFill>
                          <w14:schemeClr w14:val="tx1"/>
                        </w14:solidFill>
                      </w14:textFill>
                    </w:rPr>
                    <w:t>相关</w:t>
                  </w:r>
                  <w:r>
                    <w:rPr>
                      <w:rFonts w:hint="default" w:ascii="Times New Roman" w:hAnsi="Times New Roman" w:cs="Times New Roman"/>
                      <w:bCs/>
                      <w:color w:val="000000" w:themeColor="text1"/>
                      <w:sz w:val="21"/>
                      <w:szCs w:val="21"/>
                      <w14:textFill>
                        <w14:solidFill>
                          <w14:schemeClr w14:val="tx1"/>
                        </w14:solidFill>
                      </w14:textFill>
                    </w:rPr>
                    <w:t>水土保持及施工迹地恢复等措施，确保不影响本区域生态功能。</w:t>
                  </w:r>
                </w:p>
              </w:tc>
              <w:tc>
                <w:tcPr>
                  <w:tcW w:w="1178" w:type="dxa"/>
                  <w:vAlign w:val="center"/>
                </w:tcPr>
                <w:p>
                  <w:pPr>
                    <w:pStyle w:val="74"/>
                    <w:jc w:val="center"/>
                    <w:rPr>
                      <w:rFonts w:hint="default"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9" w:type="dxa"/>
                  <w:vAlign w:val="center"/>
                </w:tcPr>
                <w:p>
                  <w:pPr>
                    <w:pStyle w:val="74"/>
                    <w:jc w:val="center"/>
                    <w:rPr>
                      <w:rFonts w:hint="default"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2</w:t>
                  </w:r>
                </w:p>
              </w:tc>
              <w:tc>
                <w:tcPr>
                  <w:tcW w:w="4461" w:type="dxa"/>
                  <w:vAlign w:val="center"/>
                </w:tcPr>
                <w:p>
                  <w:pPr>
                    <w:pStyle w:val="74"/>
                    <w:jc w:val="left"/>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第七章禁止开发区域</w:t>
                  </w:r>
                </w:p>
                <w:p>
                  <w:pPr>
                    <w:pStyle w:val="74"/>
                    <w:jc w:val="left"/>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第一节禁止开发区域范围</w:t>
                  </w:r>
                </w:p>
                <w:p>
                  <w:pPr>
                    <w:pStyle w:val="74"/>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禁止开发区域点状分布于城市化地区</w:t>
                  </w:r>
                  <w:r>
                    <w:rPr>
                      <w:rFonts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农产品主产区、重点生态地区。国家级禁止开发区域包括国家级自然保护区、世界文化自然遗产、国家级风景名胜区、国家森林公园、国家重要湿地、国家湿地公园和国家地质公园；省级禁止开发区域包括省级及以下各级各类自然文化资源保护区域、重要饮用水水源地以及其他省级人民政府根据需要确定的禁止开发区域。</w:t>
                  </w:r>
                </w:p>
              </w:tc>
              <w:tc>
                <w:tcPr>
                  <w:tcW w:w="2880" w:type="dxa"/>
                  <w:vAlign w:val="center"/>
                </w:tcPr>
                <w:p>
                  <w:pPr>
                    <w:pStyle w:val="74"/>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根据《四川省禁止开发区域分布图》，</w:t>
                  </w:r>
                  <w:r>
                    <w:rPr>
                      <w:rFonts w:ascii="Times New Roman" w:hAnsi="Times New Roman" w:cs="Times New Roman"/>
                      <w:bCs/>
                      <w:color w:val="000000" w:themeColor="text1"/>
                      <w:sz w:val="21"/>
                      <w:szCs w:val="21"/>
                      <w14:textFill>
                        <w14:solidFill>
                          <w14:schemeClr w14:val="tx1"/>
                        </w14:solidFill>
                      </w14:textFill>
                    </w:rPr>
                    <w:t>本</w:t>
                  </w:r>
                  <w:r>
                    <w:rPr>
                      <w:rFonts w:hint="default" w:ascii="Times New Roman" w:hAnsi="Times New Roman" w:cs="Times New Roman"/>
                      <w:bCs/>
                      <w:color w:val="000000" w:themeColor="text1"/>
                      <w:sz w:val="21"/>
                      <w:szCs w:val="21"/>
                      <w14:textFill>
                        <w14:solidFill>
                          <w14:schemeClr w14:val="tx1"/>
                        </w14:solidFill>
                      </w14:textFill>
                    </w:rPr>
                    <w:t>项目不涉及</w:t>
                  </w:r>
                  <w:r>
                    <w:rPr>
                      <w:rFonts w:ascii="Times New Roman" w:hAnsi="Times New Roman" w:cs="Times New Roman"/>
                      <w:bCs/>
                      <w:color w:val="000000" w:themeColor="text1"/>
                      <w:sz w:val="21"/>
                      <w:szCs w:val="21"/>
                      <w14:textFill>
                        <w14:solidFill>
                          <w14:schemeClr w14:val="tx1"/>
                        </w14:solidFill>
                      </w14:textFill>
                    </w:rPr>
                    <w:t>列出的</w:t>
                  </w:r>
                  <w:r>
                    <w:rPr>
                      <w:rFonts w:hint="default" w:ascii="Times New Roman" w:hAnsi="Times New Roman" w:cs="Times New Roman"/>
                      <w:bCs/>
                      <w:color w:val="000000" w:themeColor="text1"/>
                      <w:sz w:val="21"/>
                      <w:szCs w:val="21"/>
                      <w14:textFill>
                        <w14:solidFill>
                          <w14:schemeClr w14:val="tx1"/>
                        </w14:solidFill>
                      </w14:textFill>
                    </w:rPr>
                    <w:t>达州禁止开发区域，不在禁止开发区</w:t>
                  </w:r>
                  <w:r>
                    <w:rPr>
                      <w:rFonts w:ascii="Times New Roman" w:hAnsi="Times New Roman" w:cs="Times New Roman"/>
                      <w:bCs/>
                      <w:color w:val="000000" w:themeColor="text1"/>
                      <w:sz w:val="21"/>
                      <w:szCs w:val="21"/>
                      <w14:textFill>
                        <w14:solidFill>
                          <w14:schemeClr w14:val="tx1"/>
                        </w14:solidFill>
                      </w14:textFill>
                    </w:rPr>
                    <w:t>范围</w:t>
                  </w:r>
                  <w:r>
                    <w:rPr>
                      <w:rFonts w:hint="default" w:ascii="Times New Roman" w:hAnsi="Times New Roman" w:cs="Times New Roman"/>
                      <w:bCs/>
                      <w:color w:val="000000" w:themeColor="text1"/>
                      <w:sz w:val="21"/>
                      <w:szCs w:val="21"/>
                      <w14:textFill>
                        <w14:solidFill>
                          <w14:schemeClr w14:val="tx1"/>
                        </w14:solidFill>
                      </w14:textFill>
                    </w:rPr>
                    <w:t>内。</w:t>
                  </w:r>
                </w:p>
              </w:tc>
              <w:tc>
                <w:tcPr>
                  <w:tcW w:w="1178" w:type="dxa"/>
                  <w:vAlign w:val="center"/>
                </w:tcPr>
                <w:p>
                  <w:pPr>
                    <w:pStyle w:val="74"/>
                    <w:jc w:val="center"/>
                    <w:rPr>
                      <w:rFonts w:hint="default"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符合</w:t>
                  </w:r>
                </w:p>
              </w:tc>
            </w:tr>
          </w:tbl>
          <w:p>
            <w:pPr>
              <w:pStyle w:val="74"/>
              <w:spacing w:line="360" w:lineRule="auto"/>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3462020</wp:posOffset>
                      </wp:positionH>
                      <wp:positionV relativeFrom="paragraph">
                        <wp:posOffset>937895</wp:posOffset>
                      </wp:positionV>
                      <wp:extent cx="806450" cy="480060"/>
                      <wp:effectExtent l="6350" t="6350" r="234950" b="161290"/>
                      <wp:wrapNone/>
                      <wp:docPr id="106" name="矩形标注 106"/>
                      <wp:cNvGraphicFramePr/>
                      <a:graphic xmlns:a="http://schemas.openxmlformats.org/drawingml/2006/main">
                        <a:graphicData uri="http://schemas.microsoft.com/office/word/2010/wordprocessingShape">
                          <wps:wsp>
                            <wps:cNvSpPr/>
                            <wps:spPr>
                              <a:xfrm>
                                <a:off x="5100955" y="2726690"/>
                                <a:ext cx="806450" cy="480060"/>
                              </a:xfrm>
                              <a:prstGeom prst="wedgeRectCallout">
                                <a:avLst>
                                  <a:gd name="adj1" fmla="val 72834"/>
                                  <a:gd name="adj2" fmla="val 77910"/>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rPr>
                                      <w:rFonts w:hint="default" w:eastAsiaTheme="minorEastAsia"/>
                                      <w:sz w:val="18"/>
                                      <w:szCs w:val="18"/>
                                      <w:lang w:val="en-US" w:eastAsia="zh-CN"/>
                                    </w:rPr>
                                  </w:pPr>
                                  <w:r>
                                    <w:rPr>
                                      <w:rFonts w:hint="eastAsia"/>
                                      <w:sz w:val="18"/>
                                      <w:szCs w:val="18"/>
                                    </w:rPr>
                                    <w:t>本项目</w:t>
                                  </w:r>
                                  <w:r>
                                    <w:rPr>
                                      <w:rFonts w:hint="eastAsia"/>
                                      <w:sz w:val="18"/>
                                      <w:szCs w:val="18"/>
                                      <w:lang w:val="en-US" w:eastAsia="zh-CN"/>
                                    </w:rPr>
                                    <w:t>分布区域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2.6pt;margin-top:73.85pt;height:37.8pt;width:63.5pt;z-index:251739136;v-text-anchor:middle;mso-width-relative:page;mso-height-relative:page;" fillcolor="#5B9BD5 [3204]" filled="t" stroked="t" coordsize="21600,21600" o:gfxdata="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RoMXFNoA&#10;AAALAQAADwAAAAAAAAABACAAAAAiAAAAZHJzL2Rvd25yZXYueG1sUEsBAhQAFAAAAAgAh07iQAPC&#10;WjrIAgAAkgUAAA4AAAAAAAAAAQAgAAAAKQEAAGRycy9lMm9Eb2MueG1sUEsFBgAAAAAGAAYAWQEA&#10;AGMGAAAAAA==&#10;" adj="26532,27629">
                      <v:fill on="t" focussize="0,0"/>
                      <v:stroke weight="1pt" color="#41719C [3204]" miterlimit="8" joinstyle="miter"/>
                      <v:imagedata o:title=""/>
                      <o:lock v:ext="edit" aspectratio="f"/>
                      <v:textbox>
                        <w:txbxContent>
                          <w:p>
                            <w:pPr>
                              <w:spacing w:line="240" w:lineRule="auto"/>
                              <w:rPr>
                                <w:rFonts w:hint="default" w:eastAsiaTheme="minorEastAsia"/>
                                <w:sz w:val="18"/>
                                <w:szCs w:val="18"/>
                                <w:lang w:val="en-US" w:eastAsia="zh-CN"/>
                              </w:rPr>
                            </w:pPr>
                            <w:r>
                              <w:rPr>
                                <w:rFonts w:hint="eastAsia"/>
                                <w:sz w:val="18"/>
                                <w:szCs w:val="18"/>
                              </w:rPr>
                              <w:t>本项目</w:t>
                            </w:r>
                            <w:r>
                              <w:rPr>
                                <w:rFonts w:hint="eastAsia"/>
                                <w:sz w:val="18"/>
                                <w:szCs w:val="18"/>
                                <w:lang w:val="en-US" w:eastAsia="zh-CN"/>
                              </w:rPr>
                              <w:t>分布区域</w:t>
                            </w:r>
                          </w:p>
                        </w:txbxContent>
                      </v:textbox>
                    </v:shape>
                  </w:pict>
                </mc:Fallback>
              </mc:AlternateContent>
            </w:r>
            <w:r>
              <w:rPr>
                <w:color w:val="000000" w:themeColor="text1"/>
                <w14:textFill>
                  <w14:solidFill>
                    <w14:schemeClr w14:val="tx1"/>
                  </w14:solidFill>
                </w14:textFill>
              </w:rPr>
              <w:drawing>
                <wp:inline distT="0" distB="0" distL="114300" distR="114300">
                  <wp:extent cx="4041140" cy="3802380"/>
                  <wp:effectExtent l="0" t="0" r="16510" b="7620"/>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91"/>
                          <a:stretch>
                            <a:fillRect/>
                          </a:stretch>
                        </pic:blipFill>
                        <pic:spPr>
                          <a:xfrm>
                            <a:off x="0" y="0"/>
                            <a:ext cx="4041140" cy="3802380"/>
                          </a:xfrm>
                          <a:prstGeom prst="rect">
                            <a:avLst/>
                          </a:prstGeom>
                          <a:noFill/>
                          <a:ln>
                            <a:noFill/>
                          </a:ln>
                        </pic:spPr>
                      </pic:pic>
                    </a:graphicData>
                  </a:graphic>
                </wp:inline>
              </w:drawing>
            </w:r>
          </w:p>
          <w:p>
            <w:pPr>
              <w:pStyle w:val="74"/>
              <w:spacing w:line="360"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图3-1  项目与四川省限制开发区域（重点生态功能区）位置关系图</w:t>
            </w:r>
          </w:p>
          <w:p>
            <w:pPr>
              <w:pStyle w:val="74"/>
              <w:spacing w:line="360" w:lineRule="auto"/>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3319145</wp:posOffset>
                      </wp:positionH>
                      <wp:positionV relativeFrom="paragraph">
                        <wp:posOffset>688975</wp:posOffset>
                      </wp:positionV>
                      <wp:extent cx="920115" cy="257175"/>
                      <wp:effectExtent l="6350" t="6350" r="292735" b="231775"/>
                      <wp:wrapNone/>
                      <wp:docPr id="110" name="矩形标注 110"/>
                      <wp:cNvGraphicFramePr/>
                      <a:graphic xmlns:a="http://schemas.openxmlformats.org/drawingml/2006/main">
                        <a:graphicData uri="http://schemas.microsoft.com/office/word/2010/wordprocessingShape">
                          <wps:wsp>
                            <wps:cNvSpPr/>
                            <wps:spPr>
                              <a:xfrm>
                                <a:off x="0" y="0"/>
                                <a:ext cx="920115" cy="257175"/>
                              </a:xfrm>
                              <a:prstGeom prst="wedgeRectCallout">
                                <a:avLst>
                                  <a:gd name="adj1" fmla="val 76501"/>
                                  <a:gd name="adj2" fmla="val 126790"/>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default" w:eastAsiaTheme="minorEastAsia"/>
                                      <w:lang w:val="en-US" w:eastAsia="zh-CN"/>
                                    </w:rPr>
                                  </w:pPr>
                                  <w:r>
                                    <w:rPr>
                                      <w:rFonts w:hint="eastAsia"/>
                                      <w:sz w:val="16"/>
                                      <w:szCs w:val="18"/>
                                    </w:rPr>
                                    <w:t>本项目</w:t>
                                  </w:r>
                                  <w:r>
                                    <w:rPr>
                                      <w:rFonts w:hint="eastAsia"/>
                                      <w:sz w:val="16"/>
                                      <w:szCs w:val="18"/>
                                      <w:lang w:val="en-US" w:eastAsia="zh-CN"/>
                                    </w:rPr>
                                    <w:t>分布区域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1.35pt;margin-top:54.25pt;height:20.25pt;width:72.45pt;z-index:251740160;v-text-anchor:middle;mso-width-relative:page;mso-height-relative:page;" fillcolor="#5B9BD5 [3204]" filled="t" stroked="t" coordsize="21600,21600" o:gfxdata="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0/jSHtkAAAALAQAADwAA&#10;AAAAAAABACAAAAAiAAAAZHJzL2Rvd25yZXYueG1sUEsBAhQAFAAAAAgAh07iQMIURSTAAgAAhwUA&#10;AA4AAAAAAAAAAQAgAAAAKAEAAGRycy9lMm9Eb2MueG1sUEsFBgAAAAAGAAYAWQEAAFoGAAAAAA==&#10;" adj="27324,38187">
                      <v:fill on="t" focussize="0,0"/>
                      <v:stroke weight="1pt" color="#41719C [3204]" miterlimit="8" joinstyle="miter"/>
                      <v:imagedata o:title=""/>
                      <o:lock v:ext="edit" aspectratio="f"/>
                      <v:textbox>
                        <w:txbxContent>
                          <w:p>
                            <w:pPr>
                              <w:rPr>
                                <w:rFonts w:hint="default" w:eastAsiaTheme="minorEastAsia"/>
                                <w:lang w:val="en-US" w:eastAsia="zh-CN"/>
                              </w:rPr>
                            </w:pPr>
                            <w:r>
                              <w:rPr>
                                <w:rFonts w:hint="eastAsia"/>
                                <w:sz w:val="16"/>
                                <w:szCs w:val="18"/>
                              </w:rPr>
                              <w:t>本项目</w:t>
                            </w:r>
                            <w:r>
                              <w:rPr>
                                <w:rFonts w:hint="eastAsia"/>
                                <w:sz w:val="16"/>
                                <w:szCs w:val="18"/>
                                <w:lang w:val="en-US" w:eastAsia="zh-CN"/>
                              </w:rPr>
                              <w:t>分布区域</w:t>
                            </w:r>
                          </w:p>
                        </w:txbxContent>
                      </v:textbox>
                    </v:shape>
                  </w:pict>
                </mc:Fallback>
              </mc:AlternateContent>
            </w:r>
            <w:r>
              <w:rPr>
                <w:color w:val="000000" w:themeColor="text1"/>
                <w14:textFill>
                  <w14:solidFill>
                    <w14:schemeClr w14:val="tx1"/>
                  </w14:solidFill>
                </w14:textFill>
              </w:rPr>
              <w:drawing>
                <wp:inline distT="0" distB="0" distL="114300" distR="114300">
                  <wp:extent cx="4010025" cy="3053715"/>
                  <wp:effectExtent l="0" t="0" r="9525" b="13335"/>
                  <wp:docPr id="107" name="图片 9" descr="C:\Users\Administrator.PC-201806112239\AppData\Roaming\Tencent\Users\619696082\QQ\WinTemp\RichOle\MONPW]PB~_2W7MI~AV04W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descr="C:\Users\Administrator.PC-201806112239\AppData\Roaming\Tencent\Users\619696082\QQ\WinTemp\RichOle\MONPW]PB~_2W7MI~AV04WQQ.png"/>
                          <pic:cNvPicPr>
                            <a:picLocks noChangeAspect="1"/>
                          </pic:cNvPicPr>
                        </pic:nvPicPr>
                        <pic:blipFill>
                          <a:blip r:embed="rId92"/>
                          <a:stretch>
                            <a:fillRect/>
                          </a:stretch>
                        </pic:blipFill>
                        <pic:spPr>
                          <a:xfrm>
                            <a:off x="0" y="0"/>
                            <a:ext cx="4010025" cy="3053715"/>
                          </a:xfrm>
                          <a:prstGeom prst="rect">
                            <a:avLst/>
                          </a:prstGeom>
                          <a:noFill/>
                          <a:ln>
                            <a:noFill/>
                          </a:ln>
                        </pic:spPr>
                      </pic:pic>
                    </a:graphicData>
                  </a:graphic>
                </wp:inline>
              </w:drawing>
            </w:r>
          </w:p>
          <w:p>
            <w:pPr>
              <w:pStyle w:val="74"/>
              <w:spacing w:line="360" w:lineRule="auto"/>
              <w:jc w:val="center"/>
              <w:rPr>
                <w:rFonts w:ascii="Times New Roman" w:hAnsi="Times New Roman" w:cs="Times New Roman"/>
                <w:b/>
                <w:bCs w:val="0"/>
                <w:color w:val="000000" w:themeColor="text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图3-2  四川省主体功能区划图</w:t>
            </w:r>
          </w:p>
          <w:p>
            <w:pPr>
              <w:pStyle w:val="74"/>
              <w:spacing w:line="360" w:lineRule="auto"/>
              <w:ind w:firstLine="482" w:firstLineChars="200"/>
              <w:rPr>
                <w:rFonts w:hint="default" w:ascii="Times New Roman" w:hAnsi="Times New Roman" w:cs="Times New Roman"/>
                <w:b/>
                <w:bCs w:val="0"/>
                <w:color w:val="auto"/>
              </w:rPr>
            </w:pPr>
            <w:r>
              <w:rPr>
                <w:rFonts w:ascii="Times New Roman" w:hAnsi="Times New Roman" w:cs="Times New Roman"/>
                <w:b/>
                <w:bCs w:val="0"/>
                <w:color w:val="auto"/>
              </w:rPr>
              <w:t>（二）生态功能区划</w:t>
            </w:r>
          </w:p>
          <w:p>
            <w:pPr>
              <w:pStyle w:val="74"/>
              <w:spacing w:line="360" w:lineRule="auto"/>
              <w:ind w:firstLine="480" w:firstLineChars="200"/>
              <w:rPr>
                <w:rFonts w:hint="default" w:ascii="Times New Roman" w:hAnsi="Times New Roman" w:cs="Times New Roman"/>
                <w:bCs/>
                <w:color w:val="auto"/>
              </w:rPr>
            </w:pPr>
            <w:r>
              <w:rPr>
                <w:rFonts w:ascii="Times New Roman" w:hAnsi="Times New Roman" w:cs="Times New Roman"/>
                <w:bCs/>
                <w:color w:val="auto"/>
              </w:rPr>
              <w:t>根据《四川省生态功能区划》，项目所在地达州市属于“Ⅰ四川盆地亚热带湿润气候生态区、Ⅰ-2盆中丘陵农林复合生态亚区、Ⅰ-2-1盆北深丘农林也与土壤保持生态功能区”。该生态功能区主要生态特征为深切低山丘陵地貌，海拔460~1400米：山地气候垂直变化明显，年平均气温13.5~15.7℃，≥10℃的活动积温4240~4910℃，年平均降水量为560~1420毫米。森林植被主要为马尾松林、柏木林、栎类林和栎类灌丛。生物多样性及矿产资源较丰富，主要生态问题为水土流失较严重，滑坡崩塌中等发育，主要生态服务功能为农林产品提供功能，土壤保持功能，生态保护与发展方向为巩固长江上游防护林建设、天然林保护和退耕还林成果。发挥山区资源优势，建立商品林基地，保护野生生物资源，发展生态农业和中药材产业。建设以天然气为主的基础原料和能源化工基地。开发人文景观资源，发展旅游业及相关产业链。用地养地结合，加强水土保持建设。严禁无序开发矿产、水力、生物资源。</w:t>
            </w:r>
          </w:p>
          <w:p>
            <w:pPr>
              <w:pStyle w:val="74"/>
              <w:spacing w:line="360" w:lineRule="auto"/>
              <w:jc w:val="center"/>
              <w:rPr>
                <w:rFonts w:hint="default" w:ascii="Times New Roman" w:hAnsi="Times New Roman" w:cs="Times New Roman"/>
                <w:bCs/>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4100830</wp:posOffset>
                      </wp:positionH>
                      <wp:positionV relativeFrom="paragraph">
                        <wp:posOffset>1413510</wp:posOffset>
                      </wp:positionV>
                      <wp:extent cx="806450" cy="492760"/>
                      <wp:effectExtent l="6350" t="290195" r="6350" b="17145"/>
                      <wp:wrapNone/>
                      <wp:docPr id="112" name="矩形标注 112"/>
                      <wp:cNvGraphicFramePr/>
                      <a:graphic xmlns:a="http://schemas.openxmlformats.org/drawingml/2006/main">
                        <a:graphicData uri="http://schemas.microsoft.com/office/word/2010/wordprocessingShape">
                          <wps:wsp>
                            <wps:cNvSpPr/>
                            <wps:spPr>
                              <a:xfrm>
                                <a:off x="0" y="0"/>
                                <a:ext cx="806450" cy="492760"/>
                              </a:xfrm>
                              <a:prstGeom prst="wedgeRectCallout">
                                <a:avLst>
                                  <a:gd name="adj1" fmla="val 4645"/>
                                  <a:gd name="adj2" fmla="val -104896"/>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rPr>
                                      <w:rFonts w:hint="eastAsia" w:eastAsiaTheme="minorEastAsia"/>
                                      <w:lang w:eastAsia="zh-CN"/>
                                    </w:rPr>
                                  </w:pPr>
                                  <w:r>
                                    <w:rPr>
                                      <w:rFonts w:hint="eastAsia"/>
                                      <w:sz w:val="16"/>
                                      <w:szCs w:val="18"/>
                                    </w:rPr>
                                    <w:t>本项目</w:t>
                                  </w:r>
                                  <w:r>
                                    <w:rPr>
                                      <w:rFonts w:hint="eastAsia"/>
                                      <w:sz w:val="16"/>
                                      <w:szCs w:val="18"/>
                                      <w:lang w:val="en-US" w:eastAsia="zh-CN"/>
                                    </w:rPr>
                                    <w:t>分布区域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2.9pt;margin-top:111.3pt;height:38.8pt;width:63.5pt;z-index:251741184;v-text-anchor:middle;mso-width-relative:page;mso-height-relative:page;" fillcolor="#5B9BD5 [3204]" filled="t" stroked="t" coordsize="21600,21600" o:gfxdata="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DmN7qHZAAAACwEAAA8A&#10;AAAAAAAAAQAgAAAAIgAAAGRycy9kb3ducmV2LnhtbFBLAQIUABQAAAAIAIdO4kD94wAuwQIAAIcF&#10;AAAOAAAAAAAAAAEAIAAAACgBAABkcnMvZTJvRG9jLnhtbFBLBQYAAAAABgAGAFkBAABbBgAAAAA=&#10;" adj="11803,-11858">
                      <v:fill on="t" focussize="0,0"/>
                      <v:stroke weight="1pt" color="#41719C [3204]" miterlimit="8" joinstyle="miter"/>
                      <v:imagedata o:title=""/>
                      <o:lock v:ext="edit" aspectratio="f"/>
                      <v:textbox>
                        <w:txbxContent>
                          <w:p>
                            <w:pPr>
                              <w:spacing w:line="240" w:lineRule="auto"/>
                              <w:rPr>
                                <w:rFonts w:hint="eastAsia" w:eastAsiaTheme="minorEastAsia"/>
                                <w:lang w:eastAsia="zh-CN"/>
                              </w:rPr>
                            </w:pPr>
                            <w:r>
                              <w:rPr>
                                <w:rFonts w:hint="eastAsia"/>
                                <w:sz w:val="16"/>
                                <w:szCs w:val="18"/>
                              </w:rPr>
                              <w:t>本项目</w:t>
                            </w:r>
                            <w:r>
                              <w:rPr>
                                <w:rFonts w:hint="eastAsia"/>
                                <w:sz w:val="16"/>
                                <w:szCs w:val="18"/>
                                <w:lang w:val="en-US" w:eastAsia="zh-CN"/>
                              </w:rPr>
                              <w:t>分布区域</w:t>
                            </w:r>
                          </w:p>
                        </w:txbxContent>
                      </v:textbox>
                    </v:shape>
                  </w:pict>
                </mc:Fallback>
              </mc:AlternateContent>
            </w:r>
            <w:r>
              <w:rPr>
                <w:color w:val="000000" w:themeColor="text1"/>
                <w14:textFill>
                  <w14:solidFill>
                    <w14:schemeClr w14:val="tx1"/>
                  </w14:solidFill>
                </w14:textFill>
              </w:rPr>
              <w:drawing>
                <wp:inline distT="0" distB="0" distL="114300" distR="114300">
                  <wp:extent cx="4326890" cy="2879725"/>
                  <wp:effectExtent l="0" t="0" r="16510" b="15875"/>
                  <wp:docPr id="1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pic:cNvPicPr>
                            <a:picLocks noChangeAspect="1"/>
                          </pic:cNvPicPr>
                        </pic:nvPicPr>
                        <pic:blipFill>
                          <a:blip r:embed="rId93"/>
                          <a:srcRect l="13164" t="11513" r="14516" b="10420"/>
                          <a:stretch>
                            <a:fillRect/>
                          </a:stretch>
                        </pic:blipFill>
                        <pic:spPr>
                          <a:xfrm>
                            <a:off x="0" y="0"/>
                            <a:ext cx="4326890" cy="2879725"/>
                          </a:xfrm>
                          <a:prstGeom prst="rect">
                            <a:avLst/>
                          </a:prstGeom>
                          <a:noFill/>
                          <a:ln>
                            <a:noFill/>
                          </a:ln>
                        </pic:spPr>
                      </pic:pic>
                    </a:graphicData>
                  </a:graphic>
                </wp:inline>
              </w:drawing>
            </w:r>
          </w:p>
          <w:p>
            <w:pPr>
              <w:pStyle w:val="74"/>
              <w:spacing w:line="360" w:lineRule="auto"/>
              <w:jc w:val="center"/>
              <w:rPr>
                <w:rFonts w:hint="default" w:ascii="Times New Roman" w:hAnsi="Times New Roman" w:cs="Times New Roman"/>
                <w:bCs/>
                <w:color w:val="000000" w:themeColor="text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图3-3  四川省生态功能区划</w:t>
            </w:r>
          </w:p>
          <w:p>
            <w:pPr>
              <w:pStyle w:val="74"/>
              <w:spacing w:line="360" w:lineRule="auto"/>
              <w:ind w:firstLine="482" w:firstLineChars="200"/>
              <w:rPr>
                <w:rFonts w:hint="default" w:ascii="Times New Roman" w:hAnsi="Times New Roman" w:cs="Times New Roman"/>
                <w:b/>
                <w:bCs w:val="0"/>
                <w:color w:val="000000" w:themeColor="text1"/>
                <w14:textFill>
                  <w14:solidFill>
                    <w14:schemeClr w14:val="tx1"/>
                  </w14:solidFill>
                </w14:textFill>
              </w:rPr>
            </w:pPr>
            <w:r>
              <w:rPr>
                <w:rFonts w:ascii="Times New Roman" w:hAnsi="Times New Roman" w:cs="Times New Roman"/>
                <w:b/>
                <w:bCs w:val="0"/>
                <w:color w:val="000000" w:themeColor="text1"/>
                <w14:textFill>
                  <w14:solidFill>
                    <w14:schemeClr w14:val="tx1"/>
                  </w14:solidFill>
                </w14:textFill>
              </w:rPr>
              <w:t>（三）陆生生态环境现状</w:t>
            </w:r>
          </w:p>
          <w:p>
            <w:pPr>
              <w:pStyle w:val="74"/>
              <w:spacing w:line="360" w:lineRule="auto"/>
              <w:ind w:firstLine="480" w:firstLineChars="200"/>
              <w:rPr>
                <w:rFonts w:hint="default" w:ascii="Times New Roman" w:hAnsi="Times New Roman" w:eastAsia="宋体" w:cs="Times New Roman"/>
                <w:bCs/>
                <w:color w:val="000000" w:themeColor="text1"/>
                <w:lang w:val="en-US" w:eastAsia="zh-CN"/>
                <w14:textFill>
                  <w14:solidFill>
                    <w14:schemeClr w14:val="tx1"/>
                  </w14:solidFill>
                </w14:textFill>
              </w:rPr>
            </w:pPr>
            <w:r>
              <w:rPr>
                <w:rFonts w:hint="eastAsia" w:ascii="Times New Roman" w:hAnsi="Times New Roman" w:cs="Times New Roman"/>
                <w:bCs/>
                <w:color w:val="000000" w:themeColor="text1"/>
                <w:lang w:val="en-US" w:eastAsia="zh-CN"/>
                <w14:textFill>
                  <w14:solidFill>
                    <w14:schemeClr w14:val="tx1"/>
                  </w14:solidFill>
                </w14:textFill>
              </w:rPr>
              <w:t>项目所涉及14个小型灌区均位于宣汉县境内，其陆生生态环境现状基本类似，以农村生态环境为主要特征。</w:t>
            </w:r>
          </w:p>
          <w:p>
            <w:pPr>
              <w:pStyle w:val="74"/>
              <w:spacing w:line="360" w:lineRule="auto"/>
              <w:ind w:firstLine="480" w:firstLineChars="200"/>
              <w:rPr>
                <w:rFonts w:hint="default"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1、生态系统类型及受影响情况</w:t>
            </w:r>
          </w:p>
          <w:p>
            <w:pPr>
              <w:pStyle w:val="74"/>
              <w:spacing w:line="360" w:lineRule="auto"/>
              <w:ind w:firstLine="480" w:firstLineChars="200"/>
              <w:rPr>
                <w:rFonts w:hint="default"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本项目</w:t>
            </w:r>
            <w:r>
              <w:rPr>
                <w:rFonts w:hint="eastAsia" w:ascii="Times New Roman" w:hAnsi="Times New Roman" w:cs="Times New Roman"/>
                <w:bCs/>
                <w:color w:val="000000" w:themeColor="text1"/>
                <w:lang w:val="en-US" w:eastAsia="zh-CN"/>
                <w14:textFill>
                  <w14:solidFill>
                    <w14:schemeClr w14:val="tx1"/>
                  </w14:solidFill>
                </w14:textFill>
              </w:rPr>
              <w:t>14个灌区</w:t>
            </w:r>
            <w:r>
              <w:rPr>
                <w:rFonts w:ascii="Times New Roman" w:hAnsi="Times New Roman" w:cs="Times New Roman"/>
                <w:bCs/>
                <w:color w:val="000000" w:themeColor="text1"/>
                <w14:textFill>
                  <w14:solidFill>
                    <w14:schemeClr w14:val="tx1"/>
                  </w14:solidFill>
                </w14:textFill>
              </w:rPr>
              <w:t>影响范围包括陆生生态和水生生态，区域属于</w:t>
            </w:r>
            <w:r>
              <w:rPr>
                <w:rFonts w:hint="eastAsia" w:ascii="Times New Roman" w:hAnsi="Times New Roman" w:cs="Times New Roman"/>
                <w:bCs/>
                <w:color w:val="000000" w:themeColor="text1"/>
                <w:lang w:val="en-US" w:eastAsia="zh-CN"/>
                <w14:textFill>
                  <w14:solidFill>
                    <w14:schemeClr w14:val="tx1"/>
                  </w14:solidFill>
                </w14:textFill>
              </w:rPr>
              <w:t>农村</w:t>
            </w:r>
            <w:r>
              <w:rPr>
                <w:rFonts w:ascii="Times New Roman" w:hAnsi="Times New Roman" w:cs="Times New Roman"/>
                <w:bCs/>
                <w:color w:val="000000" w:themeColor="text1"/>
                <w14:textFill>
                  <w14:solidFill>
                    <w14:schemeClr w14:val="tx1"/>
                  </w14:solidFill>
                </w14:textFill>
              </w:rPr>
              <w:t>生态系统，以</w:t>
            </w:r>
            <w:r>
              <w:rPr>
                <w:rFonts w:hint="eastAsia" w:ascii="Times New Roman" w:hAnsi="Times New Roman" w:cs="Times New Roman"/>
                <w:bCs/>
                <w:color w:val="000000" w:themeColor="text1"/>
                <w:lang w:val="en-US" w:eastAsia="zh-CN"/>
                <w14:textFill>
                  <w14:solidFill>
                    <w14:schemeClr w14:val="tx1"/>
                  </w14:solidFill>
                </w14:textFill>
              </w:rPr>
              <w:t>野生植被</w:t>
            </w:r>
            <w:r>
              <w:rPr>
                <w:rFonts w:hint="eastAsia" w:ascii="Times New Roman" w:hAnsi="Times New Roman" w:cs="Times New Roman"/>
                <w:bCs/>
                <w:color w:val="000000" w:themeColor="text1"/>
                <w:lang w:eastAsia="zh-CN"/>
                <w14:textFill>
                  <w14:solidFill>
                    <w14:schemeClr w14:val="tx1"/>
                  </w14:solidFill>
                </w14:textFill>
              </w:rPr>
              <w:t>、</w:t>
            </w:r>
            <w:r>
              <w:rPr>
                <w:rFonts w:hint="eastAsia" w:ascii="Times New Roman" w:hAnsi="Times New Roman" w:cs="Times New Roman"/>
                <w:bCs/>
                <w:color w:val="000000" w:themeColor="text1"/>
                <w:lang w:val="en-US" w:eastAsia="zh-CN"/>
                <w14:textFill>
                  <w14:solidFill>
                    <w14:schemeClr w14:val="tx1"/>
                  </w14:solidFill>
                </w14:textFill>
              </w:rPr>
              <w:t>农作物</w:t>
            </w:r>
            <w:r>
              <w:rPr>
                <w:rFonts w:ascii="Times New Roman" w:hAnsi="Times New Roman" w:cs="Times New Roman"/>
                <w:bCs/>
                <w:color w:val="000000" w:themeColor="text1"/>
                <w14:textFill>
                  <w14:solidFill>
                    <w14:schemeClr w14:val="tx1"/>
                  </w14:solidFill>
                </w14:textFill>
              </w:rPr>
              <w:t>为主，土地利用类型主要为</w:t>
            </w:r>
            <w:r>
              <w:rPr>
                <w:rFonts w:hint="eastAsia" w:ascii="Times New Roman" w:hAnsi="Times New Roman" w:cs="Times New Roman"/>
                <w:bCs/>
                <w:color w:val="000000" w:themeColor="text1"/>
                <w:lang w:val="en-US" w:eastAsia="zh-CN"/>
                <w14:textFill>
                  <w14:solidFill>
                    <w14:schemeClr w14:val="tx1"/>
                  </w14:solidFill>
                </w14:textFill>
              </w:rPr>
              <w:t>山林地</w:t>
            </w:r>
            <w:r>
              <w:rPr>
                <w:rFonts w:ascii="Times New Roman" w:hAnsi="Times New Roman" w:cs="Times New Roman"/>
                <w:bCs/>
                <w:color w:val="000000" w:themeColor="text1"/>
                <w14:textFill>
                  <w14:solidFill>
                    <w14:schemeClr w14:val="tx1"/>
                  </w14:solidFill>
                </w14:textFill>
              </w:rPr>
              <w:t>、农用地、河道用地</w:t>
            </w:r>
            <w:r>
              <w:rPr>
                <w:rFonts w:hint="eastAsia" w:ascii="Times New Roman" w:hAnsi="Times New Roman" w:cs="Times New Roman"/>
                <w:bCs/>
                <w:color w:val="000000" w:themeColor="text1"/>
                <w:lang w:val="en-US" w:eastAsia="zh-CN"/>
                <w14:textFill>
                  <w14:solidFill>
                    <w14:schemeClr w14:val="tx1"/>
                  </w14:solidFill>
                </w14:textFill>
              </w:rPr>
              <w:t>等为主</w:t>
            </w:r>
            <w:r>
              <w:rPr>
                <w:rFonts w:ascii="Times New Roman" w:hAnsi="Times New Roman" w:cs="Times New Roman"/>
                <w:bCs/>
                <w:color w:val="000000" w:themeColor="text1"/>
                <w14:textFill>
                  <w14:solidFill>
                    <w14:schemeClr w14:val="tx1"/>
                  </w14:solidFill>
                </w14:textFill>
              </w:rPr>
              <w:t>。</w:t>
            </w:r>
          </w:p>
          <w:p>
            <w:pPr>
              <w:pStyle w:val="74"/>
              <w:spacing w:line="360" w:lineRule="auto"/>
              <w:ind w:firstLine="480" w:firstLineChars="200"/>
              <w:rPr>
                <w:rFonts w:hint="default"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根据现场调查和区域资料研究，本项目建设区域为</w:t>
            </w:r>
            <w:r>
              <w:rPr>
                <w:rFonts w:hint="eastAsia" w:ascii="Times New Roman" w:hAnsi="Times New Roman" w:cs="Times New Roman"/>
                <w:bCs/>
                <w:color w:val="000000" w:themeColor="text1"/>
                <w:lang w:val="en-US" w:eastAsia="zh-CN"/>
                <w14:textFill>
                  <w14:solidFill>
                    <w14:schemeClr w14:val="tx1"/>
                  </w14:solidFill>
                </w14:textFill>
              </w:rPr>
              <w:t>达州市宣汉县</w:t>
            </w:r>
            <w:r>
              <w:rPr>
                <w:rFonts w:ascii="Times New Roman" w:hAnsi="Times New Roman" w:cs="Times New Roman"/>
                <w:bCs/>
                <w:color w:val="000000" w:themeColor="text1"/>
                <w14:textFill>
                  <w14:solidFill>
                    <w14:schemeClr w14:val="tx1"/>
                  </w14:solidFill>
                </w14:textFill>
              </w:rPr>
              <w:t>，区域生态环境类型为典型的农村生态环境，区域生态环境现状受人类活动影响频繁。</w:t>
            </w:r>
          </w:p>
          <w:p>
            <w:pPr>
              <w:pStyle w:val="74"/>
              <w:spacing w:line="360" w:lineRule="auto"/>
              <w:ind w:firstLine="480" w:firstLineChars="200"/>
              <w:rPr>
                <w:rFonts w:hint="default" w:ascii="Times New Roman" w:hAnsi="Times New Roman" w:cs="Times New Roman"/>
                <w:bCs/>
                <w:color w:val="000000" w:themeColor="text1"/>
                <w14:textFill>
                  <w14:solidFill>
                    <w14:schemeClr w14:val="tx1"/>
                  </w14:solidFill>
                </w14:textFill>
              </w:rPr>
            </w:pPr>
            <w:r>
              <w:rPr>
                <w:rFonts w:ascii="Times New Roman" w:hAnsi="Times New Roman" w:cs="Times New Roman"/>
                <w:bCs/>
                <w:color w:val="000000" w:themeColor="text1"/>
                <w14:textFill>
                  <w14:solidFill>
                    <w14:schemeClr w14:val="tx1"/>
                  </w14:solidFill>
                </w14:textFill>
              </w:rPr>
              <w:t>2、陆生植被调查</w:t>
            </w:r>
          </w:p>
          <w:p>
            <w:pPr>
              <w:pStyle w:val="74"/>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cs="Times New Roman"/>
                <w:bCs/>
                <w:color w:val="000000" w:themeColor="text1"/>
                <w:lang w:val="en-US" w:eastAsia="zh-CN"/>
                <w14:textFill>
                  <w14:solidFill>
                    <w14:schemeClr w14:val="tx1"/>
                  </w14:solidFill>
                </w14:textFill>
              </w:rPr>
              <w:t>本项目属于灌区整治工程，</w:t>
            </w:r>
            <w:r>
              <w:rPr>
                <w:rFonts w:hint="default" w:ascii="Times New Roman" w:hAnsi="Times New Roman" w:cs="Times New Roman"/>
                <w:bCs/>
                <w:color w:val="000000" w:themeColor="text1"/>
                <w14:textFill>
                  <w14:solidFill>
                    <w14:schemeClr w14:val="tx1"/>
                  </w14:solidFill>
                </w14:textFill>
              </w:rPr>
              <w:t>根据现场调查，</w:t>
            </w:r>
            <w:r>
              <w:rPr>
                <w:rFonts w:hint="eastAsia" w:ascii="Times New Roman" w:hAnsi="Times New Roman" w:cs="Times New Roman"/>
                <w:bCs/>
                <w:color w:val="000000" w:themeColor="text1"/>
                <w:lang w:val="en-US" w:eastAsia="zh-CN"/>
                <w14:textFill>
                  <w14:solidFill>
                    <w14:schemeClr w14:val="tx1"/>
                  </w14:solidFill>
                </w14:textFill>
              </w:rPr>
              <w:t>各灌区</w:t>
            </w:r>
            <w:r>
              <w:rPr>
                <w:rFonts w:hint="default" w:ascii="Times New Roman" w:hAnsi="Times New Roman" w:cs="Times New Roman"/>
                <w:bCs/>
                <w:color w:val="000000" w:themeColor="text1"/>
                <w14:textFill>
                  <w14:solidFill>
                    <w14:schemeClr w14:val="tx1"/>
                  </w14:solidFill>
                </w14:textFill>
              </w:rPr>
              <w:t>评价范围内</w:t>
            </w:r>
            <w:r>
              <w:rPr>
                <w:rFonts w:hint="eastAsia" w:ascii="Times New Roman" w:hAnsi="Times New Roman" w:cs="Times New Roman"/>
                <w:bCs/>
                <w:color w:val="000000" w:themeColor="text1"/>
                <w:lang w:val="en-US" w:eastAsia="zh-CN"/>
                <w14:textFill>
                  <w14:solidFill>
                    <w14:schemeClr w14:val="tx1"/>
                  </w14:solidFill>
                </w14:textFill>
              </w:rPr>
              <w:t>陆生植被</w:t>
            </w:r>
            <w:r>
              <w:rPr>
                <w:rFonts w:hint="default" w:ascii="Times New Roman" w:hAnsi="Times New Roman" w:cs="Times New Roman"/>
                <w:bCs/>
                <w:color w:val="000000" w:themeColor="text1"/>
                <w14:textFill>
                  <w14:solidFill>
                    <w14:schemeClr w14:val="tx1"/>
                  </w14:solidFill>
                </w14:textFill>
              </w:rPr>
              <w:t>主要为</w:t>
            </w:r>
            <w:r>
              <w:rPr>
                <w:rFonts w:hint="eastAsia" w:ascii="Times New Roman" w:hAnsi="Times New Roman" w:cs="Times New Roman"/>
                <w:bCs/>
                <w:color w:val="000000" w:themeColor="text1"/>
                <w:lang w:val="en-US" w:eastAsia="zh-CN"/>
                <w14:textFill>
                  <w14:solidFill>
                    <w14:schemeClr w14:val="tx1"/>
                  </w14:solidFill>
                </w14:textFill>
              </w:rPr>
              <w:t>灌木林、</w:t>
            </w:r>
            <w:r>
              <w:rPr>
                <w:rFonts w:cs="Times New Roman"/>
                <w:bCs/>
                <w:color w:val="000000" w:themeColor="text1"/>
                <w14:textFill>
                  <w14:solidFill>
                    <w14:schemeClr w14:val="tx1"/>
                  </w14:solidFill>
                </w14:textFill>
              </w:rPr>
              <w:t>马尾松林</w:t>
            </w:r>
            <w:r>
              <w:rPr>
                <w:rFonts w:hint="eastAsia" w:ascii="Times New Roman" w:hAnsi="Times New Roman" w:cs="Times New Roman"/>
                <w:bCs/>
                <w:color w:val="000000" w:themeColor="text1"/>
                <w:lang w:val="en-US" w:eastAsia="zh-CN"/>
                <w14:textFill>
                  <w14:solidFill>
                    <w14:schemeClr w14:val="tx1"/>
                  </w14:solidFill>
                </w14:textFill>
              </w:rPr>
              <w:t>、灌丛、</w:t>
            </w:r>
            <w:r>
              <w:rPr>
                <w:rFonts w:hint="default" w:ascii="Times New Roman" w:hAnsi="Times New Roman" w:cs="Times New Roman"/>
                <w:bCs/>
                <w:color w:val="000000" w:themeColor="text1"/>
                <w14:textFill>
                  <w14:solidFill>
                    <w14:schemeClr w14:val="tx1"/>
                  </w14:solidFill>
                </w14:textFill>
              </w:rPr>
              <w:t>人工种植农作物</w:t>
            </w:r>
            <w:r>
              <w:rPr>
                <w:rFonts w:hint="eastAsia" w:ascii="Times New Roman" w:hAnsi="Times New Roman" w:cs="Times New Roman"/>
                <w:bCs/>
                <w:color w:val="000000" w:themeColor="text1"/>
                <w:lang w:val="en-US" w:eastAsia="zh-CN"/>
                <w14:textFill>
                  <w14:solidFill>
                    <w14:schemeClr w14:val="tx1"/>
                  </w14:solidFill>
                </w14:textFill>
              </w:rPr>
              <w:t>等</w:t>
            </w:r>
            <w:r>
              <w:rPr>
                <w:rFonts w:hint="default" w:ascii="Times New Roman" w:hAnsi="Times New Roman" w:cs="Times New Roman"/>
                <w:bCs/>
                <w:color w:val="000000" w:themeColor="text1"/>
                <w:lang w:eastAsia="zh-CN"/>
                <w14:textFill>
                  <w14:solidFill>
                    <w14:schemeClr w14:val="tx1"/>
                  </w14:solidFill>
                </w14:textFill>
              </w:rPr>
              <w:t>。</w:t>
            </w:r>
          </w:p>
          <w:p>
            <w:pPr>
              <w:pStyle w:val="74"/>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自然植被</w:t>
            </w:r>
            <w:r>
              <w:rPr>
                <w:rFonts w:hint="eastAsia" w:ascii="Times New Roman" w:hAnsi="Times New Roman" w:cs="Times New Roman"/>
                <w:sz w:val="24"/>
                <w:szCs w:val="24"/>
                <w:lang w:val="en-US" w:eastAsia="zh-CN"/>
              </w:rPr>
              <w:t>方面，</w:t>
            </w:r>
            <w:r>
              <w:rPr>
                <w:rFonts w:hint="eastAsia" w:ascii="Times New Roman" w:hAnsi="Times New Roman" w:eastAsia="宋体" w:cs="Times New Roman"/>
                <w:sz w:val="24"/>
                <w:szCs w:val="24"/>
                <w:lang w:val="en-US" w:eastAsia="zh-CN"/>
              </w:rPr>
              <w:t>主要为马尾松林、柏木林、栎类灌丛、亚热带草丛及其各种过渡类型。在个别海拔1200m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类灌丛多分布在山项，由麻栎、青冈、栓皮栎、烟管荚蓬、火棘、蔷薇、盐肤木、映山红、铁仔、毛黄栌组成，为马尾松林和落叶栎林砍伐后形成的灌丛类型。柏木林再度砍伐后形成以黄茅、白茅、香茅为主的亚热带草丛，并散生着黄荆、牡荆、马桑、铁仔、短柄枹栎等植物。另外，本小区各地还有黑壳楠、红果钓樟、云南樟、宜昌润楠、山合欢、灯台树等植物。</w:t>
            </w:r>
          </w:p>
          <w:p>
            <w:pPr>
              <w:pStyle w:val="74"/>
              <w:spacing w:line="360" w:lineRule="auto"/>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灌区农</w:t>
            </w:r>
            <w:r>
              <w:rPr>
                <w:rFonts w:hint="default" w:ascii="Times New Roman" w:hAnsi="Times New Roman" w:eastAsia="宋体" w:cs="Times New Roman"/>
                <w:sz w:val="24"/>
                <w:szCs w:val="24"/>
              </w:rPr>
              <w:t>作物</w:t>
            </w:r>
            <w:r>
              <w:rPr>
                <w:rFonts w:hint="eastAsia" w:ascii="Times New Roman" w:hAnsi="Times New Roman" w:cs="Times New Roman"/>
                <w:sz w:val="24"/>
                <w:szCs w:val="24"/>
                <w:lang w:val="en-US" w:eastAsia="zh-CN"/>
              </w:rPr>
              <w:t>方面，</w:t>
            </w:r>
            <w:r>
              <w:rPr>
                <w:rFonts w:cs="Times New Roman"/>
                <w:bCs/>
                <w:color w:val="000000" w:themeColor="text1"/>
                <w14:textFill>
                  <w14:solidFill>
                    <w14:schemeClr w14:val="tx1"/>
                  </w14:solidFill>
                </w14:textFill>
              </w:rPr>
              <w:t>大春作物以中稻为主，早地以玉米、红苕、棉花、花生、小麦、马铃薯、豌豆为主，小春作物以小麦、豌豆为主，深丘上部种有马铃薯，多为一年二熟类型。由于地势较高，雨量分配不均匀，伏旱严重，农业布局须因地制宜。有水利保证的田栽水稻，主攻中稻，没有水利保证的田，种植旱粮，实行小麦、玉米、红苕连续套种</w:t>
            </w:r>
            <w:r>
              <w:rPr>
                <w:rFonts w:hint="eastAsia" w:ascii="Times New Roman" w:hAnsi="Times New Roman" w:eastAsia="宋体" w:cs="Times New Roman"/>
                <w:sz w:val="24"/>
                <w:szCs w:val="24"/>
                <w:lang w:val="en-US" w:eastAsia="zh-CN"/>
              </w:rPr>
              <w:t>。</w:t>
            </w:r>
          </w:p>
          <w:p>
            <w:pPr>
              <w:pStyle w:val="74"/>
              <w:spacing w:line="360" w:lineRule="auto"/>
              <w:ind w:firstLine="480" w:firstLineChars="200"/>
              <w:rPr>
                <w:rFonts w:hint="eastAsia" w:ascii="Times New Roman" w:hAnsi="Times New Roman" w:cs="Times New Roman"/>
                <w:bCs/>
                <w:color w:val="000000" w:themeColor="text1"/>
                <w:lang w:eastAsia="zh-CN"/>
                <w14:textFill>
                  <w14:solidFill>
                    <w14:schemeClr w14:val="tx1"/>
                  </w14:solidFill>
                </w14:textFill>
              </w:rPr>
            </w:pPr>
            <w:r>
              <w:rPr>
                <w:rFonts w:hint="eastAsia" w:ascii="Times New Roman" w:hAnsi="Times New Roman" w:eastAsia="宋体" w:cs="Times New Roman"/>
                <w:sz w:val="24"/>
                <w:szCs w:val="24"/>
                <w:lang w:val="en-US" w:eastAsia="zh-CN"/>
              </w:rPr>
              <w:t>对照《中国珍稀濒危保护植物名录</w:t>
            </w:r>
            <w:r>
              <w:rPr>
                <w:rFonts w:hint="eastAsia" w:ascii="Times New Roman" w:hAnsi="Times New Roman" w:cs="Times New Roman"/>
                <w:sz w:val="24"/>
                <w:szCs w:val="24"/>
                <w:lang w:val="en-US" w:eastAsia="zh-CN"/>
              </w:rPr>
              <w:t>》《</w:t>
            </w:r>
            <w:r>
              <w:rPr>
                <w:rFonts w:hint="eastAsia" w:ascii="Times New Roman" w:hAnsi="Times New Roman" w:eastAsia="宋体" w:cs="Times New Roman"/>
                <w:sz w:val="24"/>
                <w:szCs w:val="24"/>
                <w:lang w:val="en-US" w:eastAsia="zh-CN"/>
              </w:rPr>
              <w:t>中国生物多样性红色名录一高等植物卷(2023)</w:t>
            </w:r>
            <w:r>
              <w:rPr>
                <w:rFonts w:hint="eastAsia" w:ascii="Times New Roman" w:hAnsi="Times New Roman" w:cs="Times New Roman"/>
                <w:sz w:val="24"/>
                <w:szCs w:val="24"/>
                <w:lang w:val="en-US" w:eastAsia="zh-CN"/>
              </w:rPr>
              <w:t>》《</w:t>
            </w:r>
            <w:r>
              <w:rPr>
                <w:rFonts w:hint="eastAsia" w:ascii="Times New Roman" w:hAnsi="Times New Roman" w:eastAsia="宋体" w:cs="Times New Roman"/>
                <w:sz w:val="24"/>
                <w:szCs w:val="24"/>
                <w:lang w:val="en-US" w:eastAsia="zh-CN"/>
              </w:rPr>
              <w:t>全国极小种群野生植物拯救保护工程规划（2011-2015年）</w:t>
            </w:r>
            <w:r>
              <w:rPr>
                <w:rFonts w:hint="eastAsia" w:ascii="Times New Roman" w:hAnsi="Times New Roman" w:cs="Times New Roman"/>
                <w:sz w:val="24"/>
                <w:szCs w:val="24"/>
                <w:lang w:val="en-US" w:eastAsia="zh-CN"/>
              </w:rPr>
              <w:t>》《</w:t>
            </w:r>
            <w:r>
              <w:rPr>
                <w:rFonts w:hint="eastAsia" w:ascii="Times New Roman" w:hAnsi="Times New Roman" w:eastAsia="宋体" w:cs="Times New Roman"/>
                <w:sz w:val="24"/>
                <w:szCs w:val="24"/>
                <w:lang w:val="en-US" w:eastAsia="zh-CN"/>
              </w:rPr>
              <w:t>四川省极小种群野生植物保护技术规程》评价范围</w:t>
            </w:r>
            <w:r>
              <w:rPr>
                <w:rFonts w:hint="default" w:ascii="Times New Roman" w:hAnsi="Times New Roman" w:eastAsia="宋体" w:cs="Times New Roman"/>
                <w:sz w:val="24"/>
                <w:szCs w:val="24"/>
              </w:rPr>
              <w:t>内未发现珍稀濒危</w:t>
            </w:r>
            <w:r>
              <w:rPr>
                <w:rFonts w:hint="eastAsia" w:ascii="Times New Roman" w:hAnsi="Times New Roman" w:cs="Times New Roman"/>
                <w:sz w:val="24"/>
                <w:szCs w:val="24"/>
                <w:lang w:val="en-US" w:eastAsia="zh-CN"/>
              </w:rPr>
              <w:t>受</w:t>
            </w:r>
            <w:r>
              <w:rPr>
                <w:rFonts w:hint="default" w:ascii="Times New Roman" w:hAnsi="Times New Roman" w:eastAsia="宋体" w:cs="Times New Roman"/>
                <w:sz w:val="24"/>
                <w:szCs w:val="24"/>
              </w:rPr>
              <w:t>保护植物</w:t>
            </w:r>
            <w:r>
              <w:rPr>
                <w:rFonts w:hint="eastAsia" w:ascii="Times New Roman" w:hAnsi="Times New Roman" w:cs="Times New Roman"/>
                <w:sz w:val="24"/>
                <w:szCs w:val="24"/>
                <w:lang w:eastAsia="zh-CN"/>
              </w:rPr>
              <w:t>，</w:t>
            </w:r>
            <w:r>
              <w:rPr>
                <w:rFonts w:hint="default" w:ascii="Times New Roman" w:hAnsi="Times New Roman" w:eastAsia="宋体" w:cs="Times New Roman"/>
                <w:sz w:val="24"/>
                <w:szCs w:val="24"/>
              </w:rPr>
              <w:t>未观察到有政府挂牌的名木古树</w:t>
            </w:r>
            <w:r>
              <w:rPr>
                <w:rFonts w:hint="eastAsia" w:ascii="Times New Roman" w:hAnsi="Times New Roman" w:cs="Times New Roman"/>
                <w:sz w:val="24"/>
                <w:szCs w:val="24"/>
                <w:lang w:eastAsia="zh-CN"/>
              </w:rPr>
              <w:t>。</w:t>
            </w:r>
          </w:p>
          <w:p>
            <w:pPr>
              <w:pStyle w:val="74"/>
              <w:spacing w:line="360" w:lineRule="auto"/>
              <w:ind w:firstLine="480" w:firstLineChars="200"/>
              <w:rPr>
                <w:rFonts w:hint="default" w:ascii="Times New Roman" w:hAnsi="Times New Roman" w:eastAsia="宋体" w:cs="Times New Roman"/>
                <w:bCs/>
                <w:color w:val="000000" w:themeColor="text1"/>
                <w:lang w:val="en-US" w:eastAsia="zh-CN"/>
                <w14:textFill>
                  <w14:solidFill>
                    <w14:schemeClr w14:val="tx1"/>
                  </w14:solidFill>
                </w14:textFill>
              </w:rPr>
            </w:pPr>
            <w:r>
              <w:rPr>
                <w:rFonts w:hint="eastAsia" w:ascii="Times New Roman" w:hAnsi="Times New Roman" w:cs="Times New Roman"/>
                <w:bCs/>
                <w:color w:val="000000" w:themeColor="text1"/>
                <w:lang w:val="en-US" w:eastAsia="zh-CN"/>
                <w14:textFill>
                  <w14:solidFill>
                    <w14:schemeClr w14:val="tx1"/>
                  </w14:solidFill>
                </w14:textFill>
              </w:rPr>
              <w:t>3、涉公益林情况</w:t>
            </w:r>
          </w:p>
          <w:p>
            <w:pPr>
              <w:pStyle w:val="74"/>
              <w:spacing w:line="360" w:lineRule="auto"/>
              <w:ind w:firstLine="480" w:firstLineChars="200"/>
              <w:rPr>
                <w:rFonts w:hint="default" w:ascii="Times New Roman" w:hAnsi="Times New Roman" w:cs="Times New Roman"/>
                <w:bCs/>
                <w:color w:val="000000" w:themeColor="text1"/>
                <w:lang w:val="en-US" w:eastAsia="zh-CN"/>
                <w14:textFill>
                  <w14:solidFill>
                    <w14:schemeClr w14:val="tx1"/>
                  </w14:solidFill>
                </w14:textFill>
              </w:rPr>
            </w:pPr>
            <w:r>
              <w:rPr>
                <w:rFonts w:hint="eastAsia" w:ascii="Times New Roman" w:hAnsi="Times New Roman" w:cs="Times New Roman"/>
                <w:bCs/>
                <w:color w:val="000000" w:themeColor="text1"/>
                <w:lang w:val="en-US" w:eastAsia="zh-CN"/>
                <w14:textFill>
                  <w14:solidFill>
                    <w14:schemeClr w14:val="tx1"/>
                  </w14:solidFill>
                </w14:textFill>
              </w:rPr>
              <w:t>根据三线一单及</w:t>
            </w:r>
            <w:r>
              <w:rPr>
                <w:rFonts w:cs="Times New Roman"/>
                <w:bCs/>
                <w:color w:val="000000" w:themeColor="text1"/>
                <w:szCs w:val="24"/>
                <w14:textFill>
                  <w14:solidFill>
                    <w14:schemeClr w14:val="tx1"/>
                  </w14:solidFill>
                </w14:textFill>
              </w:rPr>
              <w:t>宣汉县林地一张图叠加分析</w:t>
            </w:r>
            <w:r>
              <w:rPr>
                <w:rFonts w:hint="eastAsia" w:ascii="Times New Roman" w:hAnsi="Times New Roman" w:cs="Times New Roman"/>
                <w:bCs/>
                <w:color w:val="000000" w:themeColor="text1"/>
                <w:lang w:val="en-US" w:eastAsia="zh-CN"/>
                <w14:textFill>
                  <w14:solidFill>
                    <w14:schemeClr w14:val="tx1"/>
                  </w14:solidFill>
                </w14:textFill>
              </w:rPr>
              <w:t>，本项目云顶水库灌区工程穿越生态公益林0.5km，穿越情况如下：</w:t>
            </w:r>
          </w:p>
          <w:p>
            <w:pPr>
              <w:pStyle w:val="74"/>
              <w:spacing w:line="360" w:lineRule="auto"/>
              <w:jc w:val="center"/>
              <w:rPr>
                <w:rFonts w:hint="eastAsia" w:ascii="Times New Roman" w:hAnsi="Times New Roman" w:cs="Times New Roman"/>
                <w:bCs/>
                <w:color w:val="000000" w:themeColor="text1"/>
                <w:lang w:val="en-US" w:eastAsia="zh-CN"/>
                <w14:textFill>
                  <w14:solidFill>
                    <w14:schemeClr w14:val="tx1"/>
                  </w14:solidFill>
                </w14:textFill>
              </w:rPr>
            </w:pPr>
            <w:r>
              <w:rPr>
                <w:sz w:val="24"/>
              </w:rPr>
              <mc:AlternateContent>
                <mc:Choice Requires="wps">
                  <w:drawing>
                    <wp:anchor distT="0" distB="0" distL="114300" distR="114300" simplePos="0" relativeHeight="251743232" behindDoc="0" locked="0" layoutInCell="1" allowOverlap="1">
                      <wp:simplePos x="0" y="0"/>
                      <wp:positionH relativeFrom="column">
                        <wp:posOffset>1605280</wp:posOffset>
                      </wp:positionH>
                      <wp:positionV relativeFrom="paragraph">
                        <wp:posOffset>138430</wp:posOffset>
                      </wp:positionV>
                      <wp:extent cx="1824355" cy="902335"/>
                      <wp:effectExtent l="0" t="0" r="0" b="0"/>
                      <wp:wrapNone/>
                      <wp:docPr id="139" name="文本框 139"/>
                      <wp:cNvGraphicFramePr/>
                      <a:graphic xmlns:a="http://schemas.openxmlformats.org/drawingml/2006/main">
                        <a:graphicData uri="http://schemas.microsoft.com/office/word/2010/wordprocessingShape">
                          <wps:wsp>
                            <wps:cNvSpPr txBox="1"/>
                            <wps:spPr>
                              <a:xfrm>
                                <a:off x="2442845" y="2098675"/>
                                <a:ext cx="1824355" cy="9023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000000" w:themeColor="text1"/>
                                      <w14:textFill>
                                        <w14:solidFill>
                                          <w14:schemeClr w14:val="tx1"/>
                                        </w14:solidFill>
                                      </w14:textFill>
                                    </w:rPr>
                                  </w:pPr>
                                  <w:r>
                                    <w:rPr>
                                      <w:rStyle w:val="28"/>
                                      <w:rFonts w:hint="eastAsia" w:ascii="宋体" w:hAnsi="宋体" w:eastAsia="宋体" w:cs="Times New Roman"/>
                                      <w:color w:val="FFFF00"/>
                                      <w:kern w:val="2"/>
                                      <w:sz w:val="21"/>
                                      <w:szCs w:val="21"/>
                                      <w:lang w:val="en-US" w:eastAsia="zh-CN" w:bidi="ar-SA"/>
                                    </w:rPr>
                                    <w:t>生态公益林、水源涵养重要区、水土保持功能重要区、生物多样性维护重要区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4pt;margin-top:10.9pt;height:71.05pt;width:143.65pt;z-index:251743232;mso-width-relative:page;mso-height-relative:page;" filled="f" stroked="f" coordsize="21600,21600" o:gfxdata="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6AZr1doAAAAKAQAADwAAAAAA&#10;AAABACAAAAAiAAAAZHJzL2Rvd25yZXYueG1sUEsBAhQAFAAAAAgAh07iQBPVRX9KAgAAdgQAAA4A&#10;AAAAAAAAAQAgAAAAKQEAAGRycy9lMm9Eb2MueG1sUEsFBgAAAAAGAAYAWQEAAOUFAAAAAA==&#10;">
                      <v:fill on="f" focussize="0,0"/>
                      <v:stroke on="f" weight="0.5pt"/>
                      <v:imagedata o:title=""/>
                      <o:lock v:ext="edit" aspectratio="f"/>
                      <v:textbox>
                        <w:txbxContent>
                          <w:p>
                            <w:pPr>
                              <w:rPr>
                                <w:color w:val="000000" w:themeColor="text1"/>
                                <w14:textFill>
                                  <w14:solidFill>
                                    <w14:schemeClr w14:val="tx1"/>
                                  </w14:solidFill>
                                </w14:textFill>
                              </w:rPr>
                            </w:pPr>
                            <w:r>
                              <w:rPr>
                                <w:rStyle w:val="28"/>
                                <w:rFonts w:hint="eastAsia" w:ascii="宋体" w:hAnsi="宋体" w:eastAsia="宋体" w:cs="Times New Roman"/>
                                <w:color w:val="FFFF00"/>
                                <w:kern w:val="2"/>
                                <w:sz w:val="21"/>
                                <w:szCs w:val="21"/>
                                <w:lang w:val="en-US" w:eastAsia="zh-CN" w:bidi="ar-SA"/>
                              </w:rPr>
                              <w:t>生态公益林、水源涵养重要区、水土保持功能重要区、生物多样性维护重要区</w:t>
                            </w:r>
                          </w:p>
                        </w:txbxContent>
                      </v:textbox>
                    </v:shape>
                  </w:pict>
                </mc:Fallback>
              </mc:AlternateContent>
            </w:r>
            <w:r>
              <w:rPr>
                <w:sz w:val="24"/>
              </w:rPr>
              <mc:AlternateContent>
                <mc:Choice Requires="wps">
                  <w:drawing>
                    <wp:anchor distT="0" distB="0" distL="114300" distR="114300" simplePos="0" relativeHeight="251742208" behindDoc="0" locked="0" layoutInCell="1" allowOverlap="1">
                      <wp:simplePos x="0" y="0"/>
                      <wp:positionH relativeFrom="column">
                        <wp:posOffset>2788920</wp:posOffset>
                      </wp:positionH>
                      <wp:positionV relativeFrom="paragraph">
                        <wp:posOffset>1082040</wp:posOffset>
                      </wp:positionV>
                      <wp:extent cx="1293495" cy="325755"/>
                      <wp:effectExtent l="428625" t="6350" r="11430" b="10795"/>
                      <wp:wrapNone/>
                      <wp:docPr id="25" name="矩形标注 25"/>
                      <wp:cNvGraphicFramePr/>
                      <a:graphic xmlns:a="http://schemas.openxmlformats.org/drawingml/2006/main">
                        <a:graphicData uri="http://schemas.microsoft.com/office/word/2010/wordprocessingShape">
                          <wps:wsp>
                            <wps:cNvSpPr/>
                            <wps:spPr>
                              <a:xfrm>
                                <a:off x="2903220" y="1122045"/>
                                <a:ext cx="1293495" cy="325755"/>
                              </a:xfrm>
                              <a:prstGeom prst="wedgeRectCallout">
                                <a:avLst>
                                  <a:gd name="adj1" fmla="val -79209"/>
                                  <a:gd name="adj2" fmla="val 11598"/>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hint="default" w:eastAsiaTheme="minorEastAsia"/>
                                      <w:lang w:val="en-US" w:eastAsia="zh-CN"/>
                                    </w:rPr>
                                  </w:pPr>
                                  <w:r>
                                    <w:rPr>
                                      <w:rFonts w:hint="eastAsia"/>
                                      <w:lang w:val="en-US" w:eastAsia="zh-CN"/>
                                    </w:rPr>
                                    <w:t>沿现主干渠改明管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9.6pt;margin-top:85.2pt;height:25.65pt;width:101.85pt;z-index:251742208;v-text-anchor:middle;mso-width-relative:page;mso-height-relative:page;" fillcolor="#5B9BD5 [3204]" filled="t" stroked="t" coordsize="21600,21600" o:gfxdata="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LAUp3cAAAACwEAAA8AAAAAAAAAAQAgAAAAIgAAAGRycy9kb3ducmV2LnhtbFBLAQIUABQA&#10;AAAIAIdO4kCh009F0AIAAJMFAAAOAAAAAAAAAAEAIAAAACsBAABkcnMvZTJvRG9jLnhtbFBLBQYA&#10;AAAABgAGAFkBAABtBgAAAAA=&#10;" adj="-6309,13305">
                      <v:fill on="t" focussize="0,0"/>
                      <v:stroke weight="1pt" color="#2E75B6 [2404]" miterlimit="8" joinstyle="miter"/>
                      <v:imagedata o:title=""/>
                      <o:lock v:ext="edit" aspectratio="f"/>
                      <v:textbox>
                        <w:txbxContent>
                          <w:p>
                            <w:pPr>
                              <w:jc w:val="both"/>
                              <w:rPr>
                                <w:rFonts w:hint="default" w:eastAsiaTheme="minorEastAsia"/>
                                <w:lang w:val="en-US" w:eastAsia="zh-CN"/>
                              </w:rPr>
                            </w:pPr>
                            <w:r>
                              <w:rPr>
                                <w:rFonts w:hint="eastAsia"/>
                                <w:lang w:val="en-US" w:eastAsia="zh-CN"/>
                              </w:rPr>
                              <w:t>沿现主干渠改明管</w:t>
                            </w:r>
                          </w:p>
                        </w:txbxContent>
                      </v:textbox>
                    </v:shape>
                  </w:pict>
                </mc:Fallback>
              </mc:AlternateContent>
            </w:r>
            <w:r>
              <w:drawing>
                <wp:inline distT="0" distB="0" distL="114300" distR="114300">
                  <wp:extent cx="3870960" cy="2895600"/>
                  <wp:effectExtent l="0" t="0" r="15240" b="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94"/>
                          <a:stretch>
                            <a:fillRect/>
                          </a:stretch>
                        </pic:blipFill>
                        <pic:spPr>
                          <a:xfrm>
                            <a:off x="0" y="0"/>
                            <a:ext cx="3870960" cy="2895600"/>
                          </a:xfrm>
                          <a:prstGeom prst="rect">
                            <a:avLst/>
                          </a:prstGeom>
                          <a:noFill/>
                          <a:ln>
                            <a:noFill/>
                          </a:ln>
                        </pic:spPr>
                      </pic:pic>
                    </a:graphicData>
                  </a:graphic>
                </wp:inline>
              </w:drawing>
            </w:r>
          </w:p>
          <w:p>
            <w:pPr>
              <w:pStyle w:val="74"/>
              <w:spacing w:line="360" w:lineRule="auto"/>
              <w:jc w:val="center"/>
              <w:rPr>
                <w:rFonts w:hint="default" w:ascii="Times New Roman" w:hAnsi="Times New Roman" w:eastAsia="宋体" w:cs="Times New Roman"/>
                <w:bCs/>
                <w:color w:val="000000" w:themeColor="text1"/>
                <w:lang w:val="en-US" w:eastAsia="zh-CN"/>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图3-</w:t>
            </w:r>
            <w:r>
              <w:rPr>
                <w:rFonts w:hint="eastAsia" w:ascii="Times New Roman" w:hAnsi="Times New Roman" w:cs="Times New Roman"/>
                <w:b/>
                <w:color w:val="000000" w:themeColor="text1"/>
                <w:sz w:val="21"/>
                <w:szCs w:val="21"/>
                <w:lang w:val="en-US" w:eastAsia="zh-CN"/>
                <w14:textFill>
                  <w14:solidFill>
                    <w14:schemeClr w14:val="tx1"/>
                  </w14:solidFill>
                </w14:textFill>
              </w:rPr>
              <w:t>4  云顶水库管线穿越生态公益林情况</w:t>
            </w:r>
          </w:p>
          <w:p>
            <w:pPr>
              <w:pStyle w:val="74"/>
              <w:spacing w:line="360" w:lineRule="auto"/>
              <w:ind w:firstLine="482" w:firstLineChars="200"/>
              <w:rPr>
                <w:rFonts w:hint="default" w:ascii="Times New Roman" w:hAnsi="Times New Roman" w:cs="Times New Roman"/>
                <w:b/>
                <w:bCs w:val="0"/>
                <w:color w:val="000000" w:themeColor="text1"/>
                <w:lang w:val="en-US" w:eastAsia="zh-CN"/>
                <w14:textFill>
                  <w14:solidFill>
                    <w14:schemeClr w14:val="tx1"/>
                  </w14:solidFill>
                </w14:textFill>
              </w:rPr>
            </w:pPr>
            <w:r>
              <w:rPr>
                <w:rFonts w:hint="eastAsia" w:ascii="Times New Roman" w:hAnsi="Times New Roman" w:cs="Times New Roman"/>
                <w:b/>
                <w:bCs w:val="0"/>
                <w:color w:val="000000" w:themeColor="text1"/>
                <w:lang w:val="en-US" w:eastAsia="zh-CN"/>
                <w14:textFill>
                  <w14:solidFill>
                    <w14:schemeClr w14:val="tx1"/>
                  </w14:solidFill>
                </w14:textFill>
              </w:rPr>
              <w:t>云顶水库灌区沿现状主干渠布置明管（现有主干渠红线内无林木），施工避免采用大型机械破坏树木，不会涉及渠道新开挖及树木砍伐，工程实施不会减少公益林面积及林木数量。</w:t>
            </w:r>
          </w:p>
          <w:p>
            <w:pPr>
              <w:pStyle w:val="74"/>
              <w:spacing w:line="360" w:lineRule="auto"/>
              <w:ind w:firstLine="480" w:firstLineChars="200"/>
              <w:rPr>
                <w:rFonts w:hint="default"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lang w:val="en-US" w:eastAsia="zh-CN"/>
                <w14:textFill>
                  <w14:solidFill>
                    <w14:schemeClr w14:val="tx1"/>
                  </w14:solidFill>
                </w14:textFill>
              </w:rPr>
              <w:t>4</w:t>
            </w:r>
            <w:r>
              <w:rPr>
                <w:rFonts w:ascii="Times New Roman" w:hAnsi="Times New Roman" w:cs="Times New Roman"/>
                <w:bCs/>
                <w:color w:val="000000" w:themeColor="text1"/>
                <w14:textFill>
                  <w14:solidFill>
                    <w14:schemeClr w14:val="tx1"/>
                  </w14:solidFill>
                </w14:textFill>
              </w:rPr>
              <w:t>、陆生动物调查</w:t>
            </w:r>
          </w:p>
          <w:p>
            <w:pPr>
              <w:pStyle w:val="74"/>
              <w:spacing w:line="360" w:lineRule="auto"/>
              <w:ind w:firstLine="480" w:firstLineChars="200"/>
              <w:rPr>
                <w:rFonts w:hint="eastAsia" w:ascii="Times New Roman" w:hAnsi="Times New Roman" w:cs="Times New Roman"/>
                <w:bCs/>
                <w:color w:val="000000" w:themeColor="text1"/>
                <w:lang w:eastAsia="zh-CN"/>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11-次年4月</w:t>
            </w:r>
            <w:r>
              <w:rPr>
                <w:rFonts w:hint="eastAsia" w:ascii="Times New Roman" w:hAnsi="Times New Roman" w:cs="Times New Roman"/>
                <w:bCs/>
                <w:color w:val="000000" w:themeColor="text1"/>
                <w:lang w:eastAsia="zh-CN"/>
                <w14:textFill>
                  <w14:solidFill>
                    <w14:schemeClr w14:val="tx1"/>
                  </w14:solidFill>
                </w14:textFill>
              </w:rPr>
              <w:t>。</w:t>
            </w:r>
          </w:p>
          <w:p>
            <w:pPr>
              <w:pStyle w:val="74"/>
              <w:spacing w:line="360" w:lineRule="auto"/>
              <w:ind w:firstLine="480" w:firstLineChars="200"/>
              <w:rPr>
                <w:rFonts w:hint="eastAsia"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实地调查包括对现场观察到的动物种类等进行记录和整理。根据</w:t>
            </w:r>
            <w:r>
              <w:rPr>
                <w:rFonts w:hint="eastAsia" w:ascii="Times New Roman" w:hAnsi="Times New Roman" w:cs="Times New Roman"/>
                <w:bCs/>
                <w:color w:val="000000" w:themeColor="text1"/>
                <w:lang w:val="en-US" w:eastAsia="zh-CN"/>
                <w14:textFill>
                  <w14:solidFill>
                    <w14:schemeClr w14:val="tx1"/>
                  </w14:solidFill>
                </w14:textFill>
              </w:rPr>
              <w:t>14个灌区</w:t>
            </w:r>
            <w:r>
              <w:rPr>
                <w:rFonts w:hint="eastAsia" w:ascii="Times New Roman" w:hAnsi="Times New Roman" w:cs="Times New Roman"/>
                <w:bCs/>
                <w:color w:val="000000" w:themeColor="text1"/>
                <w14:textFill>
                  <w14:solidFill>
                    <w14:schemeClr w14:val="tx1"/>
                  </w14:solidFill>
                </w14:textFill>
              </w:rPr>
              <w:t>区域的环境特征和兽类的生活特性，区域兽类主要分类</w:t>
            </w:r>
            <w:r>
              <w:rPr>
                <w:rFonts w:hint="eastAsia" w:ascii="Times New Roman" w:hAnsi="Times New Roman" w:cs="Times New Roman"/>
                <w:bCs/>
                <w:color w:val="000000" w:themeColor="text1"/>
                <w:lang w:val="en-US" w:eastAsia="zh-CN"/>
                <w14:textFill>
                  <w14:solidFill>
                    <w14:schemeClr w14:val="tx1"/>
                  </w14:solidFill>
                </w14:textFill>
              </w:rPr>
              <w:t>如下</w:t>
            </w:r>
            <w:r>
              <w:rPr>
                <w:rFonts w:hint="eastAsia" w:ascii="Times New Roman" w:hAnsi="Times New Roman" w:cs="Times New Roman"/>
                <w:bCs/>
                <w:color w:val="000000" w:themeColor="text1"/>
                <w14:textFill>
                  <w14:solidFill>
                    <w14:schemeClr w14:val="tx1"/>
                  </w14:solidFill>
                </w14:textFill>
              </w:rPr>
              <w:t>：</w:t>
            </w:r>
          </w:p>
          <w:p>
            <w:pPr>
              <w:pStyle w:val="74"/>
              <w:spacing w:line="360" w:lineRule="auto"/>
              <w:ind w:firstLine="480" w:firstLineChars="200"/>
              <w:rPr>
                <w:rFonts w:hint="eastAsia"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溪流区兽类：指生活在评价区内溪流和沿岸的物种，主要包括：黄鼬、草兔、社鼠等。</w:t>
            </w:r>
          </w:p>
          <w:p>
            <w:pPr>
              <w:pStyle w:val="74"/>
              <w:spacing w:line="360" w:lineRule="auto"/>
              <w:ind w:firstLine="480" w:firstLineChars="200"/>
              <w:rPr>
                <w:rFonts w:hint="eastAsia"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林区兽类：主要是指生活在森林环境的物种，森林环境在该区域主要分布于坡地中上部。为该区最广的生境类型，主要分布的兽类有隐纹花松鼠、社鼠等。</w:t>
            </w:r>
          </w:p>
          <w:p>
            <w:pPr>
              <w:pStyle w:val="74"/>
              <w:spacing w:line="360" w:lineRule="auto"/>
              <w:ind w:firstLine="480" w:firstLineChars="200"/>
              <w:rPr>
                <w:rFonts w:hint="eastAsia"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灌草丛区兽类：该区域的生境类型主要包括灌丛、草丛和农耕地等，分布海拔相对较低，生活于其中的兽类主要包括：黄鼬、草兔、社鼠等，其中的优势种类为草兔、社鼠等。</w:t>
            </w:r>
          </w:p>
          <w:p>
            <w:pPr>
              <w:pStyle w:val="74"/>
              <w:spacing w:line="360" w:lineRule="auto"/>
              <w:ind w:firstLine="480" w:firstLineChars="200"/>
              <w:rPr>
                <w:rFonts w:hint="eastAsia" w:ascii="Times New Roman" w:hAnsi="Times New Roman" w:eastAsia="宋体" w:cs="Times New Roman"/>
                <w:bCs/>
                <w:color w:val="000000" w:themeColor="text1"/>
                <w:lang w:val="en-US" w:eastAsia="zh-CN"/>
                <w14:textFill>
                  <w14:solidFill>
                    <w14:schemeClr w14:val="tx1"/>
                  </w14:solidFill>
                </w14:textFill>
              </w:rPr>
            </w:pPr>
            <w:r>
              <w:rPr>
                <w:rFonts w:hint="eastAsia" w:ascii="Times New Roman" w:hAnsi="Times New Roman" w:cs="Times New Roman"/>
                <w:bCs/>
                <w:color w:val="000000" w:themeColor="text1"/>
                <w:lang w:val="en-US" w:eastAsia="zh-CN"/>
                <w14:textFill>
                  <w14:solidFill>
                    <w14:schemeClr w14:val="tx1"/>
                  </w14:solidFill>
                </w14:textFill>
              </w:rPr>
              <w:t>家禽：境内饲养的家畜主要有猪、牛、羊，其次为兔、狗、猫等。</w:t>
            </w:r>
          </w:p>
          <w:p>
            <w:pPr>
              <w:pStyle w:val="74"/>
              <w:spacing w:line="360" w:lineRule="auto"/>
              <w:ind w:firstLine="480" w:firstLineChars="200"/>
              <w:rPr>
                <w:rFonts w:hint="eastAsia" w:ascii="Times New Roman" w:hAnsi="Times New Roman" w:cs="Times New Roman"/>
                <w:bCs/>
                <w:color w:val="000000" w:themeColor="text1"/>
                <w14:textFill>
                  <w14:solidFill>
                    <w14:schemeClr w14:val="tx1"/>
                  </w14:solidFill>
                </w14:textFill>
              </w:rPr>
            </w:pPr>
            <w:r>
              <w:rPr>
                <w:rFonts w:hint="eastAsia" w:ascii="Times New Roman" w:hAnsi="Times New Roman" w:cs="Times New Roman"/>
                <w:bCs/>
                <w:color w:val="000000" w:themeColor="text1"/>
                <w14:textFill>
                  <w14:solidFill>
                    <w14:schemeClr w14:val="tx1"/>
                  </w14:solidFill>
                </w14:textFill>
              </w:rPr>
              <w:t>根据《国家重点保护野生动物名录》(2021版)、《四川省重点保护野生动物名录》及《四川省新增重点保护野生动物名录》核实，在调查区域内未发现珍稀濒危及国家和四川省重点保护的野生动物分布。</w:t>
            </w:r>
          </w:p>
          <w:p>
            <w:pPr>
              <w:pStyle w:val="74"/>
              <w:spacing w:line="360" w:lineRule="auto"/>
              <w:ind w:firstLine="482" w:firstLineChars="200"/>
              <w:rPr>
                <w:rFonts w:hint="default" w:ascii="Times New Roman" w:hAnsi="Times New Roman" w:cs="Times New Roman"/>
                <w:b/>
                <w:bCs w:val="0"/>
                <w:color w:val="000000" w:themeColor="text1"/>
                <w14:textFill>
                  <w14:solidFill>
                    <w14:schemeClr w14:val="tx1"/>
                  </w14:solidFill>
                </w14:textFill>
              </w:rPr>
            </w:pPr>
            <w:r>
              <w:rPr>
                <w:rFonts w:ascii="Times New Roman" w:hAnsi="Times New Roman" w:cs="Times New Roman"/>
                <w:b/>
                <w:bCs w:val="0"/>
                <w:color w:val="000000" w:themeColor="text1"/>
                <w14:textFill>
                  <w14:solidFill>
                    <w14:schemeClr w14:val="tx1"/>
                  </w14:solidFill>
                </w14:textFill>
              </w:rPr>
              <w:t>（四）水生生态环境现状</w:t>
            </w:r>
          </w:p>
          <w:p>
            <w:pPr>
              <w:pStyle w:val="74"/>
              <w:spacing w:line="360" w:lineRule="auto"/>
              <w:ind w:firstLine="480" w:firstLineChars="200"/>
              <w:rPr>
                <w:rFonts w:hint="default" w:ascii="Times New Roman" w:hAnsi="Times New Roman" w:cs="Times New Roman"/>
                <w:bCs/>
                <w:color w:val="000000" w:themeColor="text1"/>
                <w:lang w:val="en-US" w:eastAsia="zh-CN"/>
                <w14:textFill>
                  <w14:solidFill>
                    <w14:schemeClr w14:val="tx1"/>
                  </w14:solidFill>
                </w14:textFill>
              </w:rPr>
            </w:pPr>
            <w:r>
              <w:rPr>
                <w:rFonts w:hint="eastAsia" w:ascii="Times New Roman" w:hAnsi="Times New Roman" w:cs="Times New Roman"/>
                <w:bCs/>
                <w:color w:val="000000" w:themeColor="text1"/>
                <w:lang w:val="en-US" w:eastAsia="zh-CN"/>
                <w14:textFill>
                  <w14:solidFill>
                    <w14:schemeClr w14:val="tx1"/>
                  </w14:solidFill>
                </w14:textFill>
              </w:rPr>
              <w:t>本项目涉及的</w:t>
            </w:r>
            <w:r>
              <w:rPr>
                <w:rFonts w:ascii="Times New Roman" w:hAnsi="Times New Roman" w:cs="Times New Roman"/>
                <w:bCs/>
                <w:color w:val="000000" w:themeColor="text1"/>
                <w14:textFill>
                  <w14:solidFill>
                    <w14:schemeClr w14:val="tx1"/>
                  </w14:solidFill>
                </w14:textFill>
              </w:rPr>
              <w:t>区域</w:t>
            </w:r>
            <w:r>
              <w:rPr>
                <w:rFonts w:hint="default" w:ascii="Times New Roman" w:hAnsi="Times New Roman" w:cs="Times New Roman"/>
                <w:bCs/>
                <w:color w:val="000000" w:themeColor="text1"/>
                <w14:textFill>
                  <w14:solidFill>
                    <w14:schemeClr w14:val="tx1"/>
                  </w14:solidFill>
                </w14:textFill>
              </w:rPr>
              <w:t>人工水利设施为</w:t>
            </w:r>
            <w:r>
              <w:rPr>
                <w:rFonts w:hint="default" w:ascii="Times New Roman" w:hAnsi="Times New Roman" w:cs="Times New Roman"/>
                <w:bCs/>
                <w:color w:val="000000" w:themeColor="text1"/>
                <w:lang w:val="en-US" w:eastAsia="zh-CN"/>
                <w14:textFill>
                  <w14:solidFill>
                    <w14:schemeClr w14:val="tx1"/>
                  </w14:solidFill>
                </w14:textFill>
              </w:rPr>
              <w:t>各标段</w:t>
            </w:r>
            <w:r>
              <w:rPr>
                <w:rFonts w:hint="eastAsia" w:ascii="Times New Roman" w:hAnsi="Times New Roman" w:cs="Times New Roman"/>
                <w:bCs/>
                <w:color w:val="000000" w:themeColor="text1"/>
                <w:lang w:val="en-US" w:eastAsia="zh-CN"/>
                <w14:textFill>
                  <w14:solidFill>
                    <w14:schemeClr w14:val="tx1"/>
                  </w14:solidFill>
                </w14:textFill>
              </w:rPr>
              <w:t>输水</w:t>
            </w:r>
            <w:r>
              <w:rPr>
                <w:rFonts w:hint="default" w:ascii="Times New Roman" w:hAnsi="Times New Roman" w:cs="Times New Roman"/>
                <w:bCs/>
                <w:color w:val="000000" w:themeColor="text1"/>
                <w:lang w:val="en-US" w:eastAsia="zh-CN"/>
                <w14:textFill>
                  <w14:solidFill>
                    <w14:schemeClr w14:val="tx1"/>
                  </w14:solidFill>
                </w14:textFill>
              </w:rPr>
              <w:t>渠道</w:t>
            </w:r>
            <w:r>
              <w:rPr>
                <w:rFonts w:hint="eastAsia" w:ascii="Times New Roman" w:hAnsi="Times New Roman" w:cs="Times New Roman"/>
                <w:bCs/>
                <w:color w:val="000000" w:themeColor="text1"/>
                <w:lang w:val="en-US" w:eastAsia="zh-CN"/>
                <w14:textFill>
                  <w14:solidFill>
                    <w14:schemeClr w14:val="tx1"/>
                  </w14:solidFill>
                </w14:textFill>
              </w:rPr>
              <w:t>、管道，水源为各小型水库，渠道管道输水用于灌溉，在非农灌季节大部分时间为无水状态，也基本无水生生物存在。</w:t>
            </w:r>
          </w:p>
          <w:p>
            <w:pPr>
              <w:pStyle w:val="74"/>
              <w:spacing w:line="360" w:lineRule="auto"/>
              <w:ind w:firstLine="482" w:firstLineChars="200"/>
              <w:rPr>
                <w:rFonts w:hint="default" w:ascii="Times New Roman" w:hAnsi="Times New Roman" w:cs="Times New Roman"/>
                <w:b/>
                <w:bCs w:val="0"/>
                <w:color w:val="auto"/>
              </w:rPr>
            </w:pPr>
            <w:r>
              <w:rPr>
                <w:rFonts w:ascii="Times New Roman" w:hAnsi="Times New Roman" w:cs="Times New Roman"/>
                <w:b/>
                <w:bCs w:val="0"/>
                <w:color w:val="auto"/>
              </w:rPr>
              <w:t>（</w:t>
            </w:r>
            <w:r>
              <w:rPr>
                <w:rFonts w:hint="eastAsia" w:ascii="Times New Roman" w:hAnsi="Times New Roman" w:cs="Times New Roman"/>
                <w:b/>
                <w:bCs w:val="0"/>
                <w:color w:val="auto"/>
                <w:lang w:val="en-US" w:eastAsia="zh-CN"/>
              </w:rPr>
              <w:t>五</w:t>
            </w:r>
            <w:r>
              <w:rPr>
                <w:rFonts w:ascii="Times New Roman" w:hAnsi="Times New Roman" w:cs="Times New Roman"/>
                <w:b/>
                <w:bCs w:val="0"/>
                <w:color w:val="auto"/>
              </w:rPr>
              <w:t>）区域水土流失情况</w:t>
            </w:r>
          </w:p>
          <w:p>
            <w:pPr>
              <w:pStyle w:val="74"/>
              <w:spacing w:line="360" w:lineRule="auto"/>
              <w:ind w:firstLine="480" w:firstLineChars="200"/>
              <w:rPr>
                <w:rFonts w:hint="eastAsia" w:ascii="Times New Roman" w:hAnsi="Times New Roman" w:cs="Times New Roman"/>
                <w:bCs/>
                <w:color w:val="auto"/>
                <w:u w:val="none"/>
              </w:rPr>
            </w:pPr>
            <w:r>
              <w:rPr>
                <w:rFonts w:ascii="Times New Roman" w:hAnsi="Times New Roman" w:cs="Times New Roman"/>
                <w:bCs/>
                <w:color w:val="auto"/>
                <w:u w:val="single"/>
              </w:rPr>
              <w:t>水土流失情况：</w:t>
            </w:r>
            <w:r>
              <w:rPr>
                <w:rFonts w:hint="eastAsia" w:ascii="Times New Roman" w:hAnsi="Times New Roman" w:cs="Times New Roman"/>
                <w:bCs/>
                <w:color w:val="auto"/>
                <w:u w:val="none"/>
              </w:rPr>
              <w:t>经过实地调查，项目占地类型主要为水利设施用地，查阅当地水土保持资料和《土壤侵蚀分类分级标准》，项目沿线水土流失主要为水力侵蚀，在水力侵蚀中，主要为面蚀，其中水田、农村宅基地、公路用地、坑塘水面和河沟的坡度一般为＜5°，多为微度侵蚀程度；旱地坡度一般为5~25°，林草植被覆盖度基本在45～60%，林地、草地坡度一般为5~15°，林草植被覆盖度基本在45～75%，项目区整体水土流失强度为轻度。</w:t>
            </w:r>
          </w:p>
          <w:p>
            <w:pPr>
              <w:pStyle w:val="74"/>
              <w:spacing w:line="360" w:lineRule="auto"/>
              <w:ind w:firstLine="480" w:firstLineChars="200"/>
              <w:rPr>
                <w:rFonts w:hint="default" w:ascii="Times New Roman" w:hAnsi="Times New Roman" w:cs="Times New Roman"/>
                <w:bCs/>
                <w:color w:val="auto"/>
                <w:u w:val="none"/>
              </w:rPr>
            </w:pPr>
            <w:r>
              <w:rPr>
                <w:rFonts w:hint="default" w:ascii="Times New Roman" w:hAnsi="Times New Roman" w:cs="Times New Roman"/>
                <w:bCs/>
                <w:color w:val="auto"/>
                <w:u w:val="none"/>
              </w:rPr>
              <w:t>根据《全国水土保持规划国家级水土流失重点预防区和重点治理区划分成果》（办水保〔2013〕188号）及《四川省水利厅关于印发四川省省级水土流失重点预防区和重点治理区划分成果的通知》（川水函〔2017〕482号），项目所在地</w:t>
            </w:r>
            <w:r>
              <w:rPr>
                <w:rFonts w:hint="eastAsia" w:ascii="Times New Roman" w:hAnsi="Times New Roman" w:cs="Times New Roman"/>
                <w:bCs/>
                <w:color w:val="auto"/>
                <w:u w:val="none"/>
                <w:lang w:val="en-US" w:eastAsia="zh-CN"/>
              </w:rPr>
              <w:t>达州市宣汉县属于</w:t>
            </w:r>
            <w:r>
              <w:rPr>
                <w:rFonts w:hint="default" w:ascii="Times New Roman" w:hAnsi="Times New Roman" w:cs="Times New Roman"/>
                <w:bCs/>
                <w:color w:val="auto"/>
                <w:u w:val="none"/>
              </w:rPr>
              <w:t>国家级水土流失重点治理区。</w:t>
            </w:r>
          </w:p>
          <w:p>
            <w:pPr>
              <w:pStyle w:val="74"/>
              <w:spacing w:line="360" w:lineRule="auto"/>
              <w:ind w:firstLine="482" w:firstLineChars="200"/>
              <w:rPr>
                <w:rFonts w:ascii="Times New Roman" w:hAnsi="Times New Roman" w:cs="Times New Roman"/>
                <w:b/>
                <w:bCs w:val="0"/>
                <w:color w:val="auto"/>
              </w:rPr>
            </w:pPr>
            <w:r>
              <w:rPr>
                <w:rFonts w:hint="eastAsia" w:ascii="Times New Roman" w:hAnsi="Times New Roman" w:cs="Times New Roman"/>
                <w:b/>
                <w:bCs w:val="0"/>
                <w:color w:val="auto"/>
                <w:u w:val="none"/>
                <w:lang w:val="en-US" w:eastAsia="zh-CN"/>
              </w:rPr>
              <w:t>根据前文分析，云顶水库管线穿越当地</w:t>
            </w:r>
            <w:r>
              <w:rPr>
                <w:rFonts w:hint="eastAsia" w:ascii="Times New Roman" w:hAnsi="Times New Roman" w:cs="Times New Roman"/>
                <w:b/>
                <w:bCs w:val="0"/>
                <w:color w:val="auto"/>
                <w:u w:val="single"/>
                <w:lang w:val="en-US" w:eastAsia="zh-CN"/>
              </w:rPr>
              <w:t>水土保持功能重要区</w:t>
            </w:r>
            <w:r>
              <w:rPr>
                <w:rFonts w:hint="eastAsia" w:ascii="Times New Roman" w:hAnsi="Times New Roman" w:cs="Times New Roman"/>
                <w:b/>
                <w:bCs w:val="0"/>
                <w:color w:val="auto"/>
                <w:u w:val="none"/>
                <w:lang w:val="en-US" w:eastAsia="zh-CN"/>
              </w:rPr>
              <w:t>，施工期间应严格落实本次评价提出的水土保持措施。</w:t>
            </w:r>
          </w:p>
          <w:p>
            <w:pPr>
              <w:pStyle w:val="74"/>
              <w:spacing w:line="360" w:lineRule="auto"/>
              <w:rPr>
                <w:rFonts w:hint="default"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二、项目所在区域的环境质量现状</w:t>
            </w:r>
          </w:p>
          <w:p>
            <w:pPr>
              <w:spacing w:line="360" w:lineRule="auto"/>
              <w:ind w:firstLine="482" w:firstLineChars="200"/>
              <w:rPr>
                <w:rFonts w:ascii="Times New Roman" w:hAnsi="Times New Roman" w:eastAsia="黑体" w:cs="Times New Roman"/>
                <w:b/>
                <w:bCs/>
                <w:color w:val="000000" w:themeColor="text1"/>
                <w:sz w:val="24"/>
                <w:szCs w:val="24"/>
                <w14:textFill>
                  <w14:solidFill>
                    <w14:schemeClr w14:val="tx1"/>
                  </w14:solidFill>
                </w14:textFill>
              </w:rPr>
            </w:pPr>
            <w:r>
              <w:rPr>
                <w:rFonts w:ascii="Times New Roman" w:hAnsi="Times New Roman" w:eastAsia="黑体" w:cs="Times New Roman"/>
                <w:b/>
                <w:bCs/>
                <w:color w:val="000000" w:themeColor="text1"/>
                <w:sz w:val="24"/>
                <w:szCs w:val="24"/>
                <w14:textFill>
                  <w14:solidFill>
                    <w14:schemeClr w14:val="tx1"/>
                  </w14:solidFill>
                </w14:textFill>
              </w:rPr>
              <w:t>（一）大气环境质量现状</w:t>
            </w:r>
          </w:p>
          <w:p>
            <w:pPr>
              <w:autoSpaceDE w:val="0"/>
              <w:autoSpaceDN w:val="0"/>
              <w:adjustRightIn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1、达标区判定</w:t>
            </w:r>
          </w:p>
          <w:p>
            <w:pPr>
              <w:autoSpaceDE w:val="0"/>
              <w:autoSpaceDN w:val="0"/>
              <w:adjustRightInd w:val="0"/>
              <w:spacing w:line="360" w:lineRule="auto"/>
              <w:ind w:firstLine="480" w:firstLineChars="200"/>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kern w:val="0"/>
                <w:sz w:val="24"/>
                <w:szCs w:val="24"/>
                <w14:textFill>
                  <w14:solidFill>
                    <w14:schemeClr w14:val="tx1"/>
                  </w14:solidFill>
                </w14:textFill>
              </w:rPr>
              <w:t>根据《环境影响评价技术导则大气环境》（HJ2.2-2018）中6.2.11规定：项目所在区域达标判定，优先采用国家或</w:t>
            </w:r>
            <w:r>
              <w:rPr>
                <w:rFonts w:hint="default" w:ascii="Times New Roman" w:hAnsi="Times New Roman" w:eastAsia="宋体" w:cs="Times New Roman"/>
                <w:color w:val="000000" w:themeColor="text1"/>
                <w:kern w:val="0"/>
                <w:sz w:val="24"/>
                <w:szCs w:val="24"/>
                <w14:textFill>
                  <w14:solidFill>
                    <w14:schemeClr w14:val="tx1"/>
                  </w14:solidFill>
                </w14:textFill>
              </w:rPr>
              <w:t>地方生态环境主管部门公开发布的评价基准年环境质量公告或环境质量报告中的数据或结论。</w:t>
            </w:r>
          </w:p>
          <w:p>
            <w:pPr>
              <w:wordWrap w:val="0"/>
              <w:adjustRightInd w:val="0"/>
              <w:snapToGrid w:val="0"/>
              <w:spacing w:line="360" w:lineRule="auto"/>
              <w:ind w:firstLine="480" w:firstLineChars="200"/>
              <w:rPr>
                <w:rFonts w:hint="default" w:ascii="Times New Roman" w:hAnsi="Times New Roman" w:eastAsia="宋体" w:cs="Times New Roman"/>
                <w:color w:val="000000"/>
                <w:kern w:val="0"/>
                <w:sz w:val="24"/>
                <w:szCs w:val="24"/>
                <w:highlight w:val="none"/>
              </w:rPr>
            </w:pPr>
            <w:r>
              <w:rPr>
                <w:rFonts w:hint="default" w:ascii="Times New Roman" w:hAnsi="Times New Roman" w:eastAsia="宋体" w:cs="Times New Roman"/>
                <w:b w:val="0"/>
                <w:bCs w:val="0"/>
                <w:sz w:val="24"/>
                <w:szCs w:val="24"/>
              </w:rPr>
              <w:t>根据</w:t>
            </w:r>
            <w:r>
              <w:rPr>
                <w:rFonts w:hint="default" w:ascii="Times New Roman" w:hAnsi="Times New Roman" w:eastAsia="宋体" w:cs="Times New Roman"/>
                <w:color w:val="000000"/>
                <w:sz w:val="24"/>
                <w:szCs w:val="24"/>
                <w:highlight w:val="none"/>
              </w:rPr>
              <w:t>达州市生态环境局发布（http://sthjj.dazhou.gov.cn/news-list-hjzl.html）的《达州市2022年环境空气质量状况》中的数据进行评价</w:t>
            </w:r>
            <w:r>
              <w:rPr>
                <w:rFonts w:hint="default" w:ascii="Times New Roman" w:hAnsi="Times New Roman" w:eastAsia="宋体" w:cs="Times New Roman"/>
                <w:color w:val="000000"/>
                <w:kern w:val="0"/>
                <w:sz w:val="24"/>
                <w:szCs w:val="24"/>
                <w:highlight w:val="none"/>
              </w:rPr>
              <w:t>：</w:t>
            </w:r>
          </w:p>
          <w:p>
            <w:pPr>
              <w:spacing w:line="240" w:lineRule="auto"/>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b/>
                <w:bCs/>
                <w:color w:val="000000"/>
                <w:sz w:val="21"/>
                <w:szCs w:val="21"/>
                <w:highlight w:val="none"/>
              </w:rPr>
              <w:t>表3-1  202</w:t>
            </w:r>
            <w:r>
              <w:rPr>
                <w:rFonts w:hint="eastAsia" w:ascii="Times New Roman" w:hAnsi="Times New Roman" w:eastAsia="宋体" w:cs="Times New Roman"/>
                <w:b/>
                <w:bCs/>
                <w:color w:val="000000"/>
                <w:sz w:val="21"/>
                <w:szCs w:val="21"/>
                <w:highlight w:val="none"/>
                <w:lang w:val="en-US" w:eastAsia="zh-CN"/>
              </w:rPr>
              <w:t>2</w:t>
            </w:r>
            <w:r>
              <w:rPr>
                <w:rFonts w:hint="default" w:ascii="Times New Roman" w:hAnsi="Times New Roman" w:eastAsia="宋体" w:cs="Times New Roman"/>
                <w:b/>
                <w:bCs/>
                <w:color w:val="000000"/>
                <w:sz w:val="21"/>
                <w:szCs w:val="21"/>
                <w:highlight w:val="none"/>
              </w:rPr>
              <w:t>年宣汉县环境空气质量状况统计表</w:t>
            </w:r>
          </w:p>
          <w:tbl>
            <w:tblPr>
              <w:tblStyle w:val="26"/>
              <w:tblW w:w="9018" w:type="dxa"/>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169"/>
              <w:gridCol w:w="2649"/>
              <w:gridCol w:w="1147"/>
              <w:gridCol w:w="1674"/>
              <w:gridCol w:w="1409"/>
              <w:gridCol w:w="970"/>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73" w:hRule="atLeast"/>
                <w:jc w:val="center"/>
              </w:trPr>
              <w:tc>
                <w:tcPr>
                  <w:tcW w:w="64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污染物</w:t>
                  </w:r>
                </w:p>
              </w:tc>
              <w:tc>
                <w:tcPr>
                  <w:tcW w:w="146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年评价指标</w:t>
                  </w:r>
                </w:p>
              </w:tc>
              <w:tc>
                <w:tcPr>
                  <w:tcW w:w="635"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评价标准</w:t>
                  </w:r>
                </w:p>
              </w:tc>
              <w:tc>
                <w:tcPr>
                  <w:tcW w:w="92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现状浓度</w:t>
                  </w:r>
                </w:p>
              </w:tc>
              <w:tc>
                <w:tcPr>
                  <w:tcW w:w="781"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占标率</w:t>
                  </w:r>
                </w:p>
              </w:tc>
              <w:tc>
                <w:tcPr>
                  <w:tcW w:w="537"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64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PM</w:t>
                  </w:r>
                  <w:r>
                    <w:rPr>
                      <w:rFonts w:hint="default" w:ascii="Times New Roman" w:hAnsi="Times New Roman" w:eastAsia="宋体" w:cs="Times New Roman"/>
                      <w:color w:val="000000"/>
                      <w:kern w:val="0"/>
                      <w:sz w:val="21"/>
                      <w:szCs w:val="21"/>
                      <w:highlight w:val="none"/>
                      <w:vertAlign w:val="subscript"/>
                    </w:rPr>
                    <w:t>10</w:t>
                  </w:r>
                </w:p>
              </w:tc>
              <w:tc>
                <w:tcPr>
                  <w:tcW w:w="146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年平均质量浓度</w:t>
                  </w:r>
                </w:p>
              </w:tc>
              <w:tc>
                <w:tcPr>
                  <w:tcW w:w="635"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70μg/m</w:t>
                  </w:r>
                  <w:r>
                    <w:rPr>
                      <w:rFonts w:hint="default" w:ascii="Times New Roman" w:hAnsi="Times New Roman" w:eastAsia="宋体" w:cs="Times New Roman"/>
                      <w:color w:val="000000"/>
                      <w:kern w:val="0"/>
                      <w:sz w:val="21"/>
                      <w:szCs w:val="21"/>
                      <w:highlight w:val="none"/>
                      <w:vertAlign w:val="superscript"/>
                    </w:rPr>
                    <w:t>3</w:t>
                  </w:r>
                </w:p>
              </w:tc>
              <w:tc>
                <w:tcPr>
                  <w:tcW w:w="92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50μg/m</w:t>
                  </w:r>
                  <w:r>
                    <w:rPr>
                      <w:rFonts w:hint="default" w:ascii="Times New Roman" w:hAnsi="Times New Roman" w:eastAsia="宋体" w:cs="Times New Roman"/>
                      <w:color w:val="000000"/>
                      <w:kern w:val="0"/>
                      <w:sz w:val="21"/>
                      <w:szCs w:val="21"/>
                      <w:highlight w:val="none"/>
                      <w:vertAlign w:val="superscript"/>
                    </w:rPr>
                    <w:t>3</w:t>
                  </w:r>
                </w:p>
              </w:tc>
              <w:tc>
                <w:tcPr>
                  <w:tcW w:w="781"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71.40%</w:t>
                  </w:r>
                </w:p>
              </w:tc>
              <w:tc>
                <w:tcPr>
                  <w:tcW w:w="537"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64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PM</w:t>
                  </w:r>
                  <w:r>
                    <w:rPr>
                      <w:rFonts w:hint="default" w:ascii="Times New Roman" w:hAnsi="Times New Roman" w:eastAsia="宋体" w:cs="Times New Roman"/>
                      <w:color w:val="000000"/>
                      <w:kern w:val="0"/>
                      <w:sz w:val="21"/>
                      <w:szCs w:val="21"/>
                      <w:highlight w:val="none"/>
                      <w:vertAlign w:val="subscript"/>
                    </w:rPr>
                    <w:t>2.5</w:t>
                  </w:r>
                </w:p>
              </w:tc>
              <w:tc>
                <w:tcPr>
                  <w:tcW w:w="146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年平均质量浓度</w:t>
                  </w:r>
                </w:p>
              </w:tc>
              <w:tc>
                <w:tcPr>
                  <w:tcW w:w="635"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35μg/m</w:t>
                  </w:r>
                  <w:r>
                    <w:rPr>
                      <w:rFonts w:hint="default" w:ascii="Times New Roman" w:hAnsi="Times New Roman" w:eastAsia="宋体" w:cs="Times New Roman"/>
                      <w:color w:val="000000"/>
                      <w:kern w:val="0"/>
                      <w:sz w:val="21"/>
                      <w:szCs w:val="21"/>
                      <w:highlight w:val="none"/>
                      <w:vertAlign w:val="superscript"/>
                    </w:rPr>
                    <w:t>3</w:t>
                  </w:r>
                </w:p>
              </w:tc>
              <w:tc>
                <w:tcPr>
                  <w:tcW w:w="92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27μg/m</w:t>
                  </w:r>
                  <w:r>
                    <w:rPr>
                      <w:rFonts w:hint="default" w:ascii="Times New Roman" w:hAnsi="Times New Roman" w:eastAsia="宋体" w:cs="Times New Roman"/>
                      <w:color w:val="000000"/>
                      <w:kern w:val="0"/>
                      <w:sz w:val="21"/>
                      <w:szCs w:val="21"/>
                      <w:highlight w:val="none"/>
                      <w:vertAlign w:val="superscript"/>
                    </w:rPr>
                    <w:t>3</w:t>
                  </w:r>
                </w:p>
              </w:tc>
              <w:tc>
                <w:tcPr>
                  <w:tcW w:w="781"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77.10%</w:t>
                  </w:r>
                </w:p>
              </w:tc>
              <w:tc>
                <w:tcPr>
                  <w:tcW w:w="537"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64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SO</w:t>
                  </w:r>
                  <w:r>
                    <w:rPr>
                      <w:rFonts w:hint="default" w:ascii="Times New Roman" w:hAnsi="Times New Roman" w:eastAsia="宋体" w:cs="Times New Roman"/>
                      <w:color w:val="000000"/>
                      <w:kern w:val="0"/>
                      <w:sz w:val="21"/>
                      <w:szCs w:val="21"/>
                      <w:highlight w:val="none"/>
                      <w:vertAlign w:val="subscript"/>
                    </w:rPr>
                    <w:t>2</w:t>
                  </w:r>
                </w:p>
              </w:tc>
              <w:tc>
                <w:tcPr>
                  <w:tcW w:w="146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年平均质量浓度</w:t>
                  </w:r>
                </w:p>
              </w:tc>
              <w:tc>
                <w:tcPr>
                  <w:tcW w:w="635"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60μg/m</w:t>
                  </w:r>
                  <w:r>
                    <w:rPr>
                      <w:rFonts w:hint="default" w:ascii="Times New Roman" w:hAnsi="Times New Roman" w:eastAsia="宋体" w:cs="Times New Roman"/>
                      <w:color w:val="000000"/>
                      <w:kern w:val="0"/>
                      <w:sz w:val="21"/>
                      <w:szCs w:val="21"/>
                      <w:highlight w:val="none"/>
                      <w:vertAlign w:val="superscript"/>
                    </w:rPr>
                    <w:t>3</w:t>
                  </w:r>
                </w:p>
              </w:tc>
              <w:tc>
                <w:tcPr>
                  <w:tcW w:w="92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5μg/m</w:t>
                  </w:r>
                  <w:r>
                    <w:rPr>
                      <w:rFonts w:hint="default" w:ascii="Times New Roman" w:hAnsi="Times New Roman" w:eastAsia="宋体" w:cs="Times New Roman"/>
                      <w:color w:val="000000"/>
                      <w:kern w:val="0"/>
                      <w:sz w:val="21"/>
                      <w:szCs w:val="21"/>
                      <w:highlight w:val="none"/>
                      <w:vertAlign w:val="superscript"/>
                    </w:rPr>
                    <w:t>3</w:t>
                  </w:r>
                </w:p>
              </w:tc>
              <w:tc>
                <w:tcPr>
                  <w:tcW w:w="781"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8.30%</w:t>
                  </w:r>
                </w:p>
              </w:tc>
              <w:tc>
                <w:tcPr>
                  <w:tcW w:w="537"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64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NO</w:t>
                  </w:r>
                  <w:r>
                    <w:rPr>
                      <w:rFonts w:hint="default" w:ascii="Times New Roman" w:hAnsi="Times New Roman" w:eastAsia="宋体" w:cs="Times New Roman"/>
                      <w:color w:val="000000"/>
                      <w:kern w:val="0"/>
                      <w:sz w:val="21"/>
                      <w:szCs w:val="21"/>
                      <w:highlight w:val="none"/>
                      <w:vertAlign w:val="subscript"/>
                    </w:rPr>
                    <w:t>2</w:t>
                  </w:r>
                </w:p>
              </w:tc>
              <w:tc>
                <w:tcPr>
                  <w:tcW w:w="146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年平均质量浓度</w:t>
                  </w:r>
                </w:p>
              </w:tc>
              <w:tc>
                <w:tcPr>
                  <w:tcW w:w="635"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40μg/m</w:t>
                  </w:r>
                  <w:r>
                    <w:rPr>
                      <w:rFonts w:hint="default" w:ascii="Times New Roman" w:hAnsi="Times New Roman" w:eastAsia="宋体" w:cs="Times New Roman"/>
                      <w:color w:val="000000"/>
                      <w:kern w:val="0"/>
                      <w:sz w:val="21"/>
                      <w:szCs w:val="21"/>
                      <w:highlight w:val="none"/>
                      <w:vertAlign w:val="superscript"/>
                    </w:rPr>
                    <w:t>3</w:t>
                  </w:r>
                </w:p>
              </w:tc>
              <w:tc>
                <w:tcPr>
                  <w:tcW w:w="92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19μg/m</w:t>
                  </w:r>
                  <w:r>
                    <w:rPr>
                      <w:rFonts w:hint="default" w:ascii="Times New Roman" w:hAnsi="Times New Roman" w:eastAsia="宋体" w:cs="Times New Roman"/>
                      <w:color w:val="000000"/>
                      <w:kern w:val="0"/>
                      <w:sz w:val="21"/>
                      <w:szCs w:val="21"/>
                      <w:highlight w:val="none"/>
                      <w:vertAlign w:val="superscript"/>
                    </w:rPr>
                    <w:t>3</w:t>
                  </w:r>
                </w:p>
              </w:tc>
              <w:tc>
                <w:tcPr>
                  <w:tcW w:w="781"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47.50%</w:t>
                  </w:r>
                </w:p>
              </w:tc>
              <w:tc>
                <w:tcPr>
                  <w:tcW w:w="537"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64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CO</w:t>
                  </w:r>
                </w:p>
              </w:tc>
              <w:tc>
                <w:tcPr>
                  <w:tcW w:w="146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95%百分位数24小时平均</w:t>
                  </w:r>
                </w:p>
              </w:tc>
              <w:tc>
                <w:tcPr>
                  <w:tcW w:w="635"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4mg/m³</w:t>
                  </w:r>
                </w:p>
              </w:tc>
              <w:tc>
                <w:tcPr>
                  <w:tcW w:w="92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1.1mg/m³</w:t>
                  </w:r>
                </w:p>
              </w:tc>
              <w:tc>
                <w:tcPr>
                  <w:tcW w:w="781"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27.50%</w:t>
                  </w:r>
                </w:p>
              </w:tc>
              <w:tc>
                <w:tcPr>
                  <w:tcW w:w="537"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91" w:hRule="atLeast"/>
                <w:jc w:val="center"/>
              </w:trPr>
              <w:tc>
                <w:tcPr>
                  <w:tcW w:w="64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O</w:t>
                  </w:r>
                  <w:r>
                    <w:rPr>
                      <w:rFonts w:hint="default" w:ascii="Times New Roman" w:hAnsi="Times New Roman" w:eastAsia="宋体" w:cs="Times New Roman"/>
                      <w:color w:val="000000"/>
                      <w:kern w:val="0"/>
                      <w:sz w:val="21"/>
                      <w:szCs w:val="21"/>
                      <w:highlight w:val="none"/>
                      <w:vertAlign w:val="subscript"/>
                    </w:rPr>
                    <w:t>3</w:t>
                  </w:r>
                </w:p>
              </w:tc>
              <w:tc>
                <w:tcPr>
                  <w:tcW w:w="146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90%百分位数日最大8小时滑动平均</w:t>
                  </w:r>
                </w:p>
              </w:tc>
              <w:tc>
                <w:tcPr>
                  <w:tcW w:w="635"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160μg/m</w:t>
                  </w:r>
                  <w:r>
                    <w:rPr>
                      <w:rFonts w:hint="default" w:ascii="Times New Roman" w:hAnsi="Times New Roman" w:eastAsia="宋体" w:cs="Times New Roman"/>
                      <w:color w:val="000000"/>
                      <w:kern w:val="0"/>
                      <w:sz w:val="21"/>
                      <w:szCs w:val="21"/>
                      <w:highlight w:val="none"/>
                      <w:vertAlign w:val="superscript"/>
                    </w:rPr>
                    <w:t>3</w:t>
                  </w:r>
                </w:p>
              </w:tc>
              <w:tc>
                <w:tcPr>
                  <w:tcW w:w="928"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99μg/m</w:t>
                  </w:r>
                  <w:r>
                    <w:rPr>
                      <w:rFonts w:hint="default" w:ascii="Times New Roman" w:hAnsi="Times New Roman" w:eastAsia="宋体" w:cs="Times New Roman"/>
                      <w:color w:val="000000"/>
                      <w:kern w:val="0"/>
                      <w:sz w:val="21"/>
                      <w:szCs w:val="21"/>
                      <w:highlight w:val="none"/>
                      <w:vertAlign w:val="superscript"/>
                    </w:rPr>
                    <w:t>3</w:t>
                  </w:r>
                </w:p>
              </w:tc>
              <w:tc>
                <w:tcPr>
                  <w:tcW w:w="781"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61.90%</w:t>
                  </w:r>
                </w:p>
              </w:tc>
              <w:tc>
                <w:tcPr>
                  <w:tcW w:w="537" w:type="pct"/>
                  <w:noWrap w:val="0"/>
                  <w:vAlign w:val="center"/>
                </w:tcPr>
                <w:p>
                  <w:pPr>
                    <w:widowControl/>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达标</w:t>
                  </w:r>
                </w:p>
              </w:tc>
            </w:tr>
          </w:tbl>
          <w:p>
            <w:pPr>
              <w:autoSpaceDE w:val="0"/>
              <w:autoSpaceDN w:val="0"/>
              <w:adjustRightInd w:val="0"/>
              <w:spacing w:line="360" w:lineRule="auto"/>
              <w:ind w:firstLine="480" w:firstLineChars="200"/>
              <w:rPr>
                <w:rFonts w:ascii="Times New Roman" w:hAnsi="Times New Roman" w:cs="Times New Roman"/>
                <w:b w:val="0"/>
                <w:bCs w:val="0"/>
                <w:sz w:val="24"/>
                <w:szCs w:val="24"/>
              </w:rPr>
            </w:pPr>
            <w:r>
              <w:rPr>
                <w:rFonts w:hint="default" w:ascii="Times New Roman" w:hAnsi="Times New Roman" w:eastAsia="宋体" w:cs="Times New Roman"/>
                <w:color w:val="000000"/>
                <w:sz w:val="24"/>
                <w:szCs w:val="24"/>
                <w:highlight w:val="none"/>
              </w:rPr>
              <w:t>根据公告内容，宣汉县2022年度主要污染物SO</w:t>
            </w:r>
            <w:r>
              <w:rPr>
                <w:rFonts w:hint="default" w:ascii="Times New Roman" w:hAnsi="Times New Roman" w:eastAsia="宋体" w:cs="Times New Roman"/>
                <w:color w:val="000000"/>
                <w:sz w:val="24"/>
                <w:szCs w:val="24"/>
                <w:highlight w:val="none"/>
                <w:vertAlign w:val="subscript"/>
              </w:rPr>
              <w:t>2</w:t>
            </w:r>
            <w:r>
              <w:rPr>
                <w:rFonts w:hint="default" w:ascii="Times New Roman" w:hAnsi="Times New Roman" w:eastAsia="宋体" w:cs="Times New Roman"/>
                <w:color w:val="000000"/>
                <w:sz w:val="24"/>
                <w:szCs w:val="24"/>
                <w:highlight w:val="none"/>
              </w:rPr>
              <w:t>、NO</w:t>
            </w:r>
            <w:r>
              <w:rPr>
                <w:rFonts w:hint="default" w:ascii="Times New Roman" w:hAnsi="Times New Roman" w:eastAsia="宋体" w:cs="Times New Roman"/>
                <w:color w:val="000000"/>
                <w:sz w:val="24"/>
                <w:szCs w:val="24"/>
                <w:highlight w:val="none"/>
                <w:vertAlign w:val="subscript"/>
              </w:rPr>
              <w:t>2</w:t>
            </w:r>
            <w:r>
              <w:rPr>
                <w:rFonts w:hint="default" w:ascii="Times New Roman" w:hAnsi="Times New Roman" w:eastAsia="宋体" w:cs="Times New Roman"/>
                <w:color w:val="000000"/>
                <w:sz w:val="24"/>
                <w:szCs w:val="24"/>
                <w:highlight w:val="none"/>
              </w:rPr>
              <w:t>、PM</w:t>
            </w:r>
            <w:r>
              <w:rPr>
                <w:rFonts w:hint="default" w:ascii="Times New Roman" w:hAnsi="Times New Roman" w:eastAsia="宋体" w:cs="Times New Roman"/>
                <w:color w:val="000000"/>
                <w:sz w:val="24"/>
                <w:szCs w:val="24"/>
                <w:highlight w:val="none"/>
                <w:vertAlign w:val="subscript"/>
              </w:rPr>
              <w:t>10</w:t>
            </w:r>
            <w:r>
              <w:rPr>
                <w:rFonts w:hint="default" w:ascii="Times New Roman" w:hAnsi="Times New Roman" w:eastAsia="宋体" w:cs="Times New Roman"/>
                <w:color w:val="000000"/>
                <w:sz w:val="24"/>
                <w:szCs w:val="24"/>
                <w:highlight w:val="none"/>
              </w:rPr>
              <w:t>、PM</w:t>
            </w:r>
            <w:r>
              <w:rPr>
                <w:rFonts w:hint="default" w:ascii="Times New Roman" w:hAnsi="Times New Roman" w:eastAsia="宋体" w:cs="Times New Roman"/>
                <w:color w:val="000000"/>
                <w:sz w:val="24"/>
                <w:szCs w:val="24"/>
                <w:highlight w:val="none"/>
                <w:vertAlign w:val="subscript"/>
              </w:rPr>
              <w:t>2.5</w:t>
            </w:r>
            <w:r>
              <w:rPr>
                <w:rFonts w:hint="default" w:ascii="Times New Roman" w:hAnsi="Times New Roman" w:eastAsia="宋体" w:cs="Times New Roman"/>
                <w:color w:val="000000"/>
                <w:sz w:val="24"/>
                <w:szCs w:val="24"/>
                <w:highlight w:val="none"/>
              </w:rPr>
              <w:t>、CO、O</w:t>
            </w:r>
            <w:r>
              <w:rPr>
                <w:rFonts w:hint="default" w:ascii="Times New Roman" w:hAnsi="Times New Roman" w:eastAsia="宋体" w:cs="Times New Roman"/>
                <w:color w:val="000000"/>
                <w:sz w:val="24"/>
                <w:szCs w:val="24"/>
                <w:highlight w:val="none"/>
                <w:vertAlign w:val="subscript"/>
              </w:rPr>
              <w:t>3</w:t>
            </w:r>
            <w:r>
              <w:rPr>
                <w:rFonts w:hint="default" w:ascii="Times New Roman" w:hAnsi="Times New Roman" w:eastAsia="宋体" w:cs="Times New Roman"/>
                <w:color w:val="000000"/>
                <w:sz w:val="24"/>
                <w:szCs w:val="24"/>
                <w:highlight w:val="none"/>
              </w:rPr>
              <w:t>均满足《环境空气质量标准》（GB3095-2012）二级标准要求，按《环境影响评价技术导则 大气环境》（HJ2.2-2018）区域达标判断标准，宣汉县2022年度区域环境空气质量为</w:t>
            </w:r>
            <w:r>
              <w:rPr>
                <w:rFonts w:hint="default" w:ascii="Times New Roman" w:hAnsi="Times New Roman" w:eastAsia="宋体" w:cs="Times New Roman"/>
                <w:b/>
                <w:bCs/>
                <w:color w:val="000000"/>
                <w:sz w:val="24"/>
                <w:szCs w:val="24"/>
                <w:highlight w:val="none"/>
              </w:rPr>
              <w:t>达标</w:t>
            </w:r>
            <w:r>
              <w:rPr>
                <w:rFonts w:hint="default" w:ascii="Times New Roman" w:hAnsi="Times New Roman" w:eastAsia="宋体" w:cs="Times New Roman"/>
                <w:color w:val="000000"/>
                <w:sz w:val="24"/>
                <w:szCs w:val="24"/>
                <w:highlight w:val="none"/>
              </w:rPr>
              <w:t>区。</w:t>
            </w:r>
          </w:p>
          <w:p>
            <w:pPr>
              <w:spacing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b w:val="0"/>
                <w:bCs w:val="0"/>
                <w:sz w:val="24"/>
                <w:lang w:val="en-US" w:eastAsia="zh-CN"/>
              </w:rPr>
              <w:t>2、其他污染物环境质量现状</w:t>
            </w:r>
          </w:p>
          <w:p>
            <w:pPr>
              <w:spacing w:line="360" w:lineRule="auto"/>
              <w:ind w:firstLine="482"/>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auto"/>
                <w:sz w:val="24"/>
              </w:rPr>
              <w:t>经查阅相关资料，</w:t>
            </w:r>
            <w:r>
              <w:rPr>
                <w:rFonts w:hint="default" w:ascii="Times New Roman" w:hAnsi="Times New Roman" w:eastAsia="宋体" w:cs="Times New Roman"/>
                <w:color w:val="000000" w:themeColor="text1"/>
                <w:sz w:val="24"/>
                <w14:textFill>
                  <w14:solidFill>
                    <w14:schemeClr w14:val="tx1"/>
                  </w14:solidFill>
                </w14:textFill>
              </w:rPr>
              <w:t>由于本项目评价范围内没有</w:t>
            </w:r>
            <w:r>
              <w:rPr>
                <w:rFonts w:hint="default" w:ascii="Times New Roman" w:hAnsi="Times New Roman" w:eastAsia="宋体" w:cs="Times New Roman"/>
                <w:color w:val="000000" w:themeColor="text1"/>
                <w:sz w:val="24"/>
                <w:lang w:val="en-US" w:eastAsia="zh-CN"/>
                <w14:textFill>
                  <w14:solidFill>
                    <w14:schemeClr w14:val="tx1"/>
                  </w14:solidFill>
                </w14:textFill>
              </w:rPr>
              <w:t>TSP</w:t>
            </w:r>
            <w:r>
              <w:rPr>
                <w:rFonts w:hint="default" w:ascii="Times New Roman" w:hAnsi="Times New Roman" w:eastAsia="宋体" w:cs="Times New Roman"/>
                <w:color w:val="000000" w:themeColor="text1"/>
                <w:sz w:val="24"/>
                <w14:textFill>
                  <w14:solidFill>
                    <w14:schemeClr w14:val="tx1"/>
                  </w14:solidFill>
                </w14:textFill>
              </w:rPr>
              <w:t>环境空气质量监测网数据或公开发布的环境空气质量现状数据，故采用</w:t>
            </w:r>
            <w:r>
              <w:rPr>
                <w:rFonts w:hint="default" w:ascii="Times New Roman" w:hAnsi="Times New Roman" w:eastAsia="宋体" w:cs="Times New Roman"/>
                <w:color w:val="000000" w:themeColor="text1"/>
                <w:sz w:val="24"/>
                <w:lang w:val="en-US" w:eastAsia="zh-CN"/>
                <w14:textFill>
                  <w14:solidFill>
                    <w14:schemeClr w14:val="tx1"/>
                  </w14:solidFill>
                </w14:textFill>
              </w:rPr>
              <w:t>现场实测法进行评价</w:t>
            </w:r>
            <w:r>
              <w:rPr>
                <w:rFonts w:hint="default" w:ascii="Times New Roman" w:hAnsi="Times New Roman" w:eastAsia="宋体" w:cs="Times New Roman"/>
                <w:color w:val="000000" w:themeColor="text1"/>
                <w:sz w:val="24"/>
                <w14:textFill>
                  <w14:solidFill>
                    <w14:schemeClr w14:val="tx1"/>
                  </w14:solidFill>
                </w14:textFill>
              </w:rPr>
              <w:t>。</w:t>
            </w:r>
          </w:p>
          <w:p>
            <w:pPr>
              <w:spacing w:line="360" w:lineRule="auto"/>
              <w:ind w:firstLine="482"/>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建设单位委托</w:t>
            </w:r>
            <w:r>
              <w:rPr>
                <w:rFonts w:hint="eastAsia" w:ascii="Times New Roman" w:hAnsi="Times New Roman" w:eastAsia="宋体" w:cs="Times New Roman"/>
                <w:color w:val="000000" w:themeColor="text1"/>
                <w:sz w:val="24"/>
                <w:lang w:val="en-US" w:eastAsia="zh-CN"/>
                <w14:textFill>
                  <w14:solidFill>
                    <w14:schemeClr w14:val="tx1"/>
                  </w14:solidFill>
                </w14:textFill>
              </w:rPr>
              <w:t>四川新绿洲环境检测有限公司</w:t>
            </w:r>
            <w:r>
              <w:rPr>
                <w:rFonts w:hint="default" w:ascii="Times New Roman" w:hAnsi="Times New Roman" w:eastAsia="宋体" w:cs="Times New Roman"/>
                <w:color w:val="000000" w:themeColor="text1"/>
                <w:sz w:val="24"/>
                <w:lang w:val="en-US" w:eastAsia="zh-CN"/>
                <w14:textFill>
                  <w14:solidFill>
                    <w14:schemeClr w14:val="tx1"/>
                  </w14:solidFill>
                </w14:textFill>
              </w:rPr>
              <w:t>对项目所在地进行了现状监测</w:t>
            </w:r>
            <w:r>
              <w:rPr>
                <w:rFonts w:hint="default" w:ascii="Times New Roman" w:hAnsi="Times New Roman" w:eastAsia="宋体" w:cs="Times New Roman"/>
                <w:color w:val="000000" w:themeColor="text1"/>
                <w:sz w:val="24"/>
                <w14:textFill>
                  <w14:solidFill>
                    <w14:schemeClr w14:val="tx1"/>
                  </w14:solidFill>
                </w14:textFill>
              </w:rPr>
              <w:t>，监测时间为202</w:t>
            </w:r>
            <w:r>
              <w:rPr>
                <w:rFonts w:hint="eastAsia" w:ascii="Times New Roman" w:hAnsi="Times New Roman" w:eastAsia="宋体"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color w:val="000000" w:themeColor="text1"/>
                <w:sz w:val="24"/>
                <w14:textFill>
                  <w14:solidFill>
                    <w14:schemeClr w14:val="tx1"/>
                  </w14:solidFill>
                </w14:textFill>
              </w:rPr>
              <w:t>年</w:t>
            </w:r>
            <w:r>
              <w:rPr>
                <w:rFonts w:hint="eastAsia"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月</w:t>
            </w:r>
            <w:r>
              <w:rPr>
                <w:rFonts w:hint="eastAsia" w:ascii="Times New Roman" w:hAnsi="Times New Roman" w:eastAsia="宋体" w:cs="Times New Roman"/>
                <w:color w:val="000000" w:themeColor="text1"/>
                <w:sz w:val="24"/>
                <w:lang w:val="en-US" w:eastAsia="zh-CN"/>
                <w14:textFill>
                  <w14:solidFill>
                    <w14:schemeClr w14:val="tx1"/>
                  </w14:solidFill>
                </w14:textFill>
              </w:rPr>
              <w:t>11</w:t>
            </w:r>
            <w:r>
              <w:rPr>
                <w:rFonts w:hint="default" w:ascii="Times New Roman" w:hAnsi="Times New Roman" w:eastAsia="宋体" w:cs="Times New Roman"/>
                <w:color w:val="000000" w:themeColor="text1"/>
                <w:sz w:val="24"/>
                <w14:textFill>
                  <w14:solidFill>
                    <w14:schemeClr w14:val="tx1"/>
                  </w14:solidFill>
                </w14:textFill>
              </w:rPr>
              <w:t>日-</w:t>
            </w:r>
            <w:r>
              <w:rPr>
                <w:rFonts w:hint="eastAsia"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月</w:t>
            </w:r>
            <w:r>
              <w:rPr>
                <w:rFonts w:hint="eastAsia" w:ascii="Times New Roman" w:hAnsi="Times New Roman" w:eastAsia="宋体" w:cs="Times New Roman"/>
                <w:color w:val="000000" w:themeColor="text1"/>
                <w:sz w:val="24"/>
                <w:lang w:val="en-US" w:eastAsia="zh-CN"/>
                <w14:textFill>
                  <w14:solidFill>
                    <w14:schemeClr w14:val="tx1"/>
                  </w14:solidFill>
                </w14:textFill>
              </w:rPr>
              <w:t>14</w:t>
            </w:r>
            <w:r>
              <w:rPr>
                <w:rFonts w:hint="default" w:ascii="Times New Roman" w:hAnsi="Times New Roman" w:eastAsia="宋体" w:cs="Times New Roman"/>
                <w:color w:val="000000" w:themeColor="text1"/>
                <w:sz w:val="24"/>
                <w14:textFill>
                  <w14:solidFill>
                    <w14:schemeClr w14:val="tx1"/>
                  </w14:solidFill>
                </w14:textFill>
              </w:rPr>
              <w:t>日，共</w:t>
            </w:r>
            <w:r>
              <w:rPr>
                <w:rFonts w:hint="default" w:ascii="Times New Roman" w:hAnsi="Times New Roman" w:eastAsia="宋体" w:cs="Times New Roman"/>
                <w:color w:val="000000" w:themeColor="text1"/>
                <w:sz w:val="24"/>
                <w:lang w:val="en-US" w:eastAsia="zh-CN"/>
                <w14:textFill>
                  <w14:solidFill>
                    <w14:schemeClr w14:val="tx1"/>
                  </w14:solidFill>
                </w14:textFill>
              </w:rPr>
              <w:t>3天</w:t>
            </w:r>
            <w:r>
              <w:rPr>
                <w:rFonts w:hint="default" w:ascii="Times New Roman" w:hAnsi="Times New Roman" w:eastAsia="宋体" w:cs="Times New Roman"/>
                <w:color w:val="000000" w:themeColor="text1"/>
                <w:sz w:val="24"/>
                <w14:textFill>
                  <w14:solidFill>
                    <w14:schemeClr w14:val="tx1"/>
                  </w14:solidFill>
                </w14:textFill>
              </w:rPr>
              <w:t>。</w:t>
            </w:r>
          </w:p>
          <w:p>
            <w:pPr>
              <w:spacing w:line="360" w:lineRule="auto"/>
              <w:ind w:firstLine="482" w:firstLineChars="200"/>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1、监测情况</w:t>
            </w:r>
          </w:p>
          <w:p>
            <w:pPr>
              <w:spacing w:line="360" w:lineRule="auto"/>
              <w:ind w:firstLine="480" w:firstLineChars="200"/>
              <w:rPr>
                <w:rFonts w:hint="default" w:ascii="Times New Roman" w:hAnsi="Times New Roman" w:eastAsia="宋体" w:cs="Times New Roman"/>
                <w:b/>
                <w:bCs/>
                <w:color w:val="auto"/>
                <w:szCs w:val="21"/>
              </w:rPr>
            </w:pPr>
            <w:r>
              <w:rPr>
                <w:rFonts w:hint="default" w:ascii="Times New Roman" w:hAnsi="Times New Roman" w:eastAsia="宋体" w:cs="Times New Roman"/>
                <w:bCs/>
                <w:color w:val="auto"/>
                <w:sz w:val="24"/>
              </w:rPr>
              <w:t>项目其他污染物</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lang w:val="en-US" w:eastAsia="zh-CN"/>
              </w:rPr>
              <w:t>TVOC、TSP</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lang w:val="en-US" w:eastAsia="zh-CN"/>
              </w:rPr>
              <w:t>实测</w:t>
            </w:r>
            <w:r>
              <w:rPr>
                <w:rFonts w:hint="default" w:ascii="Times New Roman" w:hAnsi="Times New Roman" w:eastAsia="宋体" w:cs="Times New Roman"/>
                <w:bCs/>
                <w:color w:val="auto"/>
                <w:sz w:val="24"/>
              </w:rPr>
              <w:t>统计结果如下：</w:t>
            </w:r>
          </w:p>
          <w:p>
            <w:pPr>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rPr>
              <w:t>表3-</w:t>
            </w:r>
            <w:r>
              <w:rPr>
                <w:rFonts w:hint="default" w:ascii="Times New Roman" w:hAnsi="Times New Roman" w:eastAsia="宋体" w:cs="Times New Roman"/>
                <w:b/>
                <w:bCs/>
                <w:color w:val="auto"/>
                <w:szCs w:val="21"/>
                <w:lang w:val="en-US" w:eastAsia="zh-CN"/>
              </w:rPr>
              <w:t>2</w:t>
            </w:r>
            <w:r>
              <w:rPr>
                <w:rFonts w:hint="default" w:ascii="Times New Roman" w:hAnsi="Times New Roman" w:eastAsia="宋体" w:cs="Times New Roman"/>
                <w:b/>
                <w:bCs/>
                <w:color w:val="auto"/>
                <w:szCs w:val="21"/>
              </w:rPr>
              <w:t xml:space="preserve">  项目区域大气环境质量监测结果</w:t>
            </w:r>
            <w:r>
              <w:rPr>
                <w:rFonts w:hint="eastAsia" w:ascii="Times New Roman" w:hAnsi="Times New Roman" w:eastAsia="宋体" w:cs="Times New Roman"/>
                <w:b/>
                <w:bCs/>
                <w:color w:val="auto"/>
                <w:szCs w:val="21"/>
                <w:lang w:val="en-US" w:eastAsia="zh-CN"/>
              </w:rPr>
              <w:t xml:space="preserve">    单位：ug/m</w:t>
            </w:r>
            <w:r>
              <w:rPr>
                <w:rFonts w:hint="eastAsia" w:ascii="Times New Roman" w:hAnsi="Times New Roman" w:eastAsia="宋体" w:cs="Times New Roman"/>
                <w:b/>
                <w:bCs/>
                <w:color w:val="auto"/>
                <w:szCs w:val="21"/>
                <w:vertAlign w:val="superscript"/>
                <w:lang w:val="en-US" w:eastAsia="zh-CN"/>
              </w:rPr>
              <w:t>3</w:t>
            </w:r>
          </w:p>
          <w:tbl>
            <w:tblPr>
              <w:tblStyle w:val="26"/>
              <w:tblW w:w="919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1044"/>
              <w:gridCol w:w="4436"/>
              <w:gridCol w:w="2020"/>
              <w:gridCol w:w="16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530" w:hRule="atLeast"/>
                <w:jc w:val="center"/>
              </w:trPr>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采样日期</w:t>
                  </w:r>
                </w:p>
              </w:tc>
              <w:tc>
                <w:tcPr>
                  <w:tcW w:w="4436"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pPr>
                    <w:keepNext w:val="0"/>
                    <w:keepLines w:val="0"/>
                    <w:suppressLineNumbers w:val="0"/>
                    <w:spacing w:before="0" w:beforeAutospacing="0" w:after="0" w:afterAutospacing="0"/>
                    <w:ind w:left="0" w:right="0"/>
                    <w:jc w:val="right"/>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检测项目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检测点位</w:t>
                  </w:r>
                </w:p>
              </w:tc>
              <w:tc>
                <w:tcPr>
                  <w:tcW w:w="2020" w:type="dxa"/>
                  <w:tcBorders>
                    <w:top w:val="single" w:color="000000" w:sz="4" w:space="0"/>
                    <w:left w:val="single" w:color="000000"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采样起止时间</w:t>
                  </w:r>
                </w:p>
              </w:tc>
              <w:tc>
                <w:tcPr>
                  <w:tcW w:w="1698" w:type="dxa"/>
                  <w:tcBorders>
                    <w:top w:val="single" w:color="000000" w:sz="4" w:space="0"/>
                    <w:left w:val="single" w:color="000000"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总悬浮颗粒物</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（颗粒物）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restart"/>
                  <w:tcBorders>
                    <w:top w:val="single" w:color="000000" w:sz="4" w:space="0"/>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2024.3.11-2024.3.12</w:t>
                  </w: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南六水库灌区内西侧</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15:45-15:44（次日）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云顶水库灌区内中部</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17:25-17:24（次日）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刘家坪水库灌区内</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18:00-17:59（次日）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长征水库灌区内南侧</w:t>
                  </w:r>
                </w:p>
              </w:tc>
              <w:tc>
                <w:tcPr>
                  <w:tcW w:w="2020"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16:20-16:19（次日）</w:t>
                  </w:r>
                </w:p>
              </w:tc>
              <w:tc>
                <w:tcPr>
                  <w:tcW w:w="1698"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109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小沟河水库灌区内北侧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16:20-16:19（次日）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114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秧田湾水库灌区内北侧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16:40-16:39（次日）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九军坪水库灌区东侧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val="en-US" w:eastAsia="zh-CN"/>
                    </w:rPr>
                    <w:t>15:15-15:14（次日）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9" w:hRule="atLeast"/>
                <w:jc w:val="center"/>
              </w:trPr>
              <w:tc>
                <w:tcPr>
                  <w:tcW w:w="1044" w:type="dxa"/>
                  <w:vMerge w:val="continue"/>
                  <w:tcBorders>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观音岩水库灌区东侧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15:20-15:19（次日）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restart"/>
                  <w:tcBorders>
                    <w:top w:val="single" w:color="000000" w:sz="4" w:space="0"/>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2024.3.12-2024.3.13</w:t>
                  </w: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南六水库灌区内西侧</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15:50-15:49（次日）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云顶水库灌区内中部</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17:35-17:34（次日）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刘家坪水库灌区内</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18:10-18:09（次日）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长征水库灌区内南侧</w:t>
                  </w:r>
                </w:p>
              </w:tc>
              <w:tc>
                <w:tcPr>
                  <w:tcW w:w="2020"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16:30-16:29（次日）</w:t>
                  </w:r>
                </w:p>
              </w:tc>
              <w:tc>
                <w:tcPr>
                  <w:tcW w:w="1698"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116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小沟河水库灌区内北侧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18:40-18:39（次日）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107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秧田湾水库灌区内北侧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16:45-16:44（次日）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九军坪水库灌区东侧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15:25-15:24（次日）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观音岩水库灌区东侧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18:02-18:01（次日）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restart"/>
                  <w:tcBorders>
                    <w:top w:val="single" w:color="000000" w:sz="4" w:space="0"/>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2024.3.13-2024.3.14</w:t>
                  </w: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南六水库灌区内西侧</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15:55-15:54（次日）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云顶水库灌区内中部</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17:50-17:49（次日）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104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刘家坪水库灌区内</w:t>
                  </w:r>
                </w:p>
              </w:tc>
              <w:tc>
                <w:tcPr>
                  <w:tcW w:w="2020"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18:20-18:19（次日）</w:t>
                  </w:r>
                </w:p>
              </w:tc>
              <w:tc>
                <w:tcPr>
                  <w:tcW w:w="16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长征水库灌区内南侧</w:t>
                  </w:r>
                </w:p>
              </w:tc>
              <w:tc>
                <w:tcPr>
                  <w:tcW w:w="2020"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16:50-16:49（次日）</w:t>
                  </w:r>
                </w:p>
              </w:tc>
              <w:tc>
                <w:tcPr>
                  <w:tcW w:w="1698"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105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小沟河水库灌区内北侧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18:46-18:45（次日）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117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秧田湾水库灌区内北侧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16:55-16:54（次日）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044" w:type="dxa"/>
                  <w:vMerge w:val="continue"/>
                  <w:tcBorders>
                    <w:left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九军坪水库灌区东侧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15:35-15:34（次日）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9" w:hRule="atLeast"/>
                <w:jc w:val="center"/>
              </w:trPr>
              <w:tc>
                <w:tcPr>
                  <w:tcW w:w="1044" w:type="dxa"/>
                  <w:vMerge w:val="continue"/>
                  <w:tcBorders>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p>
              </w:tc>
              <w:tc>
                <w:tcPr>
                  <w:tcW w:w="44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观音岩水库灌区东侧</w:t>
                  </w:r>
                </w:p>
              </w:tc>
              <w:tc>
                <w:tcPr>
                  <w:tcW w:w="20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18:11-18:10（次日）</w:t>
                  </w:r>
                </w:p>
              </w:tc>
              <w:tc>
                <w:tcPr>
                  <w:tcW w:w="1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53</w:t>
                  </w:r>
                </w:p>
              </w:tc>
            </w:tr>
          </w:tbl>
          <w:p>
            <w:pPr>
              <w:spacing w:line="360" w:lineRule="auto"/>
              <w:rPr>
                <w:rFonts w:hint="default" w:ascii="Times New Roman" w:hAnsi="Times New Roman" w:eastAsia="宋体" w:cs="Times New Roman"/>
                <w:b/>
                <w:bCs/>
                <w:color w:val="auto"/>
                <w:sz w:val="24"/>
              </w:rPr>
            </w:pPr>
          </w:p>
          <w:p>
            <w:pPr>
              <w:spacing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2、现状评价</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A、评价因子：</w:t>
            </w:r>
            <w:r>
              <w:rPr>
                <w:rFonts w:hint="default" w:ascii="Times New Roman" w:hAnsi="Times New Roman" w:eastAsia="宋体" w:cs="Times New Roman"/>
                <w:color w:val="auto"/>
                <w:sz w:val="24"/>
                <w:lang w:val="en-US" w:eastAsia="zh-CN"/>
              </w:rPr>
              <w:t>TSP</w:t>
            </w:r>
            <w:r>
              <w:rPr>
                <w:rFonts w:hint="default" w:ascii="Times New Roman" w:hAnsi="Times New Roman" w:eastAsia="宋体" w:cs="Times New Roman"/>
                <w:color w:val="auto"/>
                <w:sz w:val="24"/>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B、评价标准</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TSP取《环境空气质量标准》（GB 3095-2012）表2中二级标准限值0.3</w:t>
            </w:r>
            <w:r>
              <w:rPr>
                <w:rFonts w:hint="default" w:ascii="Times New Roman" w:hAnsi="Times New Roman" w:eastAsia="宋体" w:cs="Times New Roman"/>
                <w:color w:val="auto"/>
                <w:sz w:val="24"/>
              </w:rPr>
              <w:t>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lang w:val="en-US" w:eastAsia="zh-CN"/>
              </w:rPr>
              <w: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C、评价方法</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采用单项标准指数法。标准指数Pi计算表达式：</w:t>
            </w:r>
          </w:p>
          <w:p>
            <w:pPr>
              <w:spacing w:line="440" w:lineRule="exact"/>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P</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/Co</w:t>
            </w:r>
            <w:r>
              <w:rPr>
                <w:rFonts w:hint="default" w:ascii="Times New Roman" w:hAnsi="Times New Roman" w:eastAsia="宋体" w:cs="Times New Roman"/>
                <w:color w:val="auto"/>
                <w:sz w:val="24"/>
                <w:vertAlign w:val="subscript"/>
              </w:rPr>
              <w:t>i</w:t>
            </w:r>
          </w:p>
          <w:p>
            <w:pPr>
              <w:spacing w:line="44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式中：P</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——i种污染物标准指数值；</w:t>
            </w:r>
          </w:p>
          <w:p>
            <w:pPr>
              <w:spacing w:line="440" w:lineRule="exact"/>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——i种污染物实测浓度值，mg/Nm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pPr>
              <w:spacing w:line="440" w:lineRule="exact"/>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Co</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——i种污染物标准浓度值，mg/Nm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pPr>
              <w:spacing w:line="440" w:lineRule="exact"/>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本项目区域环境空气质量现状评价结果见表3-</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p>
          <w:p>
            <w:pPr>
              <w:ind w:firstLine="422" w:firstLineChars="20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表3-</w:t>
            </w:r>
            <w:r>
              <w:rPr>
                <w:rFonts w:hint="default" w:ascii="Times New Roman" w:hAnsi="Times New Roman" w:eastAsia="宋体" w:cs="Times New Roman"/>
                <w:b/>
                <w:bCs/>
                <w:color w:val="auto"/>
                <w:szCs w:val="21"/>
                <w:lang w:val="en-US" w:eastAsia="zh-CN"/>
              </w:rPr>
              <w:t>3</w:t>
            </w:r>
            <w:r>
              <w:rPr>
                <w:rFonts w:hint="default" w:ascii="Times New Roman" w:hAnsi="Times New Roman" w:eastAsia="宋体" w:cs="Times New Roman"/>
                <w:b/>
                <w:bCs/>
                <w:color w:val="auto"/>
                <w:szCs w:val="21"/>
              </w:rPr>
              <w:t xml:space="preserve">  引用监测因子环境空气质量现状评价结果</w:t>
            </w:r>
          </w:p>
          <w:tbl>
            <w:tblPr>
              <w:tblStyle w:val="26"/>
              <w:tblW w:w="90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3"/>
              <w:gridCol w:w="1324"/>
              <w:gridCol w:w="1324"/>
              <w:gridCol w:w="1162"/>
              <w:gridCol w:w="1365"/>
              <w:gridCol w:w="1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2393"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监测点</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w:t>
                  </w:r>
                  <w:r>
                    <w:rPr>
                      <w:rFonts w:hint="default" w:ascii="Times New Roman" w:hAnsi="Times New Roman" w:eastAsia="宋体" w:cs="Times New Roman"/>
                      <w:color w:val="auto"/>
                      <w:szCs w:val="21"/>
                      <w:vertAlign w:val="subscript"/>
                    </w:rPr>
                    <w:t>imax</w:t>
                  </w:r>
                  <w:r>
                    <w:rPr>
                      <w:rFonts w:hint="default" w:ascii="Times New Roman" w:hAnsi="Times New Roman" w:eastAsia="宋体" w:cs="Times New Roman"/>
                      <w:color w:val="auto"/>
                      <w:szCs w:val="21"/>
                    </w:rPr>
                    <w:t>（ug/m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1162"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w:t>
                  </w:r>
                  <w:r>
                    <w:rPr>
                      <w:rFonts w:hint="default" w:ascii="Times New Roman" w:hAnsi="Times New Roman" w:eastAsia="宋体" w:cs="Times New Roman"/>
                      <w:color w:val="auto"/>
                      <w:szCs w:val="21"/>
                      <w:vertAlign w:val="subscript"/>
                    </w:rPr>
                    <w:t>oi</w:t>
                  </w:r>
                </w:p>
              </w:tc>
              <w:tc>
                <w:tcPr>
                  <w:tcW w:w="1365"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w:t>
                  </w:r>
                  <w:r>
                    <w:rPr>
                      <w:rFonts w:hint="default" w:ascii="Times New Roman" w:hAnsi="Times New Roman" w:eastAsia="宋体" w:cs="Times New Roman"/>
                      <w:color w:val="auto"/>
                      <w:szCs w:val="21"/>
                      <w:vertAlign w:val="subscript"/>
                    </w:rPr>
                    <w:t>imax</w:t>
                  </w:r>
                </w:p>
              </w:tc>
              <w:tc>
                <w:tcPr>
                  <w:tcW w:w="1449"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2393" w:type="dxa"/>
                  <w:noWrap w:val="0"/>
                  <w:tcMar>
                    <w:left w:w="0" w:type="dxa"/>
                    <w:right w:w="0"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eastAsia="zh-CN"/>
                    </w:rPr>
                    <w:t>南六水库灌区内西侧</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TSP</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90</w:t>
                  </w:r>
                </w:p>
              </w:tc>
              <w:tc>
                <w:tcPr>
                  <w:tcW w:w="1162"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300</w:t>
                  </w:r>
                </w:p>
              </w:tc>
              <w:tc>
                <w:tcPr>
                  <w:tcW w:w="1365"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c>
                <w:tcPr>
                  <w:tcW w:w="1449"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Pi＜1.0，达标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2393" w:type="dxa"/>
                  <w:noWrap w:val="0"/>
                  <w:tcMar>
                    <w:left w:w="0" w:type="dxa"/>
                    <w:right w:w="0"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eastAsia="zh-CN"/>
                    </w:rPr>
                    <w:t>云顶水库灌区内中部</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TSP</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104</w:t>
                  </w:r>
                </w:p>
              </w:tc>
              <w:tc>
                <w:tcPr>
                  <w:tcW w:w="1162"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300</w:t>
                  </w:r>
                </w:p>
              </w:tc>
              <w:tc>
                <w:tcPr>
                  <w:tcW w:w="1365"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0.35</w:t>
                  </w:r>
                </w:p>
              </w:tc>
              <w:tc>
                <w:tcPr>
                  <w:tcW w:w="1449"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Pi＜1.0，达标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2393" w:type="dxa"/>
                  <w:noWrap w:val="0"/>
                  <w:tcMar>
                    <w:left w:w="0" w:type="dxa"/>
                    <w:right w:w="0"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eastAsia="zh-CN"/>
                    </w:rPr>
                    <w:t>刘家坪水库灌区内</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TSP</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91</w:t>
                  </w:r>
                </w:p>
              </w:tc>
              <w:tc>
                <w:tcPr>
                  <w:tcW w:w="1162"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300</w:t>
                  </w:r>
                </w:p>
              </w:tc>
              <w:tc>
                <w:tcPr>
                  <w:tcW w:w="1365"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0.30</w:t>
                  </w:r>
                </w:p>
              </w:tc>
              <w:tc>
                <w:tcPr>
                  <w:tcW w:w="1449"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Pi＜1.0，达标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393" w:type="dxa"/>
                  <w:noWrap w:val="0"/>
                  <w:tcMar>
                    <w:left w:w="0" w:type="dxa"/>
                    <w:right w:w="0" w:type="dxa"/>
                  </w:tcMar>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eastAsia="zh-CN"/>
                    </w:rPr>
                    <w:t>长征水库灌区内南侧</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TSP</w:t>
                  </w:r>
                </w:p>
              </w:tc>
              <w:tc>
                <w:tcPr>
                  <w:tcW w:w="1324"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116</w:t>
                  </w:r>
                </w:p>
              </w:tc>
              <w:tc>
                <w:tcPr>
                  <w:tcW w:w="1162"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300</w:t>
                  </w:r>
                </w:p>
              </w:tc>
              <w:tc>
                <w:tcPr>
                  <w:tcW w:w="1365"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0.39</w:t>
                  </w:r>
                </w:p>
              </w:tc>
              <w:tc>
                <w:tcPr>
                  <w:tcW w:w="1449" w:type="dxa"/>
                  <w:noWrap w:val="0"/>
                  <w:tcMar>
                    <w:left w:w="0" w:type="dxa"/>
                    <w:right w:w="0" w:type="dxa"/>
                  </w:tcMar>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Pi＜1.0，达标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393"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eastAsia="zh-CN"/>
                    </w:rPr>
                    <w:t>小沟河水库灌区内北侧</w:t>
                  </w:r>
                </w:p>
              </w:tc>
              <w:tc>
                <w:tcPr>
                  <w:tcW w:w="1324" w:type="dxa"/>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TSP</w:t>
                  </w:r>
                </w:p>
              </w:tc>
              <w:tc>
                <w:tcPr>
                  <w:tcW w:w="1324"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117</w:t>
                  </w:r>
                </w:p>
              </w:tc>
              <w:tc>
                <w:tcPr>
                  <w:tcW w:w="1162"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300</w:t>
                  </w:r>
                </w:p>
              </w:tc>
              <w:tc>
                <w:tcPr>
                  <w:tcW w:w="1365"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0.39</w:t>
                  </w:r>
                </w:p>
              </w:tc>
              <w:tc>
                <w:tcPr>
                  <w:tcW w:w="1449"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Pi＜1.0，达标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393"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eastAsia="zh-CN"/>
                    </w:rPr>
                    <w:t>秧田湾水库灌区内北侧</w:t>
                  </w:r>
                </w:p>
              </w:tc>
              <w:tc>
                <w:tcPr>
                  <w:tcW w:w="1324" w:type="dxa"/>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TSP</w:t>
                  </w:r>
                </w:p>
              </w:tc>
              <w:tc>
                <w:tcPr>
                  <w:tcW w:w="1324"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81</w:t>
                  </w:r>
                </w:p>
              </w:tc>
              <w:tc>
                <w:tcPr>
                  <w:tcW w:w="1162"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300</w:t>
                  </w:r>
                </w:p>
              </w:tc>
              <w:tc>
                <w:tcPr>
                  <w:tcW w:w="1365"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0.27</w:t>
                  </w:r>
                </w:p>
              </w:tc>
              <w:tc>
                <w:tcPr>
                  <w:tcW w:w="1449"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Pi＜1.0，达标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393"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eastAsia="zh-CN"/>
                    </w:rPr>
                    <w:t>九军坪水库灌区东侧</w:t>
                  </w:r>
                </w:p>
              </w:tc>
              <w:tc>
                <w:tcPr>
                  <w:tcW w:w="1324" w:type="dxa"/>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TSP</w:t>
                  </w:r>
                </w:p>
              </w:tc>
              <w:tc>
                <w:tcPr>
                  <w:tcW w:w="1324"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72</w:t>
                  </w:r>
                </w:p>
              </w:tc>
              <w:tc>
                <w:tcPr>
                  <w:tcW w:w="1162"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300</w:t>
                  </w:r>
                </w:p>
              </w:tc>
              <w:tc>
                <w:tcPr>
                  <w:tcW w:w="1365"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0.24</w:t>
                  </w:r>
                </w:p>
              </w:tc>
              <w:tc>
                <w:tcPr>
                  <w:tcW w:w="1449"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Pi＜1.0，达标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393"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eastAsia="zh-CN"/>
                    </w:rPr>
                    <w:t>观音岩水库灌区东侧</w:t>
                  </w:r>
                </w:p>
              </w:tc>
              <w:tc>
                <w:tcPr>
                  <w:tcW w:w="1324" w:type="dxa"/>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TSP</w:t>
                  </w:r>
                </w:p>
              </w:tc>
              <w:tc>
                <w:tcPr>
                  <w:tcW w:w="1324"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1162"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300</w:t>
                  </w:r>
                </w:p>
              </w:tc>
              <w:tc>
                <w:tcPr>
                  <w:tcW w:w="1365"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0.19</w:t>
                  </w:r>
                </w:p>
              </w:tc>
              <w:tc>
                <w:tcPr>
                  <w:tcW w:w="1449" w:type="dxa"/>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Pi＜1.0，达标</w:t>
                  </w:r>
                </w:p>
              </w:tc>
            </w:tr>
          </w:tbl>
          <w:p>
            <w:pPr>
              <w:ind w:firstLine="422" w:firstLineChars="200"/>
              <w:jc w:val="center"/>
              <w:rPr>
                <w:rFonts w:hint="default" w:ascii="Times New Roman" w:hAnsi="Times New Roman" w:eastAsia="宋体" w:cs="Times New Roman"/>
                <w:b/>
                <w:bCs/>
                <w:color w:val="auto"/>
                <w:szCs w:val="21"/>
              </w:rPr>
            </w:pPr>
          </w:p>
          <w:p>
            <w:pPr>
              <w:spacing w:line="360" w:lineRule="auto"/>
              <w:ind w:firstLine="480" w:firstLineChars="200"/>
              <w:rPr>
                <w:rFonts w:hint="default" w:ascii="Times New Roman" w:hAnsi="Times New Roman" w:eastAsia="宋体" w:cs="Times New Roman"/>
                <w:b/>
                <w:bCs/>
                <w:sz w:val="24"/>
                <w:szCs w:val="24"/>
              </w:rPr>
            </w:pPr>
            <w:r>
              <w:rPr>
                <w:rFonts w:hint="default" w:ascii="Times New Roman" w:hAnsi="Times New Roman" w:eastAsia="宋体" w:cs="Times New Roman"/>
                <w:color w:val="auto"/>
                <w:sz w:val="24"/>
              </w:rPr>
              <w:t>由表3-</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可以看出，</w:t>
            </w:r>
            <w:r>
              <w:rPr>
                <w:rFonts w:hint="default" w:ascii="Times New Roman" w:hAnsi="Times New Roman" w:eastAsia="宋体" w:cs="Times New Roman"/>
                <w:color w:val="auto"/>
                <w:sz w:val="24"/>
                <w:lang w:val="en-US" w:eastAsia="zh-CN"/>
              </w:rPr>
              <w:t>项目所在区域TSP</w:t>
            </w:r>
            <w:r>
              <w:rPr>
                <w:rFonts w:hint="default" w:ascii="Times New Roman" w:hAnsi="Times New Roman" w:eastAsia="宋体" w:cs="Times New Roman"/>
                <w:color w:val="auto"/>
                <w:sz w:val="24"/>
              </w:rPr>
              <w:t>检测结果满足《环境空气质量标准》（GB 3095-2012）表2中二级标准限值要求</w:t>
            </w: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所在区域环境质量良好。</w:t>
            </w:r>
          </w:p>
          <w:p>
            <w:pPr>
              <w:spacing w:line="360" w:lineRule="auto"/>
              <w:ind w:firstLine="482" w:firstLineChars="200"/>
              <w:rPr>
                <w:rFonts w:ascii="Times New Roman" w:hAnsi="Times New Roman" w:eastAsia="黑体" w:cs="Times New Roman"/>
                <w:b/>
                <w:bCs/>
                <w:sz w:val="24"/>
                <w:szCs w:val="24"/>
              </w:rPr>
            </w:pPr>
            <w:r>
              <w:rPr>
                <w:rFonts w:ascii="Times New Roman" w:hAnsi="Times New Roman" w:eastAsia="黑体" w:cs="Times New Roman"/>
                <w:b/>
                <w:bCs/>
                <w:sz w:val="24"/>
                <w:szCs w:val="24"/>
              </w:rPr>
              <w:t>（二）地表水环境质量现状</w:t>
            </w:r>
          </w:p>
          <w:p>
            <w:pPr>
              <w:pStyle w:val="14"/>
              <w:spacing w:line="360" w:lineRule="auto"/>
              <w:ind w:firstLine="480" w:firstLineChars="200"/>
              <w:outlineLvl w:val="0"/>
              <w:rPr>
                <w:rFonts w:ascii="Times New Roman" w:hAnsi="Times New Roman" w:eastAsia="宋体" w:cs="Times New Roman"/>
                <w:kern w:val="0"/>
                <w:sz w:val="24"/>
                <w:szCs w:val="24"/>
              </w:rPr>
            </w:pPr>
            <w:r>
              <w:rPr>
                <w:rFonts w:ascii="Times New Roman" w:hAnsi="Times New Roman" w:eastAsia="宋体" w:cs="Times New Roman"/>
                <w:kern w:val="0"/>
                <w:sz w:val="24"/>
                <w:szCs w:val="24"/>
              </w:rPr>
              <w:t>为了解项目所在区域</w:t>
            </w:r>
            <w:r>
              <w:rPr>
                <w:rFonts w:hint="eastAsia" w:ascii="Times New Roman" w:hAnsi="Times New Roman" w:eastAsia="宋体" w:cs="Times New Roman"/>
                <w:kern w:val="0"/>
                <w:sz w:val="24"/>
                <w:szCs w:val="24"/>
                <w:lang w:val="en-US" w:eastAsia="zh-CN"/>
              </w:rPr>
              <w:t>渠系</w:t>
            </w:r>
            <w:r>
              <w:rPr>
                <w:rFonts w:ascii="Times New Roman" w:hAnsi="Times New Roman" w:eastAsia="宋体" w:cs="Times New Roman"/>
                <w:kern w:val="0"/>
                <w:sz w:val="24"/>
                <w:szCs w:val="24"/>
              </w:rPr>
              <w:t>水环境质量，</w:t>
            </w:r>
            <w:r>
              <w:rPr>
                <w:rFonts w:hint="eastAsia" w:ascii="Times New Roman" w:hAnsi="Times New Roman" w:eastAsia="宋体" w:cs="Times New Roman"/>
                <w:kern w:val="0"/>
                <w:sz w:val="24"/>
                <w:szCs w:val="24"/>
                <w:lang w:eastAsia="zh-CN"/>
              </w:rPr>
              <w:t>四川新绿洲环境检测有限公司</w:t>
            </w:r>
            <w:r>
              <w:rPr>
                <w:rFonts w:ascii="Times New Roman" w:hAnsi="Times New Roman" w:eastAsia="宋体" w:cs="Times New Roman"/>
                <w:kern w:val="0"/>
                <w:sz w:val="24"/>
                <w:szCs w:val="24"/>
              </w:rPr>
              <w:t>对</w:t>
            </w:r>
            <w:r>
              <w:rPr>
                <w:rFonts w:hint="eastAsia" w:ascii="Times New Roman" w:hAnsi="Times New Roman" w:eastAsia="宋体" w:cs="Times New Roman"/>
                <w:kern w:val="0"/>
                <w:sz w:val="24"/>
                <w:szCs w:val="24"/>
                <w:lang w:val="en-US" w:eastAsia="zh-CN"/>
              </w:rPr>
              <w:t>各灌区</w:t>
            </w:r>
            <w:r>
              <w:rPr>
                <w:rFonts w:ascii="Times New Roman" w:hAnsi="Times New Roman" w:eastAsia="宋体" w:cs="Times New Roman"/>
                <w:kern w:val="0"/>
                <w:sz w:val="24"/>
                <w:szCs w:val="24"/>
              </w:rPr>
              <w:t>水环境质量进行了现状监测。</w:t>
            </w:r>
          </w:p>
          <w:p>
            <w:pPr>
              <w:pStyle w:val="14"/>
              <w:spacing w:line="360" w:lineRule="auto"/>
              <w:ind w:firstLine="480" w:firstLineChars="200"/>
              <w:outlineLvl w:val="0"/>
              <w:rPr>
                <w:rFonts w:ascii="Times New Roman" w:hAnsi="Times New Roman" w:eastAsia="宋体" w:cs="Times New Roman"/>
                <w:kern w:val="0"/>
                <w:sz w:val="24"/>
                <w:szCs w:val="24"/>
              </w:rPr>
            </w:pPr>
            <w:r>
              <w:rPr>
                <w:rFonts w:ascii="Times New Roman" w:hAnsi="Times New Roman" w:eastAsia="宋体" w:cs="Times New Roman"/>
                <w:kern w:val="0"/>
                <w:sz w:val="24"/>
                <w:szCs w:val="24"/>
              </w:rPr>
              <w:t>1、监测点设置</w:t>
            </w:r>
          </w:p>
          <w:p>
            <w:pPr>
              <w:pStyle w:val="14"/>
              <w:spacing w:line="360" w:lineRule="auto"/>
              <w:ind w:firstLine="480" w:firstLineChars="200"/>
              <w:outlineLvl w:val="0"/>
              <w:rPr>
                <w:rFonts w:hint="eastAsia" w:ascii="Times New Roman" w:hAnsi="Times New Roman" w:eastAsia="宋体" w:cs="Times New Roman"/>
                <w:kern w:val="0"/>
                <w:sz w:val="24"/>
                <w:szCs w:val="24"/>
                <w:lang w:eastAsia="zh-CN"/>
              </w:rPr>
            </w:pPr>
            <w:r>
              <w:rPr>
                <w:rFonts w:hint="eastAsia" w:ascii="Times New Roman" w:hAnsi="Times New Roman" w:eastAsia="宋体" w:cs="Times New Roman"/>
                <w:kern w:val="0"/>
                <w:sz w:val="24"/>
                <w:szCs w:val="24"/>
              </w:rPr>
              <w:t>秧田湾水库大坝处</w:t>
            </w:r>
            <w:r>
              <w:rPr>
                <w:rFonts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val="en-US" w:eastAsia="zh-CN"/>
              </w:rPr>
              <w:t>云顶水库大坝处、小沟河水库大坝处、漆树沟水库大坝处、刘家坪水库大坝处、烂田湾水库大坝处、后头湾水库大坝处、长征水库大坝处、南六水库大坝处、老寨沟水库大坝处、阴洞岩水库大坝处各</w:t>
            </w:r>
            <w:r>
              <w:rPr>
                <w:rFonts w:ascii="Times New Roman" w:hAnsi="Times New Roman" w:eastAsia="宋体" w:cs="Times New Roman"/>
                <w:kern w:val="0"/>
                <w:sz w:val="24"/>
                <w:szCs w:val="24"/>
              </w:rPr>
              <w:t>设置1个监测点位</w:t>
            </w:r>
            <w:r>
              <w:rPr>
                <w:rFonts w:hint="eastAsia" w:ascii="Times New Roman" w:hAnsi="Times New Roman" w:eastAsia="宋体" w:cs="Times New Roman"/>
                <w:kern w:val="0"/>
                <w:sz w:val="24"/>
                <w:szCs w:val="24"/>
                <w:lang w:eastAsia="zh-CN"/>
              </w:rPr>
              <w:t>。</w:t>
            </w:r>
          </w:p>
          <w:p>
            <w:pPr>
              <w:numPr>
                <w:ilvl w:val="0"/>
                <w:numId w:val="0"/>
              </w:numPr>
              <w:autoSpaceDE w:val="0"/>
              <w:autoSpaceDN w:val="0"/>
              <w:adjustRightIn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监测项目</w:t>
            </w:r>
          </w:p>
          <w:p>
            <w:pPr>
              <w:numPr>
                <w:ilvl w:val="0"/>
                <w:numId w:val="0"/>
              </w:numPr>
              <w:autoSpaceDE w:val="0"/>
              <w:autoSpaceDN w:val="0"/>
              <w:adjustRightInd w:val="0"/>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监测项目为：</w:t>
            </w:r>
            <w:r>
              <w:rPr>
                <w:rFonts w:hint="eastAsia" w:ascii="Times New Roman" w:hAnsi="Times New Roman" w:eastAsia="宋体" w:cs="Times New Roman"/>
                <w:sz w:val="24"/>
              </w:rPr>
              <w:t>pH、悬浮物</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化学需氧量、五日生化需氧量、氨氮、石油类</w:t>
            </w:r>
            <w:r>
              <w:rPr>
                <w:rFonts w:ascii="Times New Roman" w:hAnsi="Times New Roman" w:eastAsia="宋体" w:cs="Times New Roman"/>
                <w:sz w:val="24"/>
              </w:rPr>
              <w:t>。</w:t>
            </w:r>
          </w:p>
          <w:p>
            <w:pPr>
              <w:autoSpaceDE w:val="0"/>
              <w:autoSpaceDN w:val="0"/>
              <w:adjustRightIn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3、监测时间及频率</w:t>
            </w:r>
          </w:p>
          <w:p>
            <w:pPr>
              <w:pStyle w:val="14"/>
              <w:spacing w:line="360" w:lineRule="auto"/>
              <w:ind w:firstLine="480" w:firstLineChars="200"/>
              <w:outlineLvl w:val="0"/>
              <w:rPr>
                <w:rFonts w:ascii="Times New Roman" w:hAnsi="Times New Roman" w:eastAsia="宋体" w:cs="Times New Roman"/>
                <w:sz w:val="24"/>
                <w:szCs w:val="24"/>
              </w:rPr>
            </w:pPr>
            <w:r>
              <w:rPr>
                <w:rFonts w:ascii="Times New Roman" w:hAnsi="Times New Roman" w:eastAsia="宋体" w:cs="Times New Roman"/>
                <w:sz w:val="24"/>
                <w:szCs w:val="24"/>
              </w:rPr>
              <w:t>连续监测</w:t>
            </w:r>
            <w:r>
              <w:rPr>
                <w:rFonts w:hint="eastAsia" w:ascii="Times New Roman" w:hAnsi="Times New Roman" w:eastAsia="宋体" w:cs="Times New Roman"/>
                <w:sz w:val="24"/>
                <w:szCs w:val="24"/>
                <w:lang w:val="en-US" w:eastAsia="zh-CN"/>
              </w:rPr>
              <w:t>2</w:t>
            </w:r>
            <w:r>
              <w:rPr>
                <w:rFonts w:ascii="Times New Roman" w:hAnsi="Times New Roman" w:eastAsia="宋体" w:cs="Times New Roman"/>
                <w:sz w:val="24"/>
                <w:szCs w:val="24"/>
              </w:rPr>
              <w:t>天，每天采样1次。</w:t>
            </w:r>
          </w:p>
          <w:p>
            <w:pPr>
              <w:autoSpaceDE w:val="0"/>
              <w:autoSpaceDN w:val="0"/>
              <w:adjustRightIn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4、监测方法</w:t>
            </w:r>
          </w:p>
          <w:p>
            <w:pPr>
              <w:spacing w:line="360" w:lineRule="auto"/>
              <w:ind w:firstLine="480" w:firstLineChars="200"/>
              <w:rPr>
                <w:rFonts w:ascii="Times New Roman" w:hAnsi="Times New Roman" w:eastAsia="宋体" w:cs="Times New Roman"/>
                <w:sz w:val="24"/>
              </w:rPr>
            </w:pPr>
            <w:r>
              <w:rPr>
                <w:rFonts w:ascii="Times New Roman" w:hAnsi="Times New Roman" w:eastAsia="宋体" w:cs="Times New Roman"/>
                <w:sz w:val="24"/>
              </w:rPr>
              <w:t>参照《地表水环境质量标准》（GB3838-2002）、《环境监测技术规范》（地表水和废水部分）和《水和废水监测分析方法》中的有关规定和要求进行。</w:t>
            </w:r>
          </w:p>
          <w:p>
            <w:pPr>
              <w:autoSpaceDE w:val="0"/>
              <w:autoSpaceDN w:val="0"/>
              <w:adjustRightIn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5、评价方法</w:t>
            </w:r>
          </w:p>
          <w:p>
            <w:pPr>
              <w:spacing w:line="360" w:lineRule="auto"/>
              <w:ind w:firstLine="480" w:firstLineChars="200"/>
              <w:rPr>
                <w:rFonts w:ascii="Times New Roman" w:hAnsi="Times New Roman" w:eastAsia="宋体" w:cs="Times New Roman"/>
                <w:bCs/>
                <w:sz w:val="24"/>
              </w:rPr>
            </w:pPr>
            <w:r>
              <w:rPr>
                <w:rFonts w:ascii="Times New Roman" w:hAnsi="Times New Roman" w:eastAsia="宋体" w:cs="Times New Roman"/>
                <w:bCs/>
                <w:sz w:val="24"/>
              </w:rPr>
              <w:t>采用单项标准污染指数法进行评价。其评价公式如下：</w:t>
            </w:r>
          </w:p>
          <w:p>
            <w:pPr>
              <w:spacing w:line="360" w:lineRule="auto"/>
              <w:ind w:firstLine="480" w:firstLineChars="200"/>
              <w:jc w:val="center"/>
              <w:rPr>
                <w:rFonts w:ascii="Times New Roman" w:hAnsi="Times New Roman" w:eastAsia="宋体" w:cs="Times New Roman"/>
                <w:bCs/>
                <w:sz w:val="24"/>
              </w:rPr>
            </w:pPr>
            <w:r>
              <w:rPr>
                <w:rFonts w:ascii="Times New Roman" w:hAnsi="Times New Roman" w:eastAsia="宋体" w:cs="Times New Roman"/>
                <w:bCs/>
                <w:position w:val="-22"/>
                <w:sz w:val="24"/>
              </w:rPr>
              <w:object>
                <v:shape id="_x0000_i1025" o:spt="75" type="#_x0000_t75" style="height:29.9pt;width:50.95pt;" o:ole="t" filled="f" o:preferrelative="t" stroked="f" coordsize="21600,21600">
                  <v:path/>
                  <v:fill on="f" focussize="0,0"/>
                  <v:stroke on="f" joinstyle="miter"/>
                  <v:imagedata r:id="rId96" o:title=""/>
                  <o:lock v:ext="edit" aspectratio="t"/>
                  <w10:wrap type="none"/>
                  <w10:anchorlock/>
                </v:shape>
                <o:OLEObject Type="Embed" ProgID="Equation.3" ShapeID="_x0000_i1025" DrawAspect="Content" ObjectID="_1468075725" r:id="rId95">
                  <o:LockedField>false</o:LockedField>
                </o:OLEObject>
              </w:object>
            </w:r>
          </w:p>
          <w:p>
            <w:pPr>
              <w:spacing w:line="360" w:lineRule="auto"/>
              <w:ind w:firstLine="840" w:firstLineChars="350"/>
              <w:rPr>
                <w:rFonts w:ascii="Times New Roman" w:hAnsi="Times New Roman" w:eastAsia="宋体" w:cs="Times New Roman"/>
                <w:bCs/>
                <w:sz w:val="24"/>
              </w:rPr>
            </w:pPr>
            <w:r>
              <w:rPr>
                <w:rFonts w:ascii="Times New Roman" w:hAnsi="Times New Roman" w:eastAsia="宋体" w:cs="Times New Roman"/>
                <w:bCs/>
                <w:sz w:val="24"/>
              </w:rPr>
              <w:t>式中：Pi—为i污染物标准指标数；</w:t>
            </w:r>
          </w:p>
          <w:p>
            <w:pPr>
              <w:spacing w:line="360" w:lineRule="auto"/>
              <w:ind w:firstLine="840" w:firstLineChars="350"/>
              <w:rPr>
                <w:rFonts w:ascii="Times New Roman" w:hAnsi="Times New Roman" w:eastAsia="宋体" w:cs="Times New Roman"/>
                <w:bCs/>
                <w:sz w:val="24"/>
              </w:rPr>
            </w:pPr>
            <w:r>
              <w:rPr>
                <w:rFonts w:ascii="Times New Roman" w:hAnsi="Times New Roman" w:eastAsia="宋体" w:cs="Times New Roman"/>
                <w:bCs/>
                <w:sz w:val="24"/>
              </w:rPr>
              <w:t xml:space="preserve">      Ci—为i污染物实测浓度值（mg/L）；</w:t>
            </w:r>
          </w:p>
          <w:p>
            <w:pPr>
              <w:spacing w:line="360" w:lineRule="auto"/>
              <w:ind w:firstLine="840" w:firstLineChars="350"/>
              <w:rPr>
                <w:rFonts w:ascii="Times New Roman" w:hAnsi="Times New Roman" w:eastAsia="宋体" w:cs="Times New Roman"/>
                <w:bCs/>
                <w:sz w:val="24"/>
              </w:rPr>
            </w:pPr>
            <w:r>
              <w:rPr>
                <w:rFonts w:ascii="Times New Roman" w:hAnsi="Times New Roman" w:eastAsia="宋体" w:cs="Times New Roman"/>
                <w:bCs/>
                <w:sz w:val="24"/>
              </w:rPr>
              <w:t xml:space="preserve">      Si—为i污染物评价标准值（mg/L）。</w:t>
            </w:r>
          </w:p>
          <w:p>
            <w:pPr>
              <w:spacing w:line="360" w:lineRule="auto"/>
              <w:ind w:firstLine="840" w:firstLineChars="350"/>
              <w:rPr>
                <w:rFonts w:ascii="Times New Roman" w:hAnsi="Times New Roman" w:eastAsia="宋体" w:cs="Times New Roman"/>
                <w:bCs/>
                <w:sz w:val="24"/>
              </w:rPr>
            </w:pPr>
            <w:r>
              <w:rPr>
                <w:rFonts w:ascii="Times New Roman" w:hAnsi="Times New Roman" w:eastAsia="宋体" w:cs="Times New Roman"/>
                <w:bCs/>
                <w:sz w:val="24"/>
              </w:rPr>
              <w:t>对于具有上、下限标准的pH，则按下式计算pH的Pi值。</w:t>
            </w:r>
          </w:p>
          <w:p>
            <w:pPr>
              <w:spacing w:line="360" w:lineRule="auto"/>
              <w:ind w:firstLine="840" w:firstLineChars="350"/>
              <w:rPr>
                <w:rFonts w:ascii="Times New Roman" w:hAnsi="Times New Roman" w:eastAsia="宋体" w:cs="Times New Roman"/>
                <w:bCs/>
                <w:sz w:val="24"/>
              </w:rPr>
            </w:pPr>
            <w:r>
              <w:rPr>
                <w:rFonts w:ascii="Times New Roman" w:hAnsi="Times New Roman" w:eastAsia="宋体" w:cs="Times New Roman"/>
                <w:bCs/>
                <w:sz w:val="24"/>
              </w:rPr>
              <w:t xml:space="preserve">           </w:t>
            </w:r>
            <w:r>
              <w:rPr>
                <w:rFonts w:ascii="Times New Roman" w:hAnsi="Times New Roman" w:eastAsia="宋体" w:cs="Times New Roman"/>
                <w:bCs/>
                <w:position w:val="-30"/>
                <w:sz w:val="24"/>
              </w:rPr>
              <w:object>
                <v:shape id="_x0000_i1026" o:spt="75" type="#_x0000_t75" style="height:34.65pt;width:78.1pt;" o:ole="t" filled="f" o:preferrelative="t" stroked="f" coordsize="21600,21600">
                  <v:path/>
                  <v:fill on="f" focussize="0,0"/>
                  <v:stroke on="f" joinstyle="miter"/>
                  <v:imagedata r:id="rId98" o:title=""/>
                  <o:lock v:ext="edit" aspectratio="t"/>
                  <w10:wrap type="none"/>
                  <w10:anchorlock/>
                </v:shape>
                <o:OLEObject Type="Embed" ProgID="Equation.DSMT4" ShapeID="_x0000_i1026" DrawAspect="Content" ObjectID="_1468075726" r:id="rId97">
                  <o:LockedField>false</o:LockedField>
                </o:OLEObject>
              </w:object>
            </w:r>
            <w:r>
              <w:rPr>
                <w:rFonts w:ascii="Times New Roman" w:hAnsi="Times New Roman" w:eastAsia="宋体" w:cs="Times New Roman"/>
                <w:bCs/>
                <w:sz w:val="24"/>
              </w:rPr>
              <w:t>，当pH＞7.0时</w:t>
            </w:r>
          </w:p>
          <w:p>
            <w:pPr>
              <w:spacing w:line="360" w:lineRule="auto"/>
              <w:ind w:firstLine="840" w:firstLineChars="350"/>
              <w:rPr>
                <w:rFonts w:ascii="Times New Roman" w:hAnsi="Times New Roman" w:eastAsia="宋体" w:cs="Times New Roman"/>
                <w:bCs/>
                <w:sz w:val="24"/>
              </w:rPr>
            </w:pPr>
            <w:r>
              <w:rPr>
                <w:rFonts w:ascii="Times New Roman" w:hAnsi="Times New Roman" w:eastAsia="宋体" w:cs="Times New Roman"/>
                <w:bCs/>
                <w:sz w:val="24"/>
              </w:rPr>
              <w:t xml:space="preserve">           </w:t>
            </w:r>
            <w:r>
              <w:rPr>
                <w:rFonts w:ascii="Times New Roman" w:hAnsi="Times New Roman" w:eastAsia="宋体" w:cs="Times New Roman"/>
                <w:bCs/>
                <w:position w:val="-30"/>
                <w:sz w:val="24"/>
              </w:rPr>
              <w:object>
                <v:shape id="_x0000_i1027" o:spt="75" type="#_x0000_t75" style="height:34.65pt;width:76.75pt;" o:ole="t" filled="f" o:preferrelative="t" stroked="f" coordsize="21600,21600">
                  <v:path/>
                  <v:fill on="f" focussize="0,0"/>
                  <v:stroke on="f" joinstyle="miter"/>
                  <v:imagedata r:id="rId100" o:title=""/>
                  <o:lock v:ext="edit" aspectratio="t"/>
                  <w10:wrap type="none"/>
                  <w10:anchorlock/>
                </v:shape>
                <o:OLEObject Type="Embed" ProgID="Equation.DSMT4" ShapeID="_x0000_i1027" DrawAspect="Content" ObjectID="_1468075727" r:id="rId99">
                  <o:LockedField>false</o:LockedField>
                </o:OLEObject>
              </w:object>
            </w:r>
            <w:r>
              <w:rPr>
                <w:rFonts w:ascii="Times New Roman" w:hAnsi="Times New Roman" w:eastAsia="宋体" w:cs="Times New Roman"/>
                <w:bCs/>
                <w:sz w:val="24"/>
              </w:rPr>
              <w:t>，当pH≤7.0时</w:t>
            </w:r>
          </w:p>
          <w:p>
            <w:pPr>
              <w:spacing w:line="360" w:lineRule="auto"/>
              <w:rPr>
                <w:rFonts w:ascii="Times New Roman" w:hAnsi="Times New Roman" w:eastAsia="宋体" w:cs="Times New Roman"/>
                <w:bCs/>
                <w:sz w:val="24"/>
              </w:rPr>
            </w:pPr>
            <w:r>
              <w:rPr>
                <w:rFonts w:ascii="Times New Roman" w:hAnsi="Times New Roman" w:eastAsia="宋体" w:cs="Times New Roman"/>
                <w:bCs/>
                <w:sz w:val="24"/>
              </w:rPr>
              <w:t xml:space="preserve">       式中：Pi— pH因子的标准质量指数值；</w:t>
            </w:r>
          </w:p>
          <w:p>
            <w:pPr>
              <w:spacing w:line="360" w:lineRule="auto"/>
              <w:rPr>
                <w:rFonts w:ascii="Times New Roman" w:hAnsi="Times New Roman" w:eastAsia="宋体" w:cs="Times New Roman"/>
                <w:bCs/>
                <w:sz w:val="24"/>
              </w:rPr>
            </w:pPr>
            <w:r>
              <w:rPr>
                <w:rFonts w:ascii="Times New Roman" w:hAnsi="Times New Roman" w:eastAsia="宋体" w:cs="Times New Roman"/>
                <w:bCs/>
                <w:sz w:val="24"/>
              </w:rPr>
              <w:t xml:space="preserve">             pHi— pH的实测值；</w:t>
            </w:r>
          </w:p>
          <w:p>
            <w:pPr>
              <w:spacing w:line="360" w:lineRule="auto"/>
              <w:ind w:firstLine="540" w:firstLineChars="225"/>
              <w:rPr>
                <w:rFonts w:ascii="Times New Roman" w:hAnsi="Times New Roman" w:eastAsia="宋体" w:cs="Times New Roman"/>
                <w:sz w:val="24"/>
              </w:rPr>
            </w:pPr>
            <w:r>
              <w:rPr>
                <w:rFonts w:ascii="Times New Roman" w:hAnsi="Times New Roman" w:eastAsia="宋体" w:cs="Times New Roman"/>
                <w:bCs/>
                <w:sz w:val="24"/>
              </w:rPr>
              <w:t xml:space="preserve">        pHs— pH的评价标准上限或下限值。</w:t>
            </w:r>
          </w:p>
          <w:p>
            <w:pPr>
              <w:autoSpaceDE w:val="0"/>
              <w:autoSpaceDN w:val="0"/>
              <w:adjustRightInd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6</w:t>
            </w:r>
            <w:r>
              <w:rPr>
                <w:rFonts w:ascii="Times New Roman" w:hAnsi="Times New Roman" w:eastAsia="宋体" w:cs="Times New Roman"/>
                <w:sz w:val="24"/>
                <w:szCs w:val="24"/>
              </w:rPr>
              <w:t>、监测结果</w:t>
            </w:r>
          </w:p>
          <w:p>
            <w:pPr>
              <w:autoSpaceDE w:val="0"/>
              <w:autoSpaceDN w:val="0"/>
              <w:adjustRightInd w:val="0"/>
              <w:spacing w:line="360" w:lineRule="auto"/>
              <w:ind w:firstLine="480" w:firstLineChars="200"/>
              <w:rPr>
                <w:rFonts w:ascii="Times New Roman" w:hAnsi="Times New Roman" w:eastAsia="宋体" w:cs="Times New Roman"/>
                <w:b/>
                <w:bCs/>
                <w:kern w:val="0"/>
                <w:szCs w:val="21"/>
              </w:rPr>
            </w:pPr>
            <w:r>
              <w:rPr>
                <w:rFonts w:ascii="Times New Roman" w:hAnsi="Times New Roman" w:eastAsia="宋体" w:cs="Times New Roman"/>
                <w:sz w:val="24"/>
                <w:szCs w:val="24"/>
              </w:rPr>
              <w:t>监测结果如下：</w:t>
            </w:r>
          </w:p>
          <w:p>
            <w:pPr>
              <w:autoSpaceDE w:val="0"/>
              <w:autoSpaceDN w:val="0"/>
              <w:adjustRightInd w:val="0"/>
              <w:jc w:val="center"/>
              <w:rPr>
                <w:rFonts w:ascii="Times New Roman" w:hAnsi="Times New Roman" w:eastAsia="宋体" w:cs="Times New Roman"/>
                <w:sz w:val="24"/>
                <w:szCs w:val="24"/>
              </w:rPr>
            </w:pPr>
            <w:r>
              <w:rPr>
                <w:rFonts w:ascii="Times New Roman" w:hAnsi="Times New Roman" w:eastAsia="宋体" w:cs="Times New Roman"/>
                <w:b/>
                <w:bCs/>
                <w:kern w:val="0"/>
                <w:szCs w:val="21"/>
              </w:rPr>
              <w:t>表3-</w:t>
            </w:r>
            <w:r>
              <w:rPr>
                <w:rFonts w:hint="eastAsia" w:ascii="Times New Roman" w:hAnsi="Times New Roman" w:eastAsia="宋体" w:cs="Times New Roman"/>
                <w:b/>
                <w:bCs/>
                <w:kern w:val="0"/>
                <w:szCs w:val="21"/>
              </w:rPr>
              <w:t>4</w:t>
            </w:r>
            <w:r>
              <w:rPr>
                <w:rFonts w:ascii="Times New Roman" w:hAnsi="Times New Roman" w:eastAsia="宋体" w:cs="Times New Roman"/>
                <w:b/>
                <w:bCs/>
                <w:kern w:val="0"/>
                <w:szCs w:val="21"/>
              </w:rPr>
              <w:t xml:space="preserve">  地表水监测结果统计一览表     mg/L，pH无量纲</w:t>
            </w:r>
          </w:p>
          <w:tbl>
            <w:tblPr>
              <w:tblStyle w:val="26"/>
              <w:tblW w:w="915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2472"/>
              <w:gridCol w:w="1034"/>
              <w:gridCol w:w="1266"/>
              <w:gridCol w:w="981"/>
              <w:gridCol w:w="1163"/>
              <w:gridCol w:w="1262"/>
              <w:gridCol w:w="98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30" w:hRule="atLeast"/>
                <w:tblHeader/>
                <w:jc w:val="center"/>
              </w:trPr>
              <w:tc>
                <w:tcPr>
                  <w:tcW w:w="2472"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采样日期</w:t>
                  </w:r>
                </w:p>
              </w:tc>
              <w:tc>
                <w:tcPr>
                  <w:tcW w:w="6687" w:type="dxa"/>
                  <w:gridSpan w:val="6"/>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2024.3.12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28" w:hRule="atLeast"/>
                <w:tblHeader/>
                <w:jc w:val="center"/>
              </w:trPr>
              <w:tc>
                <w:tcPr>
                  <w:tcW w:w="2472"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pPr>
                    <w:keepNext w:val="0"/>
                    <w:keepLines w:val="0"/>
                    <w:suppressLineNumbers w:val="0"/>
                    <w:spacing w:before="0" w:beforeAutospacing="0" w:after="0" w:afterAutospacing="0"/>
                    <w:ind w:left="0" w:right="0"/>
                    <w:jc w:val="right"/>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检测项目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检测点位</w:t>
                  </w:r>
                </w:p>
              </w:tc>
              <w:tc>
                <w:tcPr>
                  <w:tcW w:w="1034" w:type="dxa"/>
                  <w:tcBorders>
                    <w:top w:val="single" w:color="auto" w:sz="4" w:space="0"/>
                    <w:left w:val="single" w:color="000000"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悬浮物</w:t>
                  </w:r>
                </w:p>
              </w:tc>
              <w:tc>
                <w:tcPr>
                  <w:tcW w:w="126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化学需氧量</w:t>
                  </w:r>
                </w:p>
              </w:tc>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116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五日生化需氧量</w:t>
                  </w:r>
                </w:p>
              </w:tc>
              <w:tc>
                <w:tcPr>
                  <w:tcW w:w="126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秧田湾水库大坝处</w:t>
                  </w:r>
                </w:p>
              </w:tc>
              <w:tc>
                <w:tcPr>
                  <w:tcW w:w="1034"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94</w:t>
                  </w:r>
                </w:p>
              </w:tc>
              <w:tc>
                <w:tcPr>
                  <w:tcW w:w="126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18</w:t>
                  </w:r>
                </w:p>
              </w:tc>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0.463</w:t>
                  </w:r>
                </w:p>
              </w:tc>
              <w:tc>
                <w:tcPr>
                  <w:tcW w:w="116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3.8</w:t>
                  </w:r>
                </w:p>
              </w:tc>
              <w:tc>
                <w:tcPr>
                  <w:tcW w:w="126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云顶水库大坝处</w:t>
                  </w:r>
                </w:p>
              </w:tc>
              <w:tc>
                <w:tcPr>
                  <w:tcW w:w="1034"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107</w:t>
                  </w:r>
                </w:p>
              </w:tc>
              <w:tc>
                <w:tcPr>
                  <w:tcW w:w="126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0.432</w:t>
                  </w:r>
                </w:p>
              </w:tc>
              <w:tc>
                <w:tcPr>
                  <w:tcW w:w="116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26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小沟河水库大坝处</w:t>
                  </w:r>
                </w:p>
              </w:tc>
              <w:tc>
                <w:tcPr>
                  <w:tcW w:w="1034"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61</w:t>
                  </w:r>
                </w:p>
              </w:tc>
              <w:tc>
                <w:tcPr>
                  <w:tcW w:w="126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0.597</w:t>
                  </w:r>
                </w:p>
              </w:tc>
              <w:tc>
                <w:tcPr>
                  <w:tcW w:w="1163"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126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漆树沟水库大坝处</w:t>
                  </w:r>
                </w:p>
              </w:tc>
              <w:tc>
                <w:tcPr>
                  <w:tcW w:w="1034"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1266"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981"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0.492</w:t>
                  </w:r>
                </w:p>
              </w:tc>
              <w:tc>
                <w:tcPr>
                  <w:tcW w:w="1163"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262" w:type="dxa"/>
                  <w:tcBorders>
                    <w:top w:val="single" w:color="auto"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981"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刘家坪水库大坝处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67</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0.556</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烂田湾水库大坝处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122</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0.217</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后头湾水库大坝处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74</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0.466</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长征水库大坝处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78</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0.475</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南六水库大坝处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19</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0.948</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3.7</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老寨沟水库大坝处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54</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0.217</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3.0 </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阴洞岩水库大坝处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0.458</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3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采样日期</w:t>
                  </w:r>
                </w:p>
              </w:tc>
              <w:tc>
                <w:tcPr>
                  <w:tcW w:w="6687"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2024.3.13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28" w:hRule="atLeast"/>
                <w:jc w:val="center"/>
              </w:trPr>
              <w:tc>
                <w:tcPr>
                  <w:tcW w:w="2472"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pPr>
                    <w:keepNext w:val="0"/>
                    <w:keepLines w:val="0"/>
                    <w:suppressLineNumbers w:val="0"/>
                    <w:spacing w:before="0" w:beforeAutospacing="0" w:after="0" w:afterAutospacing="0"/>
                    <w:ind w:left="0" w:right="0"/>
                    <w:jc w:val="right"/>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检测项目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1"/>
                      <w:szCs w:val="21"/>
                      <w:u w:val="none"/>
                      <w:lang w:eastAsia="zh-CN"/>
                    </w:rPr>
                    <w:t>检测点位</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悬浮物</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化学需氧量</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五日生化需氧量</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秧田湾水库大坝处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17</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0.223</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3.6</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云顶水库大坝处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61</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0.443</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小沟河水库大坝处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52</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0.524</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漆树沟水库大坝处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84</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0.458</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刘家坪水库大坝处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56</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0.391</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烂田湾水库大坝处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54</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0.182</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后头湾水库大坝处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58</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0.721</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长征水库大坝处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76</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0.284</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南六水库大坝处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62</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18</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0.774</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3.8</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老寨沟水库大坝处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65</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0.269</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24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阴洞岩水库大坝处</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w:t>
                  </w:r>
                </w:p>
              </w:tc>
              <w:tc>
                <w:tcPr>
                  <w:tcW w:w="1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0.475</w:t>
                  </w:r>
                </w:p>
              </w:tc>
              <w:tc>
                <w:tcPr>
                  <w:tcW w:w="116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1262"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9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7.3</w:t>
                  </w:r>
                </w:p>
              </w:tc>
            </w:tr>
          </w:tbl>
          <w:p>
            <w:pPr>
              <w:spacing w:line="360" w:lineRule="auto"/>
              <w:ind w:firstLine="480" w:firstLineChars="200"/>
              <w:rPr>
                <w:rFonts w:ascii="Times New Roman" w:hAnsi="Times New Roman" w:eastAsia="宋体" w:cs="Times New Roman"/>
                <w:b/>
              </w:rPr>
            </w:pPr>
            <w:r>
              <w:rPr>
                <w:rFonts w:ascii="Times New Roman" w:hAnsi="Times New Roman" w:eastAsia="宋体" w:cs="Times New Roman"/>
                <w:bCs/>
                <w:sz w:val="24"/>
              </w:rPr>
              <w:t>将各评价参数的实测浓度值和相应的评价标准限值代入公式，得到的结果见表3-</w:t>
            </w:r>
            <w:r>
              <w:rPr>
                <w:rFonts w:hint="eastAsia" w:ascii="Times New Roman" w:hAnsi="Times New Roman" w:eastAsia="宋体" w:cs="Times New Roman"/>
                <w:bCs/>
                <w:sz w:val="24"/>
              </w:rPr>
              <w:t>5</w:t>
            </w:r>
            <w:r>
              <w:rPr>
                <w:rFonts w:ascii="Times New Roman" w:hAnsi="Times New Roman" w:eastAsia="宋体" w:cs="Times New Roman"/>
                <w:bCs/>
                <w:sz w:val="24"/>
              </w:rPr>
              <w:t>。</w:t>
            </w:r>
          </w:p>
          <w:p>
            <w:pPr>
              <w:pStyle w:val="14"/>
              <w:jc w:val="center"/>
              <w:rPr>
                <w:rFonts w:ascii="Times New Roman" w:hAnsi="Times New Roman" w:eastAsia="宋体" w:cs="Times New Roman"/>
                <w:b/>
              </w:rPr>
            </w:pPr>
            <w:r>
              <w:rPr>
                <w:rFonts w:ascii="Times New Roman" w:hAnsi="Times New Roman" w:eastAsia="宋体" w:cs="Times New Roman"/>
                <w:b/>
              </w:rPr>
              <w:t>表3-</w:t>
            </w:r>
            <w:r>
              <w:rPr>
                <w:rFonts w:hint="eastAsia" w:ascii="Times New Roman" w:hAnsi="Times New Roman" w:eastAsia="宋体" w:cs="Times New Roman"/>
                <w:b/>
              </w:rPr>
              <w:t>5</w:t>
            </w:r>
            <w:r>
              <w:rPr>
                <w:rFonts w:ascii="Times New Roman" w:hAnsi="Times New Roman" w:eastAsia="宋体" w:cs="Times New Roman"/>
                <w:b/>
              </w:rPr>
              <w:t xml:space="preserve">  地表水评价结果          mg/L    pH无量纲</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9"/>
              <w:gridCol w:w="1321"/>
              <w:gridCol w:w="1321"/>
              <w:gridCol w:w="1321"/>
              <w:gridCol w:w="1321"/>
              <w:gridCol w:w="1321"/>
              <w:gridCol w:w="1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7" w:hRule="atLeast"/>
                <w:jc w:val="center"/>
              </w:trPr>
              <w:tc>
                <w:tcPr>
                  <w:tcW w:w="1209" w:type="dxa"/>
                  <w:vMerge w:val="restart"/>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rPr>
                    <w:t>监测点位</w:t>
                  </w:r>
                </w:p>
              </w:tc>
              <w:tc>
                <w:tcPr>
                  <w:tcW w:w="7930" w:type="dxa"/>
                  <w:gridSpan w:val="6"/>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rPr>
                    <w:t>监测值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209" w:type="dxa"/>
                  <w:vMerge w:val="continue"/>
                  <w:tcBorders>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pH</w:t>
                  </w:r>
                </w:p>
                <w:p>
                  <w:pPr>
                    <w:jc w:val="center"/>
                    <w:rPr>
                      <w:rFonts w:ascii="Times New Roman" w:hAnsi="Times New Roman" w:eastAsia="宋体" w:cs="Times New Roman"/>
                      <w:szCs w:val="21"/>
                    </w:rPr>
                  </w:pPr>
                  <w:r>
                    <w:rPr>
                      <w:rFonts w:ascii="Times New Roman" w:hAnsi="Times New Roman" w:eastAsia="宋体" w:cs="Times New Roman"/>
                      <w:szCs w:val="21"/>
                    </w:rPr>
                    <w:t>max</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氨氮</w:t>
                  </w:r>
                  <w:r>
                    <w:rPr>
                      <w:rFonts w:ascii="Times New Roman" w:hAnsi="Times New Roman" w:eastAsia="宋体" w:cs="Times New Roman"/>
                      <w:szCs w:val="21"/>
                    </w:rPr>
                    <w:br w:type="textWrapping"/>
                  </w:r>
                  <w:r>
                    <w:rPr>
                      <w:rFonts w:ascii="Times New Roman" w:hAnsi="Times New Roman" w:eastAsia="宋体" w:cs="Times New Roman"/>
                      <w:szCs w:val="21"/>
                    </w:rPr>
                    <w:t>max</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vertAlign w:val="subscript"/>
                    </w:rPr>
                  </w:pPr>
                  <w:r>
                    <w:rPr>
                      <w:rFonts w:ascii="Times New Roman" w:hAnsi="Times New Roman" w:eastAsia="宋体" w:cs="Times New Roman"/>
                      <w:szCs w:val="21"/>
                    </w:rPr>
                    <w:t>COD</w:t>
                  </w:r>
                  <w:r>
                    <w:rPr>
                      <w:rFonts w:ascii="Times New Roman" w:hAnsi="Times New Roman" w:eastAsia="宋体" w:cs="Times New Roman"/>
                      <w:szCs w:val="21"/>
                      <w:vertAlign w:val="subscript"/>
                    </w:rPr>
                    <w:t>Cr</w:t>
                  </w:r>
                </w:p>
                <w:p>
                  <w:pPr>
                    <w:jc w:val="center"/>
                    <w:rPr>
                      <w:rFonts w:ascii="Times New Roman" w:hAnsi="Times New Roman" w:eastAsia="宋体" w:cs="Times New Roman"/>
                    </w:rPr>
                  </w:pPr>
                  <w:r>
                    <w:rPr>
                      <w:rFonts w:ascii="Times New Roman" w:hAnsi="Times New Roman" w:eastAsia="宋体" w:cs="Times New Roman"/>
                      <w:szCs w:val="21"/>
                    </w:rPr>
                    <w:t>max</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vertAlign w:val="subscript"/>
                    </w:rPr>
                  </w:pPr>
                  <w:r>
                    <w:rPr>
                      <w:rFonts w:ascii="Times New Roman" w:hAnsi="Times New Roman" w:eastAsia="宋体" w:cs="Times New Roman"/>
                      <w:szCs w:val="21"/>
                    </w:rPr>
                    <w:t>BOD</w:t>
                  </w:r>
                  <w:r>
                    <w:rPr>
                      <w:rFonts w:ascii="Times New Roman" w:hAnsi="Times New Roman" w:eastAsia="宋体" w:cs="Times New Roman"/>
                      <w:szCs w:val="21"/>
                      <w:vertAlign w:val="subscript"/>
                    </w:rPr>
                    <w:t>5</w:t>
                  </w:r>
                </w:p>
                <w:p>
                  <w:pPr>
                    <w:jc w:val="center"/>
                    <w:rPr>
                      <w:rFonts w:ascii="Times New Roman" w:hAnsi="Times New Roman" w:eastAsia="宋体" w:cs="Times New Roman"/>
                      <w:szCs w:val="21"/>
                    </w:rPr>
                  </w:pPr>
                  <w:r>
                    <w:rPr>
                      <w:rFonts w:ascii="Times New Roman" w:hAnsi="Times New Roman" w:eastAsia="宋体" w:cs="Times New Roman"/>
                      <w:szCs w:val="21"/>
                    </w:rPr>
                    <w:t>max</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石油类</w:t>
                  </w:r>
                  <w:r>
                    <w:rPr>
                      <w:rFonts w:ascii="Times New Roman" w:hAnsi="Times New Roman" w:eastAsia="宋体" w:cs="Times New Roman"/>
                      <w:szCs w:val="21"/>
                    </w:rPr>
                    <w:t>max</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rPr>
                    <w:t>SS</w:t>
                  </w:r>
                </w:p>
                <w:p>
                  <w:pPr>
                    <w:jc w:val="center"/>
                    <w:rPr>
                      <w:rFonts w:ascii="Times New Roman" w:hAnsi="Times New Roman" w:eastAsia="宋体" w:cs="Times New Roman"/>
                    </w:rPr>
                  </w:pPr>
                  <w:r>
                    <w:rPr>
                      <w:rFonts w:hint="eastAsia" w:ascii="Times New Roman" w:hAnsi="Times New Roman" w:eastAsia="宋体" w:cs="Times New Roman"/>
                      <w:szCs w:val="21"/>
                      <w:lang w:val="en-US" w:eastAsia="zh-CN"/>
                    </w:rPr>
                    <w:t>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209" w:type="dxa"/>
                  <w:tcBorders>
                    <w:top w:val="single" w:color="auto" w:sz="4" w:space="0"/>
                    <w:left w:val="single" w:color="auto" w:sz="4" w:space="0"/>
                    <w:right w:val="single" w:color="auto" w:sz="4" w:space="0"/>
                  </w:tcBorders>
                  <w:vAlign w:val="center"/>
                </w:tcPr>
                <w:p>
                  <w:pPr>
                    <w:jc w:val="center"/>
                    <w:rPr>
                      <w:rFonts w:ascii="Times New Roman" w:hAnsi="Times New Roman" w:eastAsia="宋体" w:cs="Times New Roman"/>
                      <w:szCs w:val="21"/>
                    </w:rPr>
                  </w:pPr>
                  <w:r>
                    <w:rPr>
                      <w:rFonts w:hint="default" w:ascii="Times New Roman" w:hAnsi="Times New Roman" w:eastAsia="宋体" w:cs="Times New Roman"/>
                      <w:i w:val="0"/>
                      <w:iCs w:val="0"/>
                      <w:color w:val="auto"/>
                      <w:kern w:val="0"/>
                      <w:sz w:val="21"/>
                      <w:szCs w:val="21"/>
                      <w:u w:val="none"/>
                      <w:lang w:val="en-US" w:eastAsia="zh-CN" w:bidi="ar"/>
                    </w:rPr>
                    <w:t>秧田湾水库大坝处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0.463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18</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3.8</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0.04</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szCs w:val="21"/>
                      <w:lang w:val="en-US" w:eastAsia="zh-CN"/>
                    </w:rPr>
                    <w:t>0.463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0.80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default" w:ascii="Times New Roman" w:hAnsi="Times New Roman" w:eastAsia="宋体" w:cs="Times New Roman"/>
                      <w:i w:val="0"/>
                      <w:iCs w:val="0"/>
                      <w:color w:val="auto"/>
                      <w:kern w:val="0"/>
                      <w:sz w:val="21"/>
                      <w:szCs w:val="21"/>
                      <w:u w:val="none"/>
                      <w:lang w:val="en-US" w:eastAsia="zh-CN" w:bidi="ar"/>
                    </w:rPr>
                    <w:t>云顶水库大坝处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7.4</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0.443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3.2</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0.04</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0.20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lang w:val="en-US" w:eastAsia="zh-CN"/>
                    </w:rPr>
                    <w:t>0.443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0.75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0.80</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rPr>
                  </w:pPr>
                  <w:r>
                    <w:rPr>
                      <w:rFonts w:hint="eastAsia" w:ascii="Times New Roman" w:hAnsi="Times New Roman" w:eastAsia="宋体" w:cs="Times New Roman"/>
                      <w:szCs w:val="21"/>
                      <w:lang w:val="en-US" w:eastAsia="zh-CN"/>
                    </w:rPr>
                    <w:t>0.80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hint="default" w:ascii="Times New Roman" w:hAnsi="Times New Roman" w:eastAsia="宋体" w:cs="Times New Roman"/>
                      <w:i w:val="0"/>
                      <w:iCs w:val="0"/>
                      <w:color w:val="auto"/>
                      <w:kern w:val="0"/>
                      <w:sz w:val="21"/>
                      <w:szCs w:val="21"/>
                      <w:u w:val="none"/>
                      <w:lang w:val="en-US" w:eastAsia="zh-CN" w:bidi="ar"/>
                    </w:rPr>
                    <w:t>小沟河水库大坝处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0.597</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17</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0.03</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0.597</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0.85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0.875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0.60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ascii="Times New Roman" w:hAnsi="Times New Roman" w:eastAsia="宋体" w:cs="Times New Roman"/>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hint="default" w:ascii="Times New Roman" w:hAnsi="Times New Roman" w:eastAsia="宋体" w:cs="Times New Roman"/>
                      <w:i w:val="0"/>
                      <w:iCs w:val="0"/>
                      <w:color w:val="auto"/>
                      <w:kern w:val="0"/>
                      <w:sz w:val="21"/>
                      <w:szCs w:val="21"/>
                      <w:u w:val="none"/>
                      <w:lang w:val="en-US" w:eastAsia="zh-CN" w:bidi="ar"/>
                    </w:rPr>
                    <w:t>漆树沟水库大坝处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7.4</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0.492</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18</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0.02</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0.492</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0.875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0.40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2"/>
                      <w:lang w:val="en-US" w:eastAsia="zh-CN" w:bidi="ar-SA"/>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hint="default" w:ascii="Times New Roman" w:hAnsi="Times New Roman" w:eastAsia="宋体" w:cs="Times New Roman"/>
                      <w:i w:val="0"/>
                      <w:iCs w:val="0"/>
                      <w:color w:val="auto"/>
                      <w:kern w:val="0"/>
                      <w:sz w:val="21"/>
                      <w:szCs w:val="21"/>
                      <w:u w:val="none"/>
                      <w:lang w:val="en-US" w:eastAsia="zh-CN" w:bidi="ar"/>
                    </w:rPr>
                    <w:t>刘家坪水库大坝处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0.556</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17</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3.6</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0.03</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0.556</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0.85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0.90</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0.60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2"/>
                      <w:lang w:val="en-US" w:eastAsia="zh-CN" w:bidi="ar-SA"/>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hint="default" w:ascii="Times New Roman" w:hAnsi="Times New Roman" w:eastAsia="宋体" w:cs="Times New Roman"/>
                      <w:i w:val="0"/>
                      <w:iCs w:val="0"/>
                      <w:color w:val="auto"/>
                      <w:kern w:val="0"/>
                      <w:sz w:val="21"/>
                      <w:szCs w:val="21"/>
                      <w:u w:val="none"/>
                      <w:lang w:val="en-US" w:eastAsia="zh-CN" w:bidi="ar"/>
                    </w:rPr>
                    <w:t>烂田湾水库大坝处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0.217</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18</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0.04</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0.217</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0.875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0.80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2"/>
                      <w:lang w:val="en-US" w:eastAsia="zh-CN" w:bidi="ar-SA"/>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hint="default" w:ascii="Times New Roman" w:hAnsi="Times New Roman" w:eastAsia="宋体" w:cs="Times New Roman"/>
                      <w:i w:val="0"/>
                      <w:iCs w:val="0"/>
                      <w:color w:val="auto"/>
                      <w:kern w:val="0"/>
                      <w:sz w:val="21"/>
                      <w:szCs w:val="21"/>
                      <w:u w:val="none"/>
                      <w:lang w:val="en-US" w:eastAsia="zh-CN" w:bidi="ar"/>
                    </w:rPr>
                    <w:t>后头湾水库大坝处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7.4</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0.721</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18</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0.04</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0.721</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0.875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0.80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2"/>
                      <w:lang w:val="en-US" w:eastAsia="zh-CN" w:bidi="ar-SA"/>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hint="default" w:ascii="Times New Roman" w:hAnsi="Times New Roman" w:eastAsia="宋体" w:cs="Times New Roman"/>
                      <w:i w:val="0"/>
                      <w:iCs w:val="0"/>
                      <w:color w:val="auto"/>
                      <w:kern w:val="0"/>
                      <w:sz w:val="21"/>
                      <w:szCs w:val="21"/>
                      <w:u w:val="none"/>
                      <w:lang w:val="en-US" w:eastAsia="zh-CN" w:bidi="ar"/>
                    </w:rPr>
                    <w:t>长征水库大坝处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7.4</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0.475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2.9</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0.02</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0.475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0.65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0.725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0.10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2"/>
                      <w:lang w:val="en-US" w:eastAsia="zh-CN" w:bidi="ar-SA"/>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hint="default" w:ascii="Times New Roman" w:hAnsi="Times New Roman" w:eastAsia="宋体" w:cs="Times New Roman"/>
                      <w:i w:val="0"/>
                      <w:iCs w:val="0"/>
                      <w:color w:val="auto"/>
                      <w:kern w:val="0"/>
                      <w:sz w:val="21"/>
                      <w:szCs w:val="21"/>
                      <w:u w:val="none"/>
                      <w:lang w:val="en-US" w:eastAsia="zh-CN" w:bidi="ar"/>
                    </w:rPr>
                    <w:t>南六水库大坝处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7.4</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0.948</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19</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3.8</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0.04</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0.948</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0.80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2"/>
                      <w:lang w:val="en-US" w:eastAsia="zh-CN" w:bidi="ar-SA"/>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hint="default" w:ascii="Times New Roman" w:hAnsi="Times New Roman" w:eastAsia="宋体" w:cs="Times New Roman"/>
                      <w:i w:val="0"/>
                      <w:iCs w:val="0"/>
                      <w:color w:val="auto"/>
                      <w:kern w:val="0"/>
                      <w:sz w:val="21"/>
                      <w:szCs w:val="21"/>
                      <w:u w:val="none"/>
                      <w:lang w:val="en-US" w:eastAsia="zh-CN" w:bidi="ar"/>
                    </w:rPr>
                    <w:t>老寨沟水库大坝处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7.3</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0.269</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14</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3.0</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0.03</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0.269</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0.70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0.75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0.60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2"/>
                      <w:lang w:val="en-US" w:eastAsia="zh-CN" w:bidi="ar-SA"/>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rPr>
                  </w:pPr>
                  <w:r>
                    <w:rPr>
                      <w:rFonts w:hint="default" w:ascii="Times New Roman" w:hAnsi="Times New Roman" w:eastAsia="宋体" w:cs="Times New Roman"/>
                      <w:i w:val="0"/>
                      <w:iCs w:val="0"/>
                      <w:color w:val="auto"/>
                      <w:kern w:val="0"/>
                      <w:sz w:val="21"/>
                      <w:szCs w:val="21"/>
                      <w:u w:val="none"/>
                      <w:lang w:val="en-US" w:eastAsia="zh-CN" w:bidi="ar"/>
                    </w:rPr>
                    <w:t>阴洞岩水库大坝处</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7.4</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0.475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18</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3.3</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0.03</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rPr>
                    <w:t>Pi</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0.20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0.475</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0.90</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0.825</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0.60</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tcBorders>
                    <w:left w:val="single" w:color="auto" w:sz="4" w:space="0"/>
                    <w:right w:val="single" w:color="auto" w:sz="4" w:space="0"/>
                  </w:tcBorders>
                  <w:vAlign w:val="center"/>
                </w:tcPr>
                <w:p>
                  <w:pPr>
                    <w:jc w:val="center"/>
                    <w:rPr>
                      <w:rFonts w:ascii="Times New Roman" w:hAnsi="Times New Roman" w:eastAsia="宋体" w:cs="Times New Roman"/>
                      <w:kern w:val="2"/>
                      <w:sz w:val="21"/>
                      <w:szCs w:val="22"/>
                      <w:lang w:val="en-US" w:eastAsia="zh-CN" w:bidi="ar-SA"/>
                    </w:rPr>
                  </w:pPr>
                  <w:r>
                    <w:rPr>
                      <w:rFonts w:ascii="Times New Roman" w:hAnsi="Times New Roman" w:eastAsia="宋体" w:cs="Times New Roman"/>
                    </w:rPr>
                    <w:t>达标情况</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1" w:type="dxa"/>
                  <w:tcBorders>
                    <w:top w:val="single" w:color="auto" w:sz="4" w:space="0"/>
                    <w:left w:val="single" w:color="auto" w:sz="4" w:space="0"/>
                    <w:bottom w:val="single" w:color="auto" w:sz="4" w:space="0"/>
                    <w:right w:val="single" w:color="auto" w:sz="6" w:space="0"/>
                  </w:tcBorders>
                  <w:vAlign w:val="center"/>
                </w:tcPr>
                <w:p>
                  <w:pPr>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达标</w:t>
                  </w:r>
                </w:p>
              </w:tc>
              <w:tc>
                <w:tcPr>
                  <w:tcW w:w="1325" w:type="dxa"/>
                  <w:tcBorders>
                    <w:top w:val="single" w:color="auto" w:sz="4" w:space="0"/>
                    <w:left w:val="single" w:color="auto" w:sz="6" w:space="0"/>
                    <w:bottom w:val="single" w:color="auto" w:sz="4" w:space="0"/>
                    <w:right w:val="single" w:color="auto" w:sz="4" w:space="0"/>
                  </w:tcBorders>
                  <w:vAlign w:val="center"/>
                </w:tcPr>
                <w:p>
                  <w:pPr>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bl>
          <w:p>
            <w:pPr>
              <w:autoSpaceDE w:val="0"/>
              <w:autoSpaceDN w:val="0"/>
              <w:adjustRightIn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通过以上数据可知，</w:t>
            </w:r>
            <w:r>
              <w:rPr>
                <w:rFonts w:hint="eastAsia" w:ascii="Times New Roman" w:hAnsi="Times New Roman" w:eastAsia="宋体" w:cs="Times New Roman"/>
                <w:sz w:val="24"/>
                <w:szCs w:val="24"/>
                <w:lang w:val="en-US" w:eastAsia="zh-CN"/>
              </w:rPr>
              <w:t>各灌区水源</w:t>
            </w:r>
            <w:r>
              <w:rPr>
                <w:rFonts w:ascii="Times New Roman" w:hAnsi="Times New Roman" w:eastAsia="宋体" w:cs="Times New Roman"/>
                <w:sz w:val="24"/>
                <w:szCs w:val="24"/>
              </w:rPr>
              <w:t>地表水检测中，各项目检测结果均满足《地表水环境质量标准》（GB 3838-2002）表1中Ⅲ类标准限值要求，区域主要水体水环境质量良好。</w:t>
            </w:r>
          </w:p>
          <w:p>
            <w:pPr>
              <w:adjustRightInd w:val="0"/>
              <w:spacing w:line="360" w:lineRule="auto"/>
              <w:ind w:firstLine="480" w:firstLineChars="200"/>
              <w:rPr>
                <w:rFonts w:ascii="Times New Roman" w:hAnsi="Times New Roman" w:eastAsia="黑体" w:cs="Times New Roman"/>
                <w:b/>
                <w:bCs/>
                <w:sz w:val="24"/>
                <w:szCs w:val="24"/>
              </w:rPr>
            </w:pPr>
            <w:r>
              <w:rPr>
                <w:rFonts w:hint="eastAsia" w:ascii="Times New Roman" w:hAnsi="Times New Roman" w:eastAsia="宋体" w:cs="Times New Roman"/>
                <w:sz w:val="24"/>
                <w:szCs w:val="24"/>
                <w:lang w:val="en-US" w:eastAsia="zh-CN"/>
              </w:rPr>
              <w:t>监测结果中pH、五日生化需氧量、化学需氧量也符合《农田灌溉水质标准》（GB5084-2021）表1水田作物、旱地作物相关标准限值。</w:t>
            </w:r>
          </w:p>
          <w:p>
            <w:pPr>
              <w:adjustRightInd w:val="0"/>
              <w:spacing w:line="360" w:lineRule="auto"/>
              <w:ind w:firstLine="482" w:firstLineChars="200"/>
              <w:rPr>
                <w:rFonts w:ascii="Times New Roman" w:hAnsi="Times New Roman" w:eastAsia="黑体" w:cs="Times New Roman"/>
                <w:b/>
                <w:bCs/>
                <w:sz w:val="24"/>
                <w:szCs w:val="24"/>
              </w:rPr>
            </w:pPr>
            <w:r>
              <w:rPr>
                <w:rFonts w:ascii="Times New Roman" w:hAnsi="Times New Roman" w:eastAsia="黑体" w:cs="Times New Roman"/>
                <w:b/>
                <w:bCs/>
                <w:sz w:val="24"/>
                <w:szCs w:val="24"/>
              </w:rPr>
              <w:t>（三）声环境质量现状</w:t>
            </w:r>
          </w:p>
          <w:p>
            <w:pPr>
              <w:autoSpaceDE w:val="0"/>
              <w:autoSpaceDN w:val="0"/>
              <w:adjustRightInd w:val="0"/>
              <w:spacing w:line="360" w:lineRule="auto"/>
              <w:ind w:firstLine="480" w:firstLineChars="200"/>
              <w:rPr>
                <w:rFonts w:ascii="Times New Roman" w:hAnsi="Times New Roman" w:eastAsia="宋体" w:cs="Times New Roman"/>
                <w:sz w:val="24"/>
                <w:szCs w:val="24"/>
              </w:rPr>
            </w:pPr>
            <w:r>
              <w:rPr>
                <w:rFonts w:ascii="Times New Roman" w:hAnsi="Times New Roman" w:cs="Times New Roman"/>
                <w:sz w:val="24"/>
                <w:szCs w:val="24"/>
              </w:rPr>
              <w:t>为了解本项目建设区域声环境质量现状，</w:t>
            </w:r>
            <w:r>
              <w:rPr>
                <w:rFonts w:hint="eastAsia" w:ascii="Times New Roman" w:hAnsi="Times New Roman" w:cs="Times New Roman"/>
                <w:sz w:val="24"/>
                <w:szCs w:val="24"/>
                <w:lang w:eastAsia="zh-CN"/>
              </w:rPr>
              <w:t>四川新绿洲环境检测有限公司</w:t>
            </w:r>
            <w:r>
              <w:rPr>
                <w:rFonts w:ascii="Times New Roman" w:hAnsi="Times New Roman" w:cs="Times New Roman"/>
                <w:sz w:val="24"/>
                <w:szCs w:val="24"/>
              </w:rPr>
              <w:t>对区域声环境进行了现状监测。</w:t>
            </w:r>
          </w:p>
          <w:p>
            <w:pPr>
              <w:tabs>
                <w:tab w:val="left" w:pos="5448"/>
              </w:tabs>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（1）监测点位设置</w:t>
            </w:r>
          </w:p>
          <w:p>
            <w:pPr>
              <w:autoSpaceDE w:val="0"/>
              <w:autoSpaceDN w:val="0"/>
              <w:adjustRightInd w:val="0"/>
              <w:spacing w:line="360" w:lineRule="auto"/>
              <w:ind w:firstLine="480" w:firstLineChars="200"/>
              <w:jc w:val="left"/>
              <w:rPr>
                <w:rFonts w:ascii="Times New Roman" w:hAnsi="Times New Roman" w:eastAsia="宋体" w:cs="Times New Roman"/>
                <w:b/>
                <w:bCs/>
                <w:kern w:val="0"/>
                <w:szCs w:val="21"/>
              </w:rPr>
            </w:pPr>
            <w:r>
              <w:rPr>
                <w:rFonts w:ascii="Times New Roman" w:hAnsi="Times New Roman" w:cs="Times New Roman"/>
                <w:sz w:val="24"/>
                <w:szCs w:val="24"/>
              </w:rPr>
              <w:t>根据评价范围内环境保护目标分布情况及区域环境状况，各个监测点布设位置见表3-</w:t>
            </w:r>
            <w:r>
              <w:rPr>
                <w:rFonts w:hint="eastAsia" w:ascii="Times New Roman" w:hAnsi="Times New Roman" w:cs="Times New Roman"/>
                <w:sz w:val="24"/>
                <w:szCs w:val="24"/>
              </w:rPr>
              <w:t>6</w:t>
            </w:r>
            <w:r>
              <w:rPr>
                <w:rFonts w:ascii="Times New Roman" w:hAnsi="Times New Roman" w:cs="Times New Roman"/>
                <w:sz w:val="24"/>
                <w:szCs w:val="24"/>
              </w:rPr>
              <w:t>。</w:t>
            </w:r>
          </w:p>
          <w:p>
            <w:pPr>
              <w:pStyle w:val="45"/>
              <w:adjustRightInd w:val="0"/>
              <w:snapToGrid w:val="0"/>
              <w:ind w:firstLine="0" w:firstLineChars="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表3-</w:t>
            </w:r>
            <w:r>
              <w:rPr>
                <w:rFonts w:hint="eastAsia" w:ascii="Times New Roman" w:hAnsi="Times New Roman" w:eastAsia="宋体" w:cs="Times New Roman"/>
                <w:b/>
                <w:bCs/>
                <w:kern w:val="0"/>
                <w:szCs w:val="21"/>
              </w:rPr>
              <w:t>6</w:t>
            </w:r>
            <w:r>
              <w:rPr>
                <w:rFonts w:ascii="Times New Roman" w:hAnsi="Times New Roman" w:eastAsia="宋体" w:cs="Times New Roman"/>
                <w:b/>
                <w:bCs/>
                <w:kern w:val="0"/>
                <w:szCs w:val="21"/>
              </w:rPr>
              <w:t xml:space="preserve">  噪声监测点位布设一览表</w:t>
            </w:r>
          </w:p>
          <w:tbl>
            <w:tblPr>
              <w:tblStyle w:val="27"/>
              <w:tblW w:w="929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52"/>
              <w:gridCol w:w="6029"/>
              <w:gridCol w:w="211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31" w:hRule="atLeast"/>
                <w:jc w:val="center"/>
              </w:trPr>
              <w:tc>
                <w:tcPr>
                  <w:tcW w:w="1152" w:type="dxa"/>
                  <w:vAlign w:val="center"/>
                </w:tcPr>
                <w:p>
                  <w:pPr>
                    <w:adjustRightInd w:val="0"/>
                    <w:snapToGrid w:val="0"/>
                    <w:jc w:val="center"/>
                    <w:rPr>
                      <w:rFonts w:ascii="Times New Roman" w:hAnsi="Times New Roman" w:eastAsia="宋体" w:cs="Times New Roman"/>
                      <w:b/>
                      <w:szCs w:val="21"/>
                    </w:rPr>
                  </w:pPr>
                  <w:r>
                    <w:rPr>
                      <w:rFonts w:hint="eastAsia" w:ascii="Times New Roman" w:hAnsi="Times New Roman" w:eastAsia="宋体" w:cs="Times New Roman"/>
                      <w:b/>
                      <w:szCs w:val="21"/>
                    </w:rPr>
                    <w:t>位置名称</w:t>
                  </w:r>
                </w:p>
              </w:tc>
              <w:tc>
                <w:tcPr>
                  <w:tcW w:w="6029" w:type="dxa"/>
                  <w:tcBorders>
                    <w:right w:val="single" w:color="auto" w:sz="4" w:space="0"/>
                  </w:tcBorders>
                  <w:vAlign w:val="center"/>
                </w:tcPr>
                <w:p>
                  <w:pPr>
                    <w:adjustRightInd w:val="0"/>
                    <w:snapToGrid w:val="0"/>
                    <w:ind w:firstLine="562"/>
                    <w:jc w:val="center"/>
                    <w:rPr>
                      <w:rFonts w:ascii="Times New Roman" w:hAnsi="Times New Roman" w:cs="Times New Roman"/>
                      <w:b/>
                      <w:szCs w:val="21"/>
                    </w:rPr>
                  </w:pPr>
                  <w:r>
                    <w:rPr>
                      <w:rFonts w:ascii="Times New Roman" w:hAnsi="Times New Roman" w:cs="Times New Roman"/>
                      <w:b/>
                      <w:szCs w:val="21"/>
                    </w:rPr>
                    <w:t>噪声监测点位置</w:t>
                  </w:r>
                </w:p>
              </w:tc>
              <w:tc>
                <w:tcPr>
                  <w:tcW w:w="2117" w:type="dxa"/>
                  <w:tcBorders>
                    <w:lef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b/>
                      <w:bCs/>
                      <w:szCs w:val="21"/>
                    </w:rPr>
                    <w:t>执行标准及监测频次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152" w:type="dxa"/>
                  <w:tcBorders>
                    <w:bottom w:val="single" w:color="auto" w:sz="4" w:space="0"/>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民宅</w:t>
                  </w:r>
                </w:p>
              </w:tc>
              <w:tc>
                <w:tcPr>
                  <w:tcW w:w="6029" w:type="dxa"/>
                  <w:tcBorders>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hint="default" w:ascii="宋体" w:hAnsi="宋体" w:eastAsia="宋体" w:cs="宋体"/>
                      <w:sz w:val="21"/>
                      <w:szCs w:val="21"/>
                    </w:rPr>
                    <w:t>曹家沟水库灌区附近居民点</w:t>
                  </w:r>
                </w:p>
              </w:tc>
              <w:tc>
                <w:tcPr>
                  <w:tcW w:w="2117" w:type="dxa"/>
                  <w:vMerge w:val="restart"/>
                  <w:tcBorders>
                    <w:lef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cs="Times New Roman"/>
                      <w:szCs w:val="21"/>
                    </w:rPr>
                    <w:t>《声环境质量标准》（GB3096-2008）中2类标准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1152" w:type="dxa"/>
                  <w:tcBorders>
                    <w:top w:val="single" w:color="auto" w:sz="4" w:space="0"/>
                    <w:bottom w:val="single" w:color="auto" w:sz="4" w:space="0"/>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民宅</w:t>
                  </w:r>
                </w:p>
              </w:tc>
              <w:tc>
                <w:tcPr>
                  <w:tcW w:w="6029" w:type="dxa"/>
                  <w:tcBorders>
                    <w:top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hint="default" w:ascii="宋体" w:hAnsi="宋体" w:eastAsia="宋体" w:cs="宋体"/>
                      <w:sz w:val="21"/>
                      <w:szCs w:val="21"/>
                    </w:rPr>
                    <w:t>阴洞岩水库灌区附近居民点</w:t>
                  </w:r>
                </w:p>
              </w:tc>
              <w:tc>
                <w:tcPr>
                  <w:tcW w:w="2117" w:type="dxa"/>
                  <w:vMerge w:val="continue"/>
                  <w:tcBorders>
                    <w:left w:val="single" w:color="auto" w:sz="4" w:space="0"/>
                  </w:tcBorders>
                  <w:vAlign w:val="center"/>
                </w:tcPr>
                <w:p>
                  <w:pPr>
                    <w:adjustRightInd w:val="0"/>
                    <w:snapToGrid w:val="0"/>
                    <w:ind w:firstLine="560"/>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1152" w:type="dxa"/>
                  <w:tcBorders>
                    <w:top w:val="single" w:color="auto" w:sz="4" w:space="0"/>
                    <w:bottom w:val="single" w:color="auto" w:sz="4" w:space="0"/>
                  </w:tcBorders>
                  <w:vAlign w:val="center"/>
                </w:tcPr>
                <w:p>
                  <w:pPr>
                    <w:adjustRightInd w:val="0"/>
                    <w:snapToGrid w:val="0"/>
                    <w:jc w:val="center"/>
                    <w:rPr>
                      <w:rFonts w:ascii="Times New Roman" w:hAnsi="Times New Roman" w:cs="Times New Roman"/>
                      <w:szCs w:val="21"/>
                    </w:rPr>
                  </w:pPr>
                  <w:r>
                    <w:rPr>
                      <w:rFonts w:hint="eastAsia" w:ascii="Times New Roman" w:hAnsi="Times New Roman" w:eastAsia="宋体" w:cs="Times New Roman"/>
                      <w:szCs w:val="21"/>
                    </w:rPr>
                    <w:t>民宅</w:t>
                  </w:r>
                </w:p>
              </w:tc>
              <w:tc>
                <w:tcPr>
                  <w:tcW w:w="6029" w:type="dxa"/>
                  <w:tcBorders>
                    <w:top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hint="default" w:ascii="宋体" w:hAnsi="宋体" w:eastAsia="宋体" w:cs="宋体"/>
                      <w:sz w:val="21"/>
                      <w:szCs w:val="21"/>
                    </w:rPr>
                    <w:t>刘家坪水库灌区附近居民点</w:t>
                  </w:r>
                </w:p>
              </w:tc>
              <w:tc>
                <w:tcPr>
                  <w:tcW w:w="2117" w:type="dxa"/>
                  <w:vMerge w:val="continue"/>
                  <w:tcBorders>
                    <w:left w:val="single" w:color="auto" w:sz="4" w:space="0"/>
                  </w:tcBorders>
                  <w:vAlign w:val="center"/>
                </w:tcPr>
                <w:p>
                  <w:pPr>
                    <w:adjustRightInd w:val="0"/>
                    <w:snapToGrid w:val="0"/>
                    <w:ind w:firstLine="560"/>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1152" w:type="dxa"/>
                  <w:tcBorders>
                    <w:top w:val="single" w:color="auto" w:sz="4" w:space="0"/>
                    <w:bottom w:val="single" w:color="auto" w:sz="4" w:space="0"/>
                  </w:tcBorders>
                  <w:vAlign w:val="center"/>
                </w:tcPr>
                <w:p>
                  <w:pPr>
                    <w:adjustRightInd w:val="0"/>
                    <w:snapToGrid w:val="0"/>
                    <w:jc w:val="center"/>
                    <w:rPr>
                      <w:rFonts w:ascii="Times New Roman" w:hAnsi="Times New Roman" w:cs="Times New Roman"/>
                      <w:szCs w:val="21"/>
                    </w:rPr>
                  </w:pPr>
                  <w:r>
                    <w:rPr>
                      <w:rFonts w:hint="eastAsia" w:ascii="Times New Roman" w:hAnsi="Times New Roman" w:eastAsia="宋体" w:cs="Times New Roman"/>
                      <w:szCs w:val="21"/>
                    </w:rPr>
                    <w:t>民宅</w:t>
                  </w:r>
                </w:p>
              </w:tc>
              <w:tc>
                <w:tcPr>
                  <w:tcW w:w="6029" w:type="dxa"/>
                  <w:tcBorders>
                    <w:top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hint="default" w:ascii="宋体" w:hAnsi="宋体" w:eastAsia="宋体" w:cs="宋体"/>
                      <w:sz w:val="21"/>
                      <w:szCs w:val="21"/>
                    </w:rPr>
                    <w:t>后头湾水库灌区附近居民点</w:t>
                  </w:r>
                </w:p>
              </w:tc>
              <w:tc>
                <w:tcPr>
                  <w:tcW w:w="2117" w:type="dxa"/>
                  <w:vMerge w:val="continue"/>
                  <w:tcBorders>
                    <w:left w:val="single" w:color="auto" w:sz="4" w:space="0"/>
                  </w:tcBorders>
                  <w:vAlign w:val="center"/>
                </w:tcPr>
                <w:p>
                  <w:pPr>
                    <w:adjustRightInd w:val="0"/>
                    <w:snapToGrid w:val="0"/>
                    <w:ind w:firstLine="560"/>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1152" w:type="dxa"/>
                  <w:tcBorders>
                    <w:top w:val="single" w:color="auto" w:sz="4" w:space="0"/>
                    <w:bottom w:val="single" w:color="auto" w:sz="4" w:space="0"/>
                  </w:tcBorders>
                  <w:vAlign w:val="center"/>
                </w:tcPr>
                <w:p>
                  <w:pPr>
                    <w:adjustRightInd w:val="0"/>
                    <w:snapToGrid w:val="0"/>
                    <w:jc w:val="center"/>
                    <w:rPr>
                      <w:rFonts w:ascii="Times New Roman" w:hAnsi="Times New Roman" w:cs="Times New Roman"/>
                      <w:szCs w:val="21"/>
                    </w:rPr>
                  </w:pPr>
                  <w:r>
                    <w:rPr>
                      <w:rFonts w:hint="eastAsia" w:ascii="Times New Roman" w:hAnsi="Times New Roman" w:eastAsia="宋体" w:cs="Times New Roman"/>
                      <w:szCs w:val="21"/>
                    </w:rPr>
                    <w:t>民宅</w:t>
                  </w:r>
                </w:p>
              </w:tc>
              <w:tc>
                <w:tcPr>
                  <w:tcW w:w="6029" w:type="dxa"/>
                  <w:tcBorders>
                    <w:top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hint="default" w:ascii="宋体" w:hAnsi="宋体" w:eastAsia="宋体" w:cs="宋体"/>
                      <w:sz w:val="21"/>
                      <w:szCs w:val="21"/>
                    </w:rPr>
                    <w:t>老寨沟水库灌区附近居民点</w:t>
                  </w:r>
                </w:p>
              </w:tc>
              <w:tc>
                <w:tcPr>
                  <w:tcW w:w="2117" w:type="dxa"/>
                  <w:vMerge w:val="continue"/>
                  <w:tcBorders>
                    <w:left w:val="single" w:color="auto" w:sz="4" w:space="0"/>
                  </w:tcBorders>
                  <w:vAlign w:val="center"/>
                </w:tcPr>
                <w:p>
                  <w:pPr>
                    <w:adjustRightInd w:val="0"/>
                    <w:snapToGrid w:val="0"/>
                    <w:ind w:firstLine="560"/>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1152" w:type="dxa"/>
                  <w:tcBorders>
                    <w:top w:val="single" w:color="auto" w:sz="4" w:space="0"/>
                    <w:bottom w:val="single" w:color="auto" w:sz="4" w:space="0"/>
                  </w:tcBorders>
                  <w:vAlign w:val="center"/>
                </w:tcPr>
                <w:p>
                  <w:pPr>
                    <w:adjustRightInd w:val="0"/>
                    <w:snapToGrid w:val="0"/>
                    <w:jc w:val="center"/>
                    <w:rPr>
                      <w:rFonts w:ascii="Times New Roman" w:hAnsi="Times New Roman" w:cs="Times New Roman"/>
                      <w:szCs w:val="21"/>
                    </w:rPr>
                  </w:pPr>
                  <w:r>
                    <w:rPr>
                      <w:rFonts w:hint="eastAsia" w:ascii="Times New Roman" w:hAnsi="Times New Roman" w:eastAsia="宋体" w:cs="Times New Roman"/>
                      <w:szCs w:val="21"/>
                    </w:rPr>
                    <w:t>民宅</w:t>
                  </w:r>
                </w:p>
              </w:tc>
              <w:tc>
                <w:tcPr>
                  <w:tcW w:w="6029" w:type="dxa"/>
                  <w:tcBorders>
                    <w:top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hint="default" w:ascii="宋体" w:hAnsi="宋体" w:eastAsia="宋体" w:cs="宋体"/>
                      <w:sz w:val="21"/>
                      <w:szCs w:val="21"/>
                    </w:rPr>
                    <w:t>观音岩水库灌区附近居民点</w:t>
                  </w:r>
                </w:p>
              </w:tc>
              <w:tc>
                <w:tcPr>
                  <w:tcW w:w="2117" w:type="dxa"/>
                  <w:vMerge w:val="continue"/>
                  <w:tcBorders>
                    <w:left w:val="single" w:color="auto" w:sz="4" w:space="0"/>
                  </w:tcBorders>
                  <w:vAlign w:val="center"/>
                </w:tcPr>
                <w:p>
                  <w:pPr>
                    <w:adjustRightInd w:val="0"/>
                    <w:snapToGrid w:val="0"/>
                    <w:ind w:firstLine="560"/>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1152" w:type="dxa"/>
                  <w:tcBorders>
                    <w:top w:val="single" w:color="auto" w:sz="4" w:space="0"/>
                    <w:bottom w:val="single" w:color="auto" w:sz="4" w:space="0"/>
                  </w:tcBorders>
                  <w:vAlign w:val="center"/>
                </w:tcPr>
                <w:p>
                  <w:pPr>
                    <w:adjustRightInd w:val="0"/>
                    <w:snapToGrid w:val="0"/>
                    <w:jc w:val="center"/>
                    <w:rPr>
                      <w:rFonts w:ascii="Times New Roman" w:hAnsi="Times New Roman" w:cs="Times New Roman"/>
                      <w:szCs w:val="21"/>
                    </w:rPr>
                  </w:pPr>
                  <w:r>
                    <w:rPr>
                      <w:rFonts w:hint="eastAsia" w:ascii="Times New Roman" w:hAnsi="Times New Roman" w:eastAsia="宋体" w:cs="Times New Roman"/>
                      <w:szCs w:val="21"/>
                    </w:rPr>
                    <w:t>民宅</w:t>
                  </w:r>
                </w:p>
              </w:tc>
              <w:tc>
                <w:tcPr>
                  <w:tcW w:w="6029" w:type="dxa"/>
                  <w:tcBorders>
                    <w:top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hint="default" w:ascii="宋体" w:hAnsi="宋体" w:eastAsia="宋体" w:cs="宋体"/>
                      <w:sz w:val="21"/>
                      <w:szCs w:val="21"/>
                    </w:rPr>
                    <w:t>小沟河水库灌区附近居民点</w:t>
                  </w:r>
                </w:p>
              </w:tc>
              <w:tc>
                <w:tcPr>
                  <w:tcW w:w="2117" w:type="dxa"/>
                  <w:vMerge w:val="continue"/>
                  <w:tcBorders>
                    <w:left w:val="single" w:color="auto" w:sz="4" w:space="0"/>
                  </w:tcBorders>
                  <w:vAlign w:val="center"/>
                </w:tcPr>
                <w:p>
                  <w:pPr>
                    <w:adjustRightInd w:val="0"/>
                    <w:snapToGrid w:val="0"/>
                    <w:ind w:firstLine="560"/>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1152" w:type="dxa"/>
                  <w:tcBorders>
                    <w:top w:val="single" w:color="auto" w:sz="4" w:space="0"/>
                    <w:bottom w:val="single" w:color="auto" w:sz="4" w:space="0"/>
                  </w:tcBorders>
                  <w:vAlign w:val="center"/>
                </w:tcPr>
                <w:p>
                  <w:pPr>
                    <w:adjustRightInd w:val="0"/>
                    <w:snapToGrid w:val="0"/>
                    <w:jc w:val="center"/>
                    <w:rPr>
                      <w:rFonts w:ascii="Times New Roman" w:hAnsi="Times New Roman" w:cs="Times New Roman"/>
                      <w:szCs w:val="21"/>
                    </w:rPr>
                  </w:pPr>
                  <w:r>
                    <w:rPr>
                      <w:rFonts w:hint="eastAsia" w:ascii="Times New Roman" w:hAnsi="Times New Roman" w:eastAsia="宋体" w:cs="Times New Roman"/>
                      <w:szCs w:val="21"/>
                    </w:rPr>
                    <w:t>民宅</w:t>
                  </w:r>
                </w:p>
              </w:tc>
              <w:tc>
                <w:tcPr>
                  <w:tcW w:w="6029" w:type="dxa"/>
                  <w:tcBorders>
                    <w:top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hint="default" w:ascii="宋体" w:hAnsi="宋体" w:eastAsia="宋体" w:cs="宋体"/>
                      <w:sz w:val="21"/>
                      <w:szCs w:val="21"/>
                    </w:rPr>
                    <w:t>漆树沟水库灌区附近居民点</w:t>
                  </w:r>
                </w:p>
              </w:tc>
              <w:tc>
                <w:tcPr>
                  <w:tcW w:w="2117" w:type="dxa"/>
                  <w:vMerge w:val="continue"/>
                  <w:tcBorders>
                    <w:left w:val="single" w:color="auto" w:sz="4" w:space="0"/>
                  </w:tcBorders>
                  <w:vAlign w:val="center"/>
                </w:tcPr>
                <w:p>
                  <w:pPr>
                    <w:adjustRightInd w:val="0"/>
                    <w:snapToGrid w:val="0"/>
                    <w:ind w:firstLine="560"/>
                    <w:jc w:val="center"/>
                    <w:rPr>
                      <w:rFonts w:ascii="Times New Roman" w:hAnsi="Times New Roman" w:cs="Times New Roman"/>
                      <w:szCs w:val="21"/>
                    </w:rPr>
                  </w:pPr>
                </w:p>
              </w:tc>
            </w:tr>
          </w:tbl>
          <w:p>
            <w:pPr>
              <w:pStyle w:val="71"/>
            </w:pPr>
          </w:p>
          <w:p>
            <w:pPr>
              <w:tabs>
                <w:tab w:val="left" w:pos="5448"/>
              </w:tabs>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（2）监测时间、频次及方法</w:t>
            </w:r>
          </w:p>
          <w:p>
            <w:pPr>
              <w:tabs>
                <w:tab w:val="left" w:pos="5448"/>
              </w:tabs>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严格按技术导则、声环境质量标准等相关技术规范要求进行实测。</w:t>
            </w:r>
          </w:p>
          <w:p>
            <w:pPr>
              <w:tabs>
                <w:tab w:val="left" w:pos="5448"/>
              </w:tabs>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监测内容：代表点位的昼间和夜间连续等效A声级。</w:t>
            </w:r>
          </w:p>
          <w:p>
            <w:pPr>
              <w:tabs>
                <w:tab w:val="left" w:pos="5448"/>
              </w:tabs>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监测时间及频次：2天，昼间等效连续A声级、夜间等效连续A声级。</w:t>
            </w:r>
          </w:p>
          <w:p>
            <w:pPr>
              <w:tabs>
                <w:tab w:val="left" w:pos="5448"/>
              </w:tabs>
              <w:spacing w:line="360" w:lineRule="auto"/>
              <w:ind w:firstLine="480" w:firstLineChars="200"/>
              <w:rPr>
                <w:rFonts w:ascii="Times New Roman" w:hAnsi="Times New Roman" w:eastAsia="宋体" w:cs="Times New Roman"/>
                <w:b/>
                <w:bCs/>
                <w:kern w:val="0"/>
                <w:szCs w:val="21"/>
              </w:rPr>
            </w:pPr>
            <w:r>
              <w:rPr>
                <w:rFonts w:ascii="Times New Roman" w:hAnsi="Times New Roman" w:cs="Times New Roman"/>
                <w:bCs/>
                <w:sz w:val="24"/>
                <w:szCs w:val="24"/>
              </w:rPr>
              <w:t>（3）监测结果</w:t>
            </w:r>
          </w:p>
          <w:p>
            <w:pPr>
              <w:pStyle w:val="45"/>
              <w:adjustRightInd w:val="0"/>
              <w:snapToGrid w:val="0"/>
              <w:ind w:firstLine="0" w:firstLineChars="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表3-</w:t>
            </w:r>
            <w:r>
              <w:rPr>
                <w:rFonts w:hint="eastAsia" w:ascii="Times New Roman" w:hAnsi="Times New Roman" w:eastAsia="宋体" w:cs="Times New Roman"/>
                <w:b/>
                <w:bCs/>
                <w:kern w:val="0"/>
                <w:szCs w:val="21"/>
              </w:rPr>
              <w:t>7</w:t>
            </w:r>
            <w:r>
              <w:rPr>
                <w:rFonts w:ascii="Times New Roman" w:hAnsi="Times New Roman" w:eastAsia="宋体" w:cs="Times New Roman"/>
                <w:b/>
                <w:bCs/>
                <w:kern w:val="0"/>
                <w:szCs w:val="21"/>
              </w:rPr>
              <w:t xml:space="preserve">   噪声监测及评价结果表   单位：dB（A）</w:t>
            </w:r>
          </w:p>
          <w:tbl>
            <w:tblPr>
              <w:tblStyle w:val="26"/>
              <w:tblW w:w="878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64"/>
              <w:gridCol w:w="1281"/>
              <w:gridCol w:w="997"/>
              <w:gridCol w:w="1281"/>
              <w:gridCol w:w="11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vMerge w:val="restart"/>
                  <w:tcBorders>
                    <w:tl2br w:val="single" w:color="auto" w:sz="4" w:space="0"/>
                  </w:tcBorders>
                  <w:noWrap w:val="0"/>
                  <w:vAlign w:val="center"/>
                </w:tcPr>
                <w:p>
                  <w:pPr>
                    <w:spacing w:line="320" w:lineRule="exact"/>
                    <w:jc w:val="right"/>
                    <w:rPr>
                      <w:rFonts w:hint="default" w:ascii="Times New Roman" w:hAnsi="Times New Roman" w:eastAsia="宋体" w:cs="Times New Roman"/>
                      <w:bCs/>
                      <w:szCs w:val="21"/>
                    </w:rPr>
                  </w:pPr>
                  <w:r>
                    <w:rPr>
                      <w:rFonts w:hint="default" w:ascii="Times New Roman" w:hAnsi="Times New Roman" w:eastAsia="宋体" w:cs="Times New Roman"/>
                      <w:bCs/>
                      <w:szCs w:val="21"/>
                    </w:rPr>
                    <w:t>检测日期</w:t>
                  </w:r>
                </w:p>
                <w:p>
                  <w:pPr>
                    <w:spacing w:line="320" w:lineRule="exact"/>
                    <w:jc w:val="left"/>
                    <w:rPr>
                      <w:rFonts w:hint="default" w:ascii="Times New Roman" w:hAnsi="Times New Roman" w:eastAsia="宋体" w:cs="Times New Roman"/>
                      <w:bCs/>
                      <w:szCs w:val="21"/>
                    </w:rPr>
                  </w:pPr>
                  <w:r>
                    <w:rPr>
                      <w:rFonts w:hint="default" w:ascii="Times New Roman" w:hAnsi="Times New Roman" w:eastAsia="宋体" w:cs="Times New Roman"/>
                      <w:bCs/>
                      <w:szCs w:val="21"/>
                    </w:rPr>
                    <w:t>检测点位</w:t>
                  </w:r>
                </w:p>
              </w:tc>
              <w:tc>
                <w:tcPr>
                  <w:tcW w:w="4723" w:type="dxa"/>
                  <w:gridSpan w:val="4"/>
                  <w:noWrap w:val="0"/>
                  <w:vAlign w:val="center"/>
                </w:tcPr>
                <w:p>
                  <w:pPr>
                    <w:spacing w:line="320" w:lineRule="exact"/>
                    <w:jc w:val="center"/>
                    <w:rPr>
                      <w:rFonts w:hint="default" w:ascii="Times New Roman" w:hAnsi="Times New Roman" w:eastAsia="宋体" w:cs="Times New Roman"/>
                      <w:bCs/>
                      <w:szCs w:val="21"/>
                      <w:lang w:eastAsia="zh-CN"/>
                    </w:rPr>
                  </w:pPr>
                  <w:r>
                    <w:rPr>
                      <w:rFonts w:hint="default" w:ascii="Times New Roman" w:hAnsi="Times New Roman" w:eastAsia="宋体" w:cs="Times New Roman"/>
                      <w:bCs/>
                      <w:szCs w:val="21"/>
                      <w:lang w:val="en-US" w:eastAsia="zh-CN"/>
                    </w:rPr>
                    <w:t>2024.3.12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vMerge w:val="continue"/>
                  <w:tcBorders>
                    <w:tl2br w:val="single" w:color="auto" w:sz="4" w:space="0"/>
                  </w:tcBorders>
                  <w:noWrap w:val="0"/>
                  <w:vAlign w:val="center"/>
                </w:tcPr>
                <w:p>
                  <w:pPr>
                    <w:spacing w:line="320" w:lineRule="exact"/>
                    <w:jc w:val="center"/>
                    <w:rPr>
                      <w:rFonts w:hint="default" w:ascii="Times New Roman" w:hAnsi="Times New Roman" w:eastAsia="宋体" w:cs="Times New Roman"/>
                      <w:bCs/>
                      <w:szCs w:val="21"/>
                    </w:rPr>
                  </w:pPr>
                </w:p>
              </w:tc>
              <w:tc>
                <w:tcPr>
                  <w:tcW w:w="1281" w:type="dxa"/>
                  <w:noWrap w:val="0"/>
                  <w:tcMar>
                    <w:left w:w="0" w:type="dxa"/>
                    <w:right w:w="0" w:type="dxa"/>
                  </w:tcMar>
                  <w:vAlign w:val="center"/>
                </w:tcPr>
                <w:p>
                  <w:pPr>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检测开始时间</w:t>
                  </w:r>
                </w:p>
              </w:tc>
              <w:tc>
                <w:tcPr>
                  <w:tcW w:w="997" w:type="dxa"/>
                  <w:tcBorders>
                    <w:right w:val="single" w:color="auto" w:sz="4" w:space="0"/>
                  </w:tcBorders>
                  <w:noWrap w:val="0"/>
                  <w:tcMar>
                    <w:left w:w="0" w:type="dxa"/>
                    <w:right w:w="0" w:type="dxa"/>
                  </w:tcMar>
                  <w:vAlign w:val="center"/>
                </w:tcPr>
                <w:p>
                  <w:pPr>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昼间</w:t>
                  </w:r>
                </w:p>
              </w:tc>
              <w:tc>
                <w:tcPr>
                  <w:tcW w:w="1281" w:type="dxa"/>
                  <w:tcBorders>
                    <w:left w:val="single" w:color="auto" w:sz="4" w:space="0"/>
                  </w:tcBorders>
                  <w:noWrap w:val="0"/>
                  <w:tcMar>
                    <w:left w:w="0" w:type="dxa"/>
                    <w:right w:w="0" w:type="dxa"/>
                  </w:tcMar>
                  <w:vAlign w:val="center"/>
                </w:tcPr>
                <w:p>
                  <w:pPr>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检测开始时间</w:t>
                  </w:r>
                </w:p>
              </w:tc>
              <w:tc>
                <w:tcPr>
                  <w:tcW w:w="1164" w:type="dxa"/>
                  <w:noWrap w:val="0"/>
                  <w:tcMar>
                    <w:left w:w="0" w:type="dxa"/>
                    <w:right w:w="0" w:type="dxa"/>
                  </w:tcMar>
                  <w:vAlign w:val="center"/>
                </w:tcPr>
                <w:p>
                  <w:pPr>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tcMar>
                    <w:left w:w="0" w:type="dxa"/>
                    <w:right w:w="0" w:type="dxa"/>
                  </w:tcMar>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rPr>
                    <w:t>曹家沟水库灌区附近居民点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11:00</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45</w:t>
                  </w:r>
                </w:p>
              </w:tc>
              <w:tc>
                <w:tcPr>
                  <w:tcW w:w="1281" w:type="dxa"/>
                  <w:noWrap w:val="0"/>
                  <w:vAlign w:val="center"/>
                </w:tcPr>
                <w:p>
                  <w:pPr>
                    <w:spacing w:line="32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23:13</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rPr>
                    <w:t>阴洞岩水库灌区附近居民点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09:48</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46</w:t>
                  </w:r>
                </w:p>
              </w:tc>
              <w:tc>
                <w:tcPr>
                  <w:tcW w:w="1281" w:type="dxa"/>
                  <w:noWrap w:val="0"/>
                  <w:vAlign w:val="center"/>
                </w:tcPr>
                <w:p>
                  <w:pPr>
                    <w:spacing w:line="32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22:12</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tcBorders>
                    <w:bottom w:val="single" w:color="000000" w:sz="4" w:space="0"/>
                  </w:tcBorders>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刘家坪水库灌区附近居民点</w:t>
                  </w:r>
                </w:p>
              </w:tc>
              <w:tc>
                <w:tcPr>
                  <w:tcW w:w="1281" w:type="dxa"/>
                  <w:noWrap w:val="0"/>
                  <w:vAlign w:val="center"/>
                </w:tcPr>
                <w:p>
                  <w:pPr>
                    <w:spacing w:line="320" w:lineRule="exact"/>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09:24</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43</w:t>
                  </w:r>
                </w:p>
              </w:tc>
              <w:tc>
                <w:tcPr>
                  <w:tcW w:w="1281" w:type="dxa"/>
                  <w:noWrap w:val="0"/>
                  <w:vAlign w:val="center"/>
                </w:tcPr>
                <w:p>
                  <w:pPr>
                    <w:spacing w:line="320" w:lineRule="exact"/>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22:00</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tcBorders>
                    <w:bottom w:val="single" w:color="000000" w:sz="4" w:space="0"/>
                  </w:tcBorders>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后头湾水库灌区附近居民点</w:t>
                  </w:r>
                </w:p>
              </w:tc>
              <w:tc>
                <w:tcPr>
                  <w:tcW w:w="1281" w:type="dxa"/>
                  <w:noWrap w:val="0"/>
                  <w:vAlign w:val="center"/>
                </w:tcPr>
                <w:p>
                  <w:pPr>
                    <w:spacing w:line="320" w:lineRule="exact"/>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11:50</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46</w:t>
                  </w:r>
                </w:p>
              </w:tc>
              <w:tc>
                <w:tcPr>
                  <w:tcW w:w="1281" w:type="dxa"/>
                  <w:noWrap w:val="0"/>
                  <w:vAlign w:val="center"/>
                </w:tcPr>
                <w:p>
                  <w:pPr>
                    <w:spacing w:line="320" w:lineRule="exact"/>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23:39</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老寨沟水库灌区附近居民点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11:19</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44</w:t>
                  </w:r>
                </w:p>
              </w:tc>
              <w:tc>
                <w:tcPr>
                  <w:tcW w:w="1281" w:type="dxa"/>
                  <w:noWrap w:val="0"/>
                  <w:vAlign w:val="center"/>
                </w:tcPr>
                <w:p>
                  <w:pPr>
                    <w:spacing w:line="32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23:10</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观音岩水库灌区附近居民点</w:t>
                  </w:r>
                </w:p>
              </w:tc>
              <w:tc>
                <w:tcPr>
                  <w:tcW w:w="1281"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11:29</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47</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22:00</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小沟河水库灌区附近居民点</w:t>
                  </w:r>
                </w:p>
              </w:tc>
              <w:tc>
                <w:tcPr>
                  <w:tcW w:w="1281"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10:07</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52</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22:39</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漆树沟水库灌区附近居民点</w:t>
                  </w:r>
                </w:p>
              </w:tc>
              <w:tc>
                <w:tcPr>
                  <w:tcW w:w="1281"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kern w:val="2"/>
                      <w:sz w:val="21"/>
                      <w:szCs w:val="21"/>
                      <w:lang w:val="en-US" w:eastAsia="zh-CN" w:bidi="ar-SA"/>
                    </w:rPr>
                    <w:t>09:14</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45</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23:17</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vMerge w:val="restart"/>
                  <w:tcBorders>
                    <w:tl2br w:val="single" w:color="auto" w:sz="4" w:space="0"/>
                  </w:tcBorders>
                  <w:noWrap w:val="0"/>
                  <w:vAlign w:val="center"/>
                </w:tcPr>
                <w:p>
                  <w:pPr>
                    <w:spacing w:line="320" w:lineRule="exact"/>
                    <w:jc w:val="right"/>
                    <w:rPr>
                      <w:rFonts w:hint="default" w:ascii="Times New Roman" w:hAnsi="Times New Roman" w:eastAsia="宋体" w:cs="Times New Roman"/>
                      <w:bCs/>
                      <w:szCs w:val="21"/>
                    </w:rPr>
                  </w:pPr>
                  <w:r>
                    <w:rPr>
                      <w:rFonts w:hint="default" w:ascii="Times New Roman" w:hAnsi="Times New Roman" w:eastAsia="宋体" w:cs="Times New Roman"/>
                      <w:bCs/>
                      <w:szCs w:val="21"/>
                    </w:rPr>
                    <w:t>检测日期</w:t>
                  </w:r>
                </w:p>
                <w:p>
                  <w:pPr>
                    <w:spacing w:line="320" w:lineRule="exact"/>
                    <w:jc w:val="left"/>
                    <w:rPr>
                      <w:rFonts w:hint="default" w:ascii="Times New Roman" w:hAnsi="Times New Roman" w:eastAsia="宋体" w:cs="Times New Roman"/>
                      <w:bCs/>
                      <w:szCs w:val="21"/>
                    </w:rPr>
                  </w:pPr>
                  <w:r>
                    <w:rPr>
                      <w:rFonts w:hint="default" w:ascii="Times New Roman" w:hAnsi="Times New Roman" w:eastAsia="宋体" w:cs="Times New Roman"/>
                      <w:bCs/>
                      <w:szCs w:val="21"/>
                    </w:rPr>
                    <w:t>检测点位</w:t>
                  </w:r>
                </w:p>
              </w:tc>
              <w:tc>
                <w:tcPr>
                  <w:tcW w:w="4723" w:type="dxa"/>
                  <w:gridSpan w:val="4"/>
                  <w:noWrap w:val="0"/>
                  <w:vAlign w:val="center"/>
                </w:tcPr>
                <w:p>
                  <w:pPr>
                    <w:spacing w:line="320" w:lineRule="exact"/>
                    <w:jc w:val="center"/>
                    <w:rPr>
                      <w:rFonts w:hint="default" w:ascii="Times New Roman" w:hAnsi="Times New Roman" w:eastAsia="宋体" w:cs="Times New Roman"/>
                      <w:bCs/>
                      <w:szCs w:val="21"/>
                      <w:lang w:eastAsia="zh-CN"/>
                    </w:rPr>
                  </w:pPr>
                  <w:r>
                    <w:rPr>
                      <w:rFonts w:hint="default" w:ascii="Times New Roman" w:hAnsi="Times New Roman" w:eastAsia="宋体" w:cs="Times New Roman"/>
                      <w:bCs/>
                      <w:szCs w:val="21"/>
                      <w:lang w:val="en-US" w:eastAsia="zh-CN"/>
                    </w:rPr>
                    <w:t>2024.3.13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vMerge w:val="continue"/>
                  <w:tcBorders>
                    <w:tl2br w:val="single" w:color="auto" w:sz="4" w:space="0"/>
                  </w:tcBorders>
                  <w:noWrap w:val="0"/>
                  <w:vAlign w:val="center"/>
                </w:tcPr>
                <w:p>
                  <w:pPr>
                    <w:spacing w:line="320" w:lineRule="exact"/>
                    <w:jc w:val="center"/>
                    <w:rPr>
                      <w:rFonts w:hint="default" w:ascii="Times New Roman" w:hAnsi="Times New Roman" w:eastAsia="宋体" w:cs="Times New Roman"/>
                      <w:bCs/>
                      <w:szCs w:val="21"/>
                    </w:rPr>
                  </w:pPr>
                </w:p>
              </w:tc>
              <w:tc>
                <w:tcPr>
                  <w:tcW w:w="1281" w:type="dxa"/>
                  <w:noWrap w:val="0"/>
                  <w:tcMar>
                    <w:left w:w="0" w:type="dxa"/>
                    <w:right w:w="0" w:type="dxa"/>
                  </w:tcMar>
                  <w:vAlign w:val="center"/>
                </w:tcPr>
                <w:p>
                  <w:pPr>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检测开始时间</w:t>
                  </w:r>
                </w:p>
              </w:tc>
              <w:tc>
                <w:tcPr>
                  <w:tcW w:w="997" w:type="dxa"/>
                  <w:tcBorders>
                    <w:right w:val="single" w:color="auto" w:sz="4" w:space="0"/>
                  </w:tcBorders>
                  <w:noWrap w:val="0"/>
                  <w:tcMar>
                    <w:left w:w="0" w:type="dxa"/>
                    <w:right w:w="0" w:type="dxa"/>
                  </w:tcMar>
                  <w:vAlign w:val="center"/>
                </w:tcPr>
                <w:p>
                  <w:pPr>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昼间</w:t>
                  </w:r>
                </w:p>
              </w:tc>
              <w:tc>
                <w:tcPr>
                  <w:tcW w:w="1281" w:type="dxa"/>
                  <w:tcBorders>
                    <w:left w:val="single" w:color="auto" w:sz="4" w:space="0"/>
                  </w:tcBorders>
                  <w:noWrap w:val="0"/>
                  <w:tcMar>
                    <w:left w:w="0" w:type="dxa"/>
                    <w:right w:w="0" w:type="dxa"/>
                  </w:tcMar>
                  <w:vAlign w:val="center"/>
                </w:tcPr>
                <w:p>
                  <w:pPr>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检测开始时间</w:t>
                  </w:r>
                </w:p>
              </w:tc>
              <w:tc>
                <w:tcPr>
                  <w:tcW w:w="1164" w:type="dxa"/>
                  <w:noWrap w:val="0"/>
                  <w:tcMar>
                    <w:left w:w="0" w:type="dxa"/>
                    <w:right w:w="0" w:type="dxa"/>
                  </w:tcMar>
                  <w:vAlign w:val="center"/>
                </w:tcPr>
                <w:p>
                  <w:pPr>
                    <w:spacing w:line="320" w:lineRule="exact"/>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tcMar>
                    <w:left w:w="0" w:type="dxa"/>
                    <w:right w:w="0" w:type="dxa"/>
                  </w:tcMar>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rPr>
                    <w:t>曹家沟水库灌区附近居民点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10:37</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45</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23:03</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rPr>
                    <w:t>阴洞岩水库灌区附近居民点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09:25</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48</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22:01</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tcBorders>
                    <w:bottom w:val="single" w:color="000000" w:sz="4" w:space="0"/>
                  </w:tcBorders>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刘家坪水库灌区附近居民点</w:t>
                  </w:r>
                </w:p>
              </w:tc>
              <w:tc>
                <w:tcPr>
                  <w:tcW w:w="1281" w:type="dxa"/>
                  <w:noWrap w:val="0"/>
                  <w:vAlign w:val="center"/>
                </w:tcPr>
                <w:p>
                  <w:pPr>
                    <w:spacing w:line="320" w:lineRule="exact"/>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12:39</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48</w:t>
                  </w:r>
                </w:p>
              </w:tc>
              <w:tc>
                <w:tcPr>
                  <w:tcW w:w="1281" w:type="dxa"/>
                  <w:noWrap w:val="0"/>
                  <w:vAlign w:val="center"/>
                </w:tcPr>
                <w:p>
                  <w:pPr>
                    <w:spacing w:line="320" w:lineRule="exact"/>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22:00</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tcBorders>
                    <w:bottom w:val="single" w:color="000000" w:sz="4" w:space="0"/>
                  </w:tcBorders>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后头湾水库灌区附近居民点</w:t>
                  </w:r>
                </w:p>
              </w:tc>
              <w:tc>
                <w:tcPr>
                  <w:tcW w:w="1281" w:type="dxa"/>
                  <w:noWrap w:val="0"/>
                  <w:vAlign w:val="center"/>
                </w:tcPr>
                <w:p>
                  <w:pPr>
                    <w:spacing w:line="320" w:lineRule="exact"/>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15</w:t>
                  </w:r>
                  <w:r>
                    <w:rPr>
                      <w:rFonts w:hint="default" w:ascii="Times New Roman" w:hAnsi="Times New Roman" w:eastAsia="宋体" w:cs="Times New Roman"/>
                      <w:bCs/>
                      <w:color w:val="000000"/>
                      <w:szCs w:val="21"/>
                      <w:lang w:val="en-US" w:eastAsia="zh-CN"/>
                    </w:rPr>
                    <w:t>:</w:t>
                  </w:r>
                  <w:r>
                    <w:rPr>
                      <w:rFonts w:hint="default" w:ascii="Times New Roman" w:hAnsi="Times New Roman" w:eastAsia="宋体" w:cs="Times New Roman"/>
                      <w:bCs/>
                      <w:szCs w:val="21"/>
                      <w:lang w:val="en-US" w:eastAsia="zh-CN"/>
                    </w:rPr>
                    <w:t>03</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43</w:t>
                  </w:r>
                </w:p>
              </w:tc>
              <w:tc>
                <w:tcPr>
                  <w:tcW w:w="1281" w:type="dxa"/>
                  <w:noWrap w:val="0"/>
                  <w:vAlign w:val="center"/>
                </w:tcPr>
                <w:p>
                  <w:pPr>
                    <w:spacing w:line="320" w:lineRule="exact"/>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lang w:val="en-US" w:eastAsia="zh-CN"/>
                    </w:rPr>
                    <w:t>23:45</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老寨沟水库灌区附近居民点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14:09</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45</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23:12</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观音岩水库灌区附近居民点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12:10</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48</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22:01</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小沟河水库灌区附近居民点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10:31</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52</w:t>
                  </w:r>
                </w:p>
              </w:tc>
              <w:tc>
                <w:tcPr>
                  <w:tcW w:w="1281" w:type="dxa"/>
                  <w:noWrap w:val="0"/>
                  <w:vAlign w:val="center"/>
                </w:tcPr>
                <w:p>
                  <w:pPr>
                    <w:spacing w:line="320" w:lineRule="exact"/>
                    <w:jc w:val="center"/>
                    <w:rPr>
                      <w:rFonts w:hint="default" w:ascii="Times New Roman" w:hAnsi="Times New Roman" w:eastAsia="宋体" w:cs="Times New Roman"/>
                      <w:bCs/>
                      <w:color w:val="000000"/>
                      <w:szCs w:val="21"/>
                      <w:lang w:val="en-US" w:eastAsia="zh-CN"/>
                    </w:rPr>
                  </w:pPr>
                  <w:r>
                    <w:rPr>
                      <w:rFonts w:hint="default" w:ascii="Times New Roman" w:hAnsi="Times New Roman" w:eastAsia="宋体" w:cs="Times New Roman"/>
                      <w:bCs/>
                      <w:color w:val="000000"/>
                      <w:szCs w:val="21"/>
                      <w:lang w:val="en-US" w:eastAsia="zh-CN"/>
                    </w:rPr>
                    <w:t>22:41</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64" w:type="dxa"/>
                  <w:tcBorders>
                    <w:bottom w:val="single" w:color="000000" w:sz="4" w:space="0"/>
                  </w:tcBorders>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漆树沟水库灌区附近居民点</w:t>
                  </w:r>
                </w:p>
              </w:tc>
              <w:tc>
                <w:tcPr>
                  <w:tcW w:w="1281" w:type="dxa"/>
                  <w:noWrap w:val="0"/>
                  <w:vAlign w:val="center"/>
                </w:tcPr>
                <w:p>
                  <w:pPr>
                    <w:spacing w:line="32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kern w:val="2"/>
                      <w:sz w:val="21"/>
                      <w:szCs w:val="21"/>
                      <w:lang w:val="en-US" w:eastAsia="zh-CN" w:bidi="ar-SA"/>
                    </w:rPr>
                    <w:t>11:07</w:t>
                  </w:r>
                </w:p>
              </w:tc>
              <w:tc>
                <w:tcPr>
                  <w:tcW w:w="997"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 w:val="21"/>
                      <w:szCs w:val="21"/>
                      <w:lang w:val="en-US" w:eastAsia="zh-CN"/>
                    </w:rPr>
                    <w:t>48</w:t>
                  </w:r>
                </w:p>
              </w:tc>
              <w:tc>
                <w:tcPr>
                  <w:tcW w:w="1281" w:type="dxa"/>
                  <w:noWrap w:val="0"/>
                  <w:vAlign w:val="center"/>
                </w:tcPr>
                <w:p>
                  <w:pPr>
                    <w:spacing w:line="320" w:lineRule="exact"/>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kern w:val="2"/>
                      <w:sz w:val="21"/>
                      <w:szCs w:val="21"/>
                      <w:lang w:val="en-US" w:eastAsia="zh-CN" w:bidi="ar-SA"/>
                    </w:rPr>
                    <w:t>23:14</w:t>
                  </w:r>
                </w:p>
              </w:tc>
              <w:tc>
                <w:tcPr>
                  <w:tcW w:w="1164" w:type="dxa"/>
                  <w:noWrap w:val="0"/>
                  <w:vAlign w:val="center"/>
                </w:tcPr>
                <w:p>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bCs/>
                      <w:szCs w:val="21"/>
                      <w:lang w:val="en-US" w:eastAsia="zh-CN"/>
                    </w:rPr>
                    <w:t>36</w:t>
                  </w:r>
                </w:p>
              </w:tc>
            </w:tr>
          </w:tbl>
          <w:p>
            <w:pPr>
              <w:tabs>
                <w:tab w:val="left" w:pos="5448"/>
              </w:tabs>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由监测结果可知，各点位昼夜间噪声值均满足《声环境质量标准》（GB 3096-2008）表1中2类标准限值要求，项目</w:t>
            </w:r>
            <w:r>
              <w:rPr>
                <w:rFonts w:hint="eastAsia" w:ascii="Times New Roman" w:hAnsi="Times New Roman" w:cs="Times New Roman"/>
                <w:sz w:val="24"/>
                <w:szCs w:val="24"/>
                <w:lang w:val="en-US" w:eastAsia="zh-CN"/>
              </w:rPr>
              <w:t>各区域</w:t>
            </w:r>
            <w:r>
              <w:rPr>
                <w:rFonts w:ascii="Times New Roman" w:hAnsi="Times New Roman" w:cs="Times New Roman"/>
                <w:sz w:val="24"/>
                <w:szCs w:val="24"/>
              </w:rPr>
              <w:t>周边声环境质量良好</w:t>
            </w:r>
            <w:r>
              <w:rPr>
                <w:rFonts w:hint="eastAsia" w:ascii="Times New Roman" w:hAnsi="Times New Roman" w:cs="Times New Roman"/>
                <w:sz w:val="24"/>
                <w:szCs w:val="24"/>
              </w:rPr>
              <w:t>。</w:t>
            </w:r>
          </w:p>
          <w:p>
            <w:pPr>
              <w:tabs>
                <w:tab w:val="left" w:pos="5448"/>
              </w:tabs>
              <w:spacing w:line="360" w:lineRule="auto"/>
              <w:ind w:firstLine="482" w:firstLineChars="200"/>
              <w:rPr>
                <w:rFonts w:ascii="Times New Roman" w:hAnsi="Times New Roman" w:eastAsia="黑体" w:cs="Times New Roman"/>
                <w:b/>
                <w:bCs/>
                <w:color w:val="000000" w:themeColor="text1"/>
                <w:sz w:val="24"/>
                <w:szCs w:val="24"/>
                <w14:textFill>
                  <w14:solidFill>
                    <w14:schemeClr w14:val="tx1"/>
                  </w14:solidFill>
                </w14:textFill>
              </w:rPr>
            </w:pPr>
            <w:r>
              <w:rPr>
                <w:rFonts w:hint="eastAsia" w:ascii="Times New Roman" w:hAnsi="Times New Roman" w:eastAsia="黑体" w:cs="Times New Roman"/>
                <w:b/>
                <w:bCs/>
                <w:color w:val="000000" w:themeColor="text1"/>
                <w:sz w:val="24"/>
                <w:szCs w:val="24"/>
                <w14:textFill>
                  <w14:solidFill>
                    <w14:schemeClr w14:val="tx1"/>
                  </w14:solidFill>
                </w14:textFill>
              </w:rPr>
              <w:t>（四）土壤环境调查</w:t>
            </w:r>
          </w:p>
          <w:p>
            <w:pPr>
              <w:tabs>
                <w:tab w:val="left" w:pos="5448"/>
              </w:tabs>
              <w:spacing w:line="360" w:lineRule="auto"/>
              <w:ind w:firstLine="480" w:firstLineChars="200"/>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本次评价选取14个灌区范围内的土壤环境进行取样监测，以了解各灌区内土壤的环境质量现状</w:t>
            </w:r>
            <w:r>
              <w:rPr>
                <w:rFonts w:hint="eastAsia" w:ascii="Times New Roman" w:hAnsi="Times New Roman" w:cs="Times New Roman"/>
                <w:sz w:val="24"/>
                <w:szCs w:val="24"/>
              </w:rPr>
              <w:t>。</w:t>
            </w:r>
          </w:p>
          <w:p>
            <w:pPr>
              <w:tabs>
                <w:tab w:val="left" w:pos="5448"/>
              </w:tabs>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1）监测项目</w:t>
            </w:r>
          </w:p>
          <w:p>
            <w:pPr>
              <w:tabs>
                <w:tab w:val="left" w:pos="5448"/>
              </w:tabs>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pH、阳离子交换量、氧化还原电位、饱和导水率（cm/s）、土壤容重（kg/m</w:t>
            </w:r>
            <w:r>
              <w:rPr>
                <w:rFonts w:hint="eastAsia" w:ascii="Times New Roman" w:hAnsi="Times New Roman" w:cs="Times New Roman"/>
                <w:sz w:val="24"/>
                <w:szCs w:val="24"/>
                <w:vertAlign w:val="superscript"/>
              </w:rPr>
              <w:t>3</w:t>
            </w:r>
            <w:r>
              <w:rPr>
                <w:rFonts w:hint="eastAsia" w:ascii="Times New Roman" w:hAnsi="Times New Roman" w:cs="Times New Roman"/>
                <w:sz w:val="24"/>
                <w:szCs w:val="24"/>
              </w:rPr>
              <w:t>）、孔隙度、含盐量</w:t>
            </w:r>
            <w:r>
              <w:rPr>
                <w:rFonts w:ascii="Times New Roman" w:hAnsi="Times New Roman" w:cs="Times New Roman"/>
                <w:sz w:val="24"/>
                <w:szCs w:val="24"/>
              </w:rPr>
              <w:t>。</w:t>
            </w:r>
          </w:p>
          <w:p>
            <w:pPr>
              <w:tabs>
                <w:tab w:val="left" w:pos="5448"/>
              </w:tabs>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（2）监测点位</w:t>
            </w:r>
          </w:p>
          <w:p>
            <w:pPr>
              <w:tabs>
                <w:tab w:val="left" w:pos="5448"/>
              </w:tabs>
              <w:spacing w:line="360" w:lineRule="auto"/>
              <w:ind w:firstLine="480" w:firstLineChars="200"/>
              <w:rPr>
                <w:rFonts w:hint="eastAsia" w:ascii="Times New Roman" w:hAnsi="Times New Roman" w:cs="Times New Roman"/>
                <w:sz w:val="24"/>
                <w:szCs w:val="24"/>
                <w:lang w:val="en-US" w:eastAsia="zh-CN"/>
              </w:rPr>
            </w:pPr>
            <w:r>
              <w:rPr>
                <w:rFonts w:ascii="Times New Roman" w:hAnsi="Times New Roman" w:cs="Times New Roman"/>
                <w:sz w:val="24"/>
                <w:szCs w:val="24"/>
              </w:rPr>
              <w:t>土壤现状监测布点及监测因子见下表。</w:t>
            </w:r>
          </w:p>
          <w:p>
            <w:pPr>
              <w:pStyle w:val="45"/>
              <w:adjustRightInd w:val="0"/>
              <w:snapToGrid w:val="0"/>
              <w:ind w:firstLine="0" w:firstLineChars="0"/>
              <w:jc w:val="center"/>
              <w:rPr>
                <w:rFonts w:hint="default" w:ascii="Times New Roman" w:hAnsi="Times New Roman" w:eastAsia="宋体" w:cs="Times New Roman"/>
                <w:b/>
                <w:bCs/>
                <w:kern w:val="0"/>
                <w:szCs w:val="21"/>
                <w:lang w:val="en-US" w:eastAsia="zh-CN"/>
              </w:rPr>
            </w:pPr>
            <w:r>
              <w:rPr>
                <w:rFonts w:hint="eastAsia" w:ascii="Times New Roman" w:hAnsi="Times New Roman" w:eastAsia="宋体" w:cs="Times New Roman"/>
                <w:b/>
                <w:bCs/>
                <w:kern w:val="0"/>
                <w:szCs w:val="21"/>
                <w:lang w:val="en-US" w:eastAsia="zh-CN"/>
              </w:rPr>
              <w:t>表3-8  土壤监测点位一览表</w:t>
            </w:r>
          </w:p>
          <w:tbl>
            <w:tblPr>
              <w:tblStyle w:val="92"/>
              <w:tblW w:w="8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5"/>
              <w:gridCol w:w="3383"/>
              <w:gridCol w:w="2401"/>
              <w:gridCol w:w="2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编号</w:t>
                  </w:r>
                </w:p>
              </w:tc>
              <w:tc>
                <w:tcPr>
                  <w:tcW w:w="3383"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监测点位</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类型</w:t>
                  </w:r>
                </w:p>
              </w:tc>
              <w:tc>
                <w:tcPr>
                  <w:tcW w:w="2399"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监测指标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1#</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i w:val="0"/>
                      <w:iCs w:val="0"/>
                      <w:color w:val="000000"/>
                      <w:sz w:val="21"/>
                      <w:szCs w:val="21"/>
                      <w:u w:val="none"/>
                      <w:lang w:eastAsia="zh-CN"/>
                    </w:rPr>
                    <w:t>观音岩水库</w:t>
                  </w:r>
                  <w:r>
                    <w:rPr>
                      <w:rFonts w:hint="eastAsia" w:ascii="宋体" w:hAnsi="宋体" w:eastAsia="宋体" w:cs="宋体"/>
                      <w:i w:val="0"/>
                      <w:iCs w:val="0"/>
                      <w:color w:val="000000"/>
                      <w:kern w:val="0"/>
                      <w:sz w:val="21"/>
                      <w:szCs w:val="21"/>
                      <w:u w:val="none"/>
                      <w:lang w:val="en-US" w:eastAsia="zh-CN" w:bidi="ar"/>
                    </w:rPr>
                    <w:t>灌</w:t>
                  </w:r>
                  <w:r>
                    <w:rPr>
                      <w:rFonts w:hint="eastAsia" w:asciiTheme="minorEastAsia" w:hAnsiTheme="minorEastAsia" w:eastAsiaTheme="minorEastAsia" w:cstheme="minorEastAsia"/>
                      <w:i w:val="0"/>
                      <w:iCs w:val="0"/>
                      <w:color w:val="000000"/>
                      <w:sz w:val="21"/>
                      <w:szCs w:val="21"/>
                      <w:u w:val="none"/>
                      <w:lang w:eastAsia="zh-CN"/>
                    </w:rPr>
                    <w:t>区内南侧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restart"/>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pH、全盐量、阳离子交</w:t>
                  </w:r>
                </w:p>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换量、氧化还原电位、</w:t>
                  </w:r>
                </w:p>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饱和导水率、土壤容重、</w:t>
                  </w:r>
                </w:p>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孔隙度。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2#</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漆树沟水库灌区内中部</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3</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秧田湾水库灌区内北侧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4</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南六水库灌区内西侧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阴洞岩水库灌区内南侧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6</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烂田湾水库灌区内南侧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7</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刘家坪水库灌区内东侧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8</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长征水库灌区内东部</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9</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后头湾水库灌区内中部</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10</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sz w:val="21"/>
                      <w:szCs w:val="21"/>
                    </w:rPr>
                    <w:t>小沟河水库灌区内北侧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11</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i w:val="0"/>
                      <w:iCs w:val="0"/>
                      <w:color w:val="000000"/>
                      <w:sz w:val="21"/>
                      <w:szCs w:val="21"/>
                      <w:u w:val="none"/>
                      <w:lang w:eastAsia="zh-CN"/>
                    </w:rPr>
                    <w:t>曹家沟水库灌区内西侧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12</w:t>
                  </w:r>
                  <w:r>
                    <w:rPr>
                      <w:rFonts w:hint="eastAsia" w:ascii="Times New Roman" w:hAnsi="Times New Roman" w:eastAsia="宋体" w:cs="Times New Roman"/>
                      <w:szCs w:val="21"/>
                    </w:rPr>
                    <w:t>#</w:t>
                  </w:r>
                </w:p>
              </w:tc>
              <w:tc>
                <w:tcPr>
                  <w:tcW w:w="3383" w:type="dxa"/>
                  <w:vAlign w:val="center"/>
                </w:tcPr>
                <w:p>
                  <w:pPr>
                    <w:widowControl/>
                    <w:jc w:val="center"/>
                    <w:rPr>
                      <w:rFonts w:hint="eastAsia" w:ascii="Times New Roman" w:hAnsi="Times New Roman" w:eastAsia="宋体" w:cs="Times New Roman"/>
                      <w:sz w:val="21"/>
                      <w:szCs w:val="21"/>
                    </w:rPr>
                  </w:pPr>
                  <w:r>
                    <w:rPr>
                      <w:rFonts w:hint="eastAsia" w:asciiTheme="minorEastAsia" w:hAnsiTheme="minorEastAsia" w:eastAsiaTheme="minorEastAsia" w:cstheme="minorEastAsia"/>
                      <w:i w:val="0"/>
                      <w:iCs w:val="0"/>
                      <w:color w:val="000000"/>
                      <w:sz w:val="21"/>
                      <w:szCs w:val="21"/>
                      <w:u w:val="none"/>
                      <w:lang w:eastAsia="zh-CN"/>
                    </w:rPr>
                    <w:t>九军坪水库灌区内东侧</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13</w:t>
                  </w:r>
                  <w:r>
                    <w:rPr>
                      <w:rFonts w:hint="eastAsia" w:ascii="Times New Roman" w:hAnsi="Times New Roman" w:eastAsia="宋体" w:cs="Times New Roman"/>
                      <w:szCs w:val="21"/>
                    </w:rPr>
                    <w:t>#</w:t>
                  </w:r>
                </w:p>
              </w:tc>
              <w:tc>
                <w:tcPr>
                  <w:tcW w:w="3383"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heme="minorEastAsia" w:hAnsiTheme="minorEastAsia" w:eastAsiaTheme="minorEastAsia" w:cstheme="minorEastAsia"/>
                      <w:i w:val="0"/>
                      <w:iCs w:val="0"/>
                      <w:color w:val="000000"/>
                      <w:kern w:val="2"/>
                      <w:sz w:val="21"/>
                      <w:szCs w:val="21"/>
                      <w:u w:val="none"/>
                      <w:lang w:val="en-US" w:eastAsia="zh-CN" w:bidi="ar-SA"/>
                    </w:rPr>
                  </w:pPr>
                  <w:r>
                    <w:rPr>
                      <w:rFonts w:hint="eastAsia" w:asciiTheme="minorEastAsia" w:hAnsiTheme="minorEastAsia" w:eastAsiaTheme="minorEastAsia" w:cstheme="minorEastAsia"/>
                      <w:sz w:val="21"/>
                      <w:szCs w:val="21"/>
                    </w:rPr>
                    <w:t>老寨沟水库灌区内中部</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14</w:t>
                  </w:r>
                  <w:r>
                    <w:rPr>
                      <w:rFonts w:hint="eastAsia" w:ascii="Times New Roman" w:hAnsi="Times New Roman" w:eastAsia="宋体" w:cs="Times New Roman"/>
                      <w:szCs w:val="21"/>
                    </w:rPr>
                    <w:t>#</w:t>
                  </w:r>
                </w:p>
              </w:tc>
              <w:tc>
                <w:tcPr>
                  <w:tcW w:w="3383"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heme="minorEastAsia" w:hAnsiTheme="minorEastAsia" w:eastAsiaTheme="minorEastAsia" w:cstheme="minorEastAsia"/>
                      <w:i w:val="0"/>
                      <w:iCs w:val="0"/>
                      <w:color w:val="000000"/>
                      <w:kern w:val="2"/>
                      <w:sz w:val="21"/>
                      <w:szCs w:val="21"/>
                      <w:u w:val="none"/>
                      <w:lang w:val="en-US" w:eastAsia="zh-CN" w:bidi="ar-SA"/>
                    </w:rPr>
                  </w:pPr>
                  <w:r>
                    <w:rPr>
                      <w:rFonts w:hint="eastAsia" w:asciiTheme="minorEastAsia" w:hAnsiTheme="minorEastAsia" w:eastAsiaTheme="minorEastAsia" w:cstheme="minorEastAsia"/>
                      <w:i w:val="0"/>
                      <w:iCs w:val="0"/>
                      <w:color w:val="000000"/>
                      <w:sz w:val="21"/>
                      <w:szCs w:val="21"/>
                      <w:u w:val="none"/>
                      <w:lang w:eastAsia="zh-CN"/>
                    </w:rPr>
                    <w:t>云顶水库灌区内中部</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表层样</w:t>
                  </w:r>
                </w:p>
              </w:tc>
              <w:tc>
                <w:tcPr>
                  <w:tcW w:w="2399" w:type="dxa"/>
                  <w:vMerge w:val="continue"/>
                  <w:vAlign w:val="center"/>
                </w:tcPr>
                <w:p>
                  <w:pPr>
                    <w:widowControl/>
                    <w:jc w:val="center"/>
                    <w:rPr>
                      <w:rFonts w:hint="eastAsia" w:ascii="Times New Roman" w:hAnsi="Times New Roman" w:eastAsia="宋体" w:cs="Times New Roman"/>
                      <w:szCs w:val="21"/>
                    </w:rPr>
                  </w:pPr>
                </w:p>
              </w:tc>
            </w:tr>
          </w:tbl>
          <w:p>
            <w:pPr>
              <w:pStyle w:val="45"/>
              <w:adjustRightInd w:val="0"/>
              <w:snapToGrid w:val="0"/>
              <w:ind w:firstLine="0" w:firstLineChars="0"/>
              <w:jc w:val="center"/>
              <w:rPr>
                <w:rFonts w:hint="default" w:ascii="Times New Roman" w:hAnsi="Times New Roman" w:eastAsia="宋体" w:cs="Times New Roman"/>
                <w:b/>
                <w:bCs/>
                <w:kern w:val="0"/>
                <w:szCs w:val="21"/>
                <w:lang w:val="en-US" w:eastAsia="zh-CN"/>
              </w:rPr>
            </w:pP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（3）监测频次</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取样监测1次。</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（4）采样及监测分析方法</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各监测因子参照《环境影响评价技术导则 土壤环境（试行）》（HJ964-2018）中的有关规定进行监测。</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（5）监测结果</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土壤理化性质见下表。</w:t>
            </w:r>
          </w:p>
          <w:p>
            <w:pPr>
              <w:spacing w:line="240" w:lineRule="auto"/>
              <w:jc w:val="center"/>
              <w:rPr>
                <w:rFonts w:hint="default" w:ascii="Times New Roman" w:hAnsi="Times New Roman" w:eastAsia="宋体" w:cs="Times New Roman"/>
                <w:b/>
                <w:bCs/>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Cs w:val="21"/>
                <w:lang w:val="en-US" w:eastAsia="zh-CN"/>
                <w14:textFill>
                  <w14:solidFill>
                    <w14:schemeClr w14:val="tx1"/>
                  </w14:solidFill>
                </w14:textFill>
              </w:rPr>
              <w:t>表3-9  土壤理化特性调查一览表-1（</w:t>
            </w:r>
            <w:r>
              <w:rPr>
                <w:rFonts w:hint="default" w:ascii="Times New Roman" w:hAnsi="Times New Roman" w:eastAsia="宋体" w:cs="Times New Roman"/>
                <w:b/>
                <w:bCs/>
                <w:color w:val="000000" w:themeColor="text1"/>
                <w:kern w:val="0"/>
                <w:szCs w:val="21"/>
                <w:lang w:val="en-US" w:eastAsia="zh-CN"/>
                <w14:textFill>
                  <w14:solidFill>
                    <w14:schemeClr w14:val="tx1"/>
                  </w14:solidFill>
                </w14:textFill>
              </w:rPr>
              <w:t>单位：pH无量纲，干物质%，阳离子交换量cmol+/kg，渗漏率mm/min，氧化还原电位mV，容重g/cm³</w:t>
            </w:r>
            <w:r>
              <w:rPr>
                <w:rFonts w:hint="eastAsia" w:ascii="Times New Roman" w:hAnsi="Times New Roman" w:eastAsia="宋体" w:cs="Times New Roman"/>
                <w:b/>
                <w:bCs/>
                <w:color w:val="000000" w:themeColor="text1"/>
                <w:kern w:val="0"/>
                <w:szCs w:val="21"/>
                <w:lang w:val="en-US" w:eastAsia="zh-CN"/>
                <w14:textFill>
                  <w14:solidFill>
                    <w14:schemeClr w14:val="tx1"/>
                  </w14:solidFill>
                </w14:textFill>
              </w:rPr>
              <w:t>）</w:t>
            </w:r>
          </w:p>
          <w:tbl>
            <w:tblPr>
              <w:tblStyle w:val="26"/>
              <w:tblW w:w="878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1217"/>
              <w:gridCol w:w="2806"/>
              <w:gridCol w:w="932"/>
              <w:gridCol w:w="838"/>
              <w:gridCol w:w="816"/>
              <w:gridCol w:w="757"/>
              <w:gridCol w:w="745"/>
              <w:gridCol w:w="6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25" w:hRule="atLeast"/>
                <w:jc w:val="center"/>
              </w:trPr>
              <w:tc>
                <w:tcPr>
                  <w:tcW w:w="12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000000"/>
                      <w:sz w:val="21"/>
                      <w:szCs w:val="21"/>
                      <w:u w:val="none"/>
                      <w:lang w:eastAsia="zh-CN"/>
                    </w:rPr>
                  </w:pPr>
                  <w:r>
                    <w:rPr>
                      <w:rFonts w:hint="default" w:ascii="Times New Roman" w:hAnsi="Times New Roman" w:cs="Times New Roman"/>
                      <w:i w:val="0"/>
                      <w:iCs w:val="0"/>
                      <w:color w:val="000000"/>
                      <w:sz w:val="21"/>
                      <w:szCs w:val="21"/>
                      <w:u w:val="none"/>
                      <w:lang w:eastAsia="zh-CN"/>
                    </w:rPr>
                    <w:t>采样日期</w:t>
                  </w:r>
                </w:p>
              </w:tc>
              <w:tc>
                <w:tcPr>
                  <w:tcW w:w="2806"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pPr>
                    <w:keepNext w:val="0"/>
                    <w:keepLines w:val="0"/>
                    <w:suppressLineNumbers w:val="0"/>
                    <w:spacing w:before="0" w:beforeAutospacing="0" w:after="0" w:afterAutospacing="0"/>
                    <w:ind w:left="0" w:right="0"/>
                    <w:jc w:val="right"/>
                    <w:rPr>
                      <w:rFonts w:hint="default" w:ascii="Times New Roman" w:hAnsi="Times New Roman" w:cs="Times New Roman" w:eastAsiaTheme="minorEastAsia"/>
                      <w:i w:val="0"/>
                      <w:iCs w:val="0"/>
                      <w:color w:val="000000"/>
                      <w:sz w:val="21"/>
                      <w:szCs w:val="21"/>
                      <w:u w:val="none"/>
                      <w:lang w:eastAsia="zh-CN"/>
                    </w:rPr>
                  </w:pPr>
                  <w:r>
                    <w:rPr>
                      <w:rFonts w:hint="default" w:ascii="Times New Roman" w:hAnsi="Times New Roman" w:cs="Times New Roman" w:eastAsiaTheme="minorEastAsia"/>
                      <w:i w:val="0"/>
                      <w:iCs w:val="0"/>
                      <w:color w:val="000000"/>
                      <w:sz w:val="21"/>
                      <w:szCs w:val="21"/>
                      <w:u w:val="none"/>
                      <w:lang w:eastAsia="zh-CN"/>
                    </w:rPr>
                    <w:t>检测项目</w:t>
                  </w:r>
                </w:p>
                <w:p>
                  <w:pPr>
                    <w:keepNext w:val="0"/>
                    <w:keepLines w:val="0"/>
                    <w:suppressLineNumbers w:val="0"/>
                    <w:spacing w:before="0" w:beforeAutospacing="0" w:after="0" w:afterAutospacing="0"/>
                    <w:ind w:left="0" w:right="0"/>
                    <w:jc w:val="left"/>
                    <w:rPr>
                      <w:rFonts w:hint="default" w:ascii="Times New Roman" w:hAnsi="Times New Roman" w:cs="Times New Roman" w:eastAsiaTheme="minorEastAsia"/>
                      <w:i w:val="0"/>
                      <w:iCs w:val="0"/>
                      <w:color w:val="000000"/>
                      <w:sz w:val="21"/>
                      <w:szCs w:val="21"/>
                      <w:u w:val="none"/>
                      <w:lang w:eastAsia="zh-CN"/>
                    </w:rPr>
                  </w:pPr>
                  <w:r>
                    <w:rPr>
                      <w:rFonts w:hint="default" w:ascii="Times New Roman" w:hAnsi="Times New Roman" w:cs="Times New Roman" w:eastAsiaTheme="minorEastAsia"/>
                      <w:i w:val="0"/>
                      <w:iCs w:val="0"/>
                      <w:color w:val="000000"/>
                      <w:sz w:val="21"/>
                      <w:szCs w:val="21"/>
                      <w:u w:val="none"/>
                      <w:lang w:eastAsia="zh-CN"/>
                    </w:rPr>
                    <w:t>检测点位</w:t>
                  </w:r>
                </w:p>
              </w:tc>
              <w:tc>
                <w:tcPr>
                  <w:tcW w:w="932" w:type="dxa"/>
                  <w:tcBorders>
                    <w:top w:val="single" w:color="auto" w:sz="4" w:space="0"/>
                    <w:left w:val="single" w:color="000000"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Style w:val="96"/>
                      <w:rFonts w:hint="default" w:ascii="Times New Roman" w:hAnsi="Times New Roman" w:cs="Times New Roman"/>
                      <w:lang w:val="en-US" w:eastAsia="zh-CN" w:bidi="ar"/>
                    </w:rPr>
                    <w:t>pH</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lang w:eastAsia="zh-CN"/>
                    </w:rPr>
                  </w:pPr>
                  <w:r>
                    <w:rPr>
                      <w:rFonts w:hint="default" w:ascii="Times New Roman" w:hAnsi="Times New Roman" w:eastAsia="宋体" w:cs="Times New Roman"/>
                      <w:i w:val="0"/>
                      <w:iCs w:val="0"/>
                      <w:color w:val="000000"/>
                      <w:kern w:val="0"/>
                      <w:sz w:val="21"/>
                      <w:szCs w:val="21"/>
                      <w:u w:val="none"/>
                      <w:lang w:val="en-US" w:eastAsia="zh-CN" w:bidi="ar"/>
                    </w:rPr>
                    <w:t>阳离子交换量</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氧化还原电位</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渗漏率</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容重</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干物质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i w:val="0"/>
                      <w:iCs w:val="0"/>
                      <w:color w:val="000000"/>
                      <w:kern w:val="0"/>
                      <w:sz w:val="21"/>
                      <w:szCs w:val="21"/>
                      <w:u w:val="none"/>
                      <w:lang w:val="en-US" w:eastAsia="zh-CN" w:bidi="ar"/>
                    </w:rPr>
                    <w:t>2024.3.11</w:t>
                  </w: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观音岩水库灌区内南侧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6.73</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21.6</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467</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5.23</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1.69</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i w:val="0"/>
                      <w:iCs w:val="0"/>
                      <w:color w:val="000000"/>
                      <w:kern w:val="0"/>
                      <w:sz w:val="21"/>
                      <w:szCs w:val="21"/>
                      <w:u w:val="none"/>
                      <w:lang w:val="en-US" w:eastAsia="zh-CN" w:bidi="ar"/>
                    </w:rPr>
                    <w:t>2024.3.12</w:t>
                  </w: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秧田湾水库灌区内北侧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5.56</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21.6</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466</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5.98</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1.03</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南六水库灌区内西侧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5.77</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15.7</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450</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6.15</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1.29</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阴洞岩水库灌区内南侧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5.29</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18.1</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468</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5.59</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1.61</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i w:val="0"/>
                      <w:iCs w:val="0"/>
                      <w:color w:val="000000"/>
                      <w:kern w:val="0"/>
                      <w:sz w:val="21"/>
                      <w:szCs w:val="21"/>
                      <w:u w:val="none"/>
                      <w:lang w:val="en-US" w:eastAsia="zh-CN" w:bidi="ar"/>
                    </w:rPr>
                    <w:t>2024.3.13</w:t>
                  </w: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漆树沟水库灌区内中部</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5.02</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17.0 </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532</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5.72</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刘家坪水库灌区内东侧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4.79</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8.9</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546</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4.87</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1.30 </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烂田湾水库灌区内南侧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5.41</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9.7</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466</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5.34</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1.34</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后头湾水库灌区内中部</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5.92</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15.4</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555</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5.81</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长征水库灌区内东部</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6.78</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17.2</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550</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6.06</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1.58</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老寨沟水库灌区内中部</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5.93</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20.9</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562</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6.23</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1.27</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小沟河水库灌区内北侧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6.35</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21.5</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444</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5.64</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1.20 </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i w:val="0"/>
                      <w:iCs w:val="0"/>
                      <w:color w:val="000000"/>
                      <w:kern w:val="0"/>
                      <w:sz w:val="21"/>
                      <w:szCs w:val="21"/>
                      <w:u w:val="none"/>
                      <w:lang w:val="en-US" w:eastAsia="zh-CN" w:bidi="ar"/>
                    </w:rPr>
                    <w:t>2024.3.14</w:t>
                  </w: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云顶水库灌区内中部</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5.33</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11.8</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562</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6.02</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1.26</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曹家沟水库灌区内西侧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5.42</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5.1</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452</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5.64</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1.40 </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25" w:hRule="atLeast"/>
                <w:jc w:val="center"/>
              </w:trPr>
              <w:tc>
                <w:tcPr>
                  <w:tcW w:w="1217"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p>
              </w:tc>
              <w:tc>
                <w:tcPr>
                  <w:tcW w:w="2806"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九军坪水库灌区内东侧</w:t>
                  </w:r>
                </w:p>
              </w:tc>
              <w:tc>
                <w:tcPr>
                  <w:tcW w:w="932"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6.25</w:t>
                  </w:r>
                </w:p>
              </w:tc>
              <w:tc>
                <w:tcPr>
                  <w:tcW w:w="83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EA3324"/>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25.2</w:t>
                  </w:r>
                </w:p>
              </w:tc>
              <w:tc>
                <w:tcPr>
                  <w:tcW w:w="81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FF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450</w:t>
                  </w:r>
                </w:p>
              </w:tc>
              <w:tc>
                <w:tcPr>
                  <w:tcW w:w="75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5.29</w:t>
                  </w:r>
                </w:p>
              </w:tc>
              <w:tc>
                <w:tcPr>
                  <w:tcW w:w="74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1.53</w:t>
                  </w:r>
                </w:p>
              </w:tc>
              <w:tc>
                <w:tcPr>
                  <w:tcW w:w="67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eastAsiaTheme="minorEastAsia"/>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83.0 </w:t>
                  </w:r>
                </w:p>
              </w:tc>
            </w:tr>
          </w:tbl>
          <w:p>
            <w:pPr>
              <w:spacing w:line="360" w:lineRule="auto"/>
              <w:jc w:val="center"/>
              <w:rPr>
                <w:rFonts w:hint="eastAsia" w:ascii="Times New Roman" w:hAnsi="Times New Roman" w:eastAsia="宋体" w:cs="Times New Roman"/>
                <w:b/>
                <w:bCs/>
                <w:color w:val="000000" w:themeColor="text1"/>
                <w:kern w:val="0"/>
                <w:szCs w:val="21"/>
                <w:lang w:val="en-US" w:eastAsia="zh-CN"/>
                <w14:textFill>
                  <w14:solidFill>
                    <w14:schemeClr w14:val="tx1"/>
                  </w14:solidFill>
                </w14:textFill>
              </w:rPr>
            </w:pPr>
          </w:p>
          <w:p>
            <w:pPr>
              <w:spacing w:line="240" w:lineRule="auto"/>
              <w:jc w:val="center"/>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Cs w:val="21"/>
                <w:lang w:val="en-US" w:eastAsia="zh-CN"/>
                <w14:textFill>
                  <w14:solidFill>
                    <w14:schemeClr w14:val="tx1"/>
                  </w14:solidFill>
                </w14:textFill>
              </w:rPr>
              <w:t>表3-9  土壤理化特性调查一览表-2</w:t>
            </w:r>
          </w:p>
          <w:tbl>
            <w:tblPr>
              <w:tblStyle w:val="26"/>
              <w:tblW w:w="885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69"/>
              <w:gridCol w:w="2484"/>
              <w:gridCol w:w="1308"/>
              <w:gridCol w:w="1956"/>
              <w:gridCol w:w="17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tblHeader/>
                <w:jc w:val="center"/>
              </w:trPr>
              <w:tc>
                <w:tcPr>
                  <w:tcW w:w="1369" w:type="dxa"/>
                  <w:noWrap w:val="0"/>
                  <w:vAlign w:val="center"/>
                </w:tcPr>
                <w:p>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right="0"/>
                    <w:jc w:val="center"/>
                    <w:rPr>
                      <w:rFonts w:hint="default" w:ascii="Times New Roman" w:hAnsi="Times New Roman" w:eastAsia="宋体" w:cs="Times New Roman"/>
                      <w:bCs/>
                      <w:color w:val="000000"/>
                      <w:sz w:val="21"/>
                      <w:szCs w:val="21"/>
                      <w:lang w:eastAsia="zh-CN"/>
                    </w:rPr>
                  </w:pPr>
                  <w:r>
                    <w:rPr>
                      <w:rFonts w:hint="default" w:ascii="Times New Roman" w:hAnsi="Times New Roman" w:eastAsia="宋体" w:cs="Times New Roman"/>
                      <w:bCs/>
                      <w:color w:val="000000"/>
                      <w:sz w:val="21"/>
                      <w:szCs w:val="21"/>
                      <w:lang w:eastAsia="zh-CN"/>
                    </w:rPr>
                    <w:t>采样日期</w:t>
                  </w:r>
                </w:p>
              </w:tc>
              <w:tc>
                <w:tcPr>
                  <w:tcW w:w="2484" w:type="dxa"/>
                  <w:noWrap w:val="0"/>
                  <w:vAlign w:val="center"/>
                </w:tcPr>
                <w:p>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right="0"/>
                    <w:jc w:val="center"/>
                    <w:rPr>
                      <w:rFonts w:hint="default" w:ascii="Times New Roman" w:hAnsi="Times New Roman" w:eastAsia="宋体" w:cs="Times New Roman"/>
                      <w:bCs/>
                      <w:color w:val="000000"/>
                      <w:sz w:val="21"/>
                      <w:szCs w:val="21"/>
                      <w:lang w:eastAsia="zh-CN"/>
                    </w:rPr>
                  </w:pPr>
                  <w:r>
                    <w:rPr>
                      <w:rFonts w:hint="default" w:ascii="Times New Roman" w:hAnsi="Times New Roman" w:eastAsia="宋体" w:cs="Times New Roman"/>
                      <w:bCs/>
                      <w:color w:val="000000"/>
                      <w:sz w:val="21"/>
                      <w:szCs w:val="21"/>
                      <w:lang w:eastAsia="zh-CN"/>
                    </w:rPr>
                    <w:t>检测点位</w:t>
                  </w:r>
                </w:p>
              </w:tc>
              <w:tc>
                <w:tcPr>
                  <w:tcW w:w="3264" w:type="dxa"/>
                  <w:gridSpan w:val="2"/>
                  <w:noWrap w:val="0"/>
                  <w:vAlign w:val="center"/>
                </w:tcPr>
                <w:p>
                  <w:pPr>
                    <w:keepNext w:val="0"/>
                    <w:keepLines w:val="0"/>
                    <w:pageBreakBefore w:val="0"/>
                    <w:suppressLineNumbers w:val="0"/>
                    <w:kinsoku/>
                    <w:wordWrap/>
                    <w:overflowPunct/>
                    <w:topLinePunct w:val="0"/>
                    <w:autoSpaceDE/>
                    <w:autoSpaceDN/>
                    <w:bidi w:val="0"/>
                    <w:snapToGrid/>
                    <w:spacing w:before="0" w:beforeAutospacing="0" w:after="0" w:afterAutospacing="0" w:line="240" w:lineRule="auto"/>
                    <w:ind w:left="0" w:right="0"/>
                    <w:jc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检测项目</w:t>
                  </w:r>
                </w:p>
              </w:tc>
              <w:tc>
                <w:tcPr>
                  <w:tcW w:w="174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kern w:val="2"/>
                      <w:sz w:val="21"/>
                      <w:szCs w:val="21"/>
                      <w:lang w:val="en-US" w:eastAsia="zh-CN" w:bidi="ar-SA"/>
                    </w:rPr>
                    <w:t>检测结果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restart"/>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000000"/>
                      <w:kern w:val="2"/>
                      <w:sz w:val="21"/>
                      <w:szCs w:val="21"/>
                      <w:u w:val="none"/>
                      <w:lang w:val="en-US" w:eastAsia="zh-CN" w:bidi="ar-SA"/>
                    </w:rPr>
                  </w:pPr>
                  <w:r>
                    <w:rPr>
                      <w:rFonts w:hint="default" w:ascii="Times New Roman" w:hAnsi="Times New Roman" w:cs="Times New Roman" w:eastAsiaTheme="minorEastAsia"/>
                      <w:i w:val="0"/>
                      <w:iCs w:val="0"/>
                      <w:color w:val="000000"/>
                      <w:sz w:val="21"/>
                      <w:szCs w:val="21"/>
                      <w:u w:val="none"/>
                      <w:lang w:val="en-US" w:eastAsia="zh-CN"/>
                    </w:rPr>
                    <w:t>2024.3.11</w:t>
                  </w:r>
                </w:p>
              </w:tc>
              <w:tc>
                <w:tcPr>
                  <w:tcW w:w="2484" w:type="dxa"/>
                  <w:vMerge w:val="restart"/>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000000"/>
                      <w:kern w:val="2"/>
                      <w:sz w:val="21"/>
                      <w:szCs w:val="21"/>
                      <w:u w:val="none"/>
                      <w:lang w:val="en-US" w:eastAsia="zh-CN" w:bidi="ar-SA"/>
                    </w:rPr>
                  </w:pPr>
                  <w:r>
                    <w:rPr>
                      <w:rFonts w:hint="default" w:ascii="Times New Roman" w:hAnsi="Times New Roman" w:cs="Times New Roman" w:eastAsiaTheme="minorEastAsia"/>
                      <w:i w:val="0"/>
                      <w:iCs w:val="0"/>
                      <w:color w:val="000000"/>
                      <w:sz w:val="21"/>
                      <w:szCs w:val="21"/>
                      <w:u w:val="none"/>
                      <w:lang w:eastAsia="zh-CN"/>
                    </w:rPr>
                    <w:t>观音岩水库</w:t>
                  </w:r>
                  <w:r>
                    <w:rPr>
                      <w:rFonts w:hint="default" w:ascii="Times New Roman" w:hAnsi="Times New Roman" w:cs="Times New Roman" w:eastAsiaTheme="minorEastAsia"/>
                      <w:sz w:val="21"/>
                      <w:szCs w:val="21"/>
                    </w:rPr>
                    <w:t>灌</w:t>
                  </w:r>
                  <w:r>
                    <w:rPr>
                      <w:rFonts w:hint="default" w:ascii="Times New Roman" w:hAnsi="Times New Roman" w:cs="Times New Roman" w:eastAsiaTheme="minorEastAsia"/>
                      <w:i w:val="0"/>
                      <w:iCs w:val="0"/>
                      <w:color w:val="000000"/>
                      <w:sz w:val="21"/>
                      <w:szCs w:val="21"/>
                      <w:u w:val="none"/>
                      <w:lang w:eastAsia="zh-CN"/>
                    </w:rPr>
                    <w:t>区内南侧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70.1%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restart"/>
                  <w:noWrap w:val="0"/>
                  <w:tcMar>
                    <w:left w:w="0"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0"/>
                      <w:sz w:val="21"/>
                      <w:szCs w:val="21"/>
                      <w:u w:val="none"/>
                      <w:lang w:val="en-US" w:eastAsia="zh-CN" w:bidi="ar"/>
                    </w:rPr>
                  </w:pPr>
                  <w:r>
                    <w:rPr>
                      <w:rFonts w:hint="default" w:ascii="Times New Roman" w:hAnsi="Times New Roman" w:cs="Times New Roman" w:eastAsiaTheme="minorEastAsia"/>
                      <w:i w:val="0"/>
                      <w:iCs w:val="0"/>
                      <w:color w:val="000000"/>
                      <w:kern w:val="0"/>
                      <w:sz w:val="21"/>
                      <w:szCs w:val="21"/>
                      <w:u w:val="none"/>
                      <w:lang w:val="en-US" w:eastAsia="zh-CN" w:bidi="ar"/>
                    </w:rPr>
                    <w:t>2024.3.12</w:t>
                  </w:r>
                </w:p>
              </w:tc>
              <w:tc>
                <w:tcPr>
                  <w:tcW w:w="2484" w:type="dxa"/>
                  <w:vMerge w:val="restart"/>
                  <w:noWrap w:val="0"/>
                  <w:tcMar>
                    <w:left w:w="0"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000000"/>
                      <w:kern w:val="2"/>
                      <w:sz w:val="21"/>
                      <w:szCs w:val="21"/>
                      <w:u w:val="none"/>
                      <w:lang w:val="en-US" w:eastAsia="zh-CN" w:bidi="ar-SA"/>
                    </w:rPr>
                  </w:pPr>
                  <w:r>
                    <w:rPr>
                      <w:rFonts w:hint="default" w:ascii="Times New Roman" w:hAnsi="Times New Roman" w:cs="Times New Roman" w:eastAsiaTheme="minorEastAsia"/>
                      <w:sz w:val="21"/>
                      <w:szCs w:val="21"/>
                    </w:rPr>
                    <w:t>秧田湾水库灌区内北侧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南六水库灌区内西侧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46.1%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阴洞岩水库灌区内南侧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restart"/>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2024.3.13</w:t>
                  </w:r>
                </w:p>
              </w:tc>
              <w:tc>
                <w:tcPr>
                  <w:tcW w:w="2484" w:type="dxa"/>
                  <w:vMerge w:val="restart"/>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漆树沟水库灌区内中部</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刘家坪水库灌区内东侧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烂田湾水库灌区内南侧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后头湾水库灌区内中部</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8"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p>
              </w:tc>
              <w:tc>
                <w:tcPr>
                  <w:tcW w:w="2484" w:type="dxa"/>
                  <w:vMerge w:val="restart"/>
                  <w:noWrap w:val="0"/>
                  <w:tcMar>
                    <w:left w:w="0"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长征水库灌区内东部</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老寨沟水库灌区内中部</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rPr>
                  </w:pPr>
                  <w:r>
                    <w:rPr>
                      <w:rFonts w:hint="default" w:ascii="Times New Roman" w:hAnsi="Times New Roman" w:cs="Times New Roman" w:eastAsiaTheme="minorEastAsia"/>
                      <w:sz w:val="21"/>
                      <w:szCs w:val="21"/>
                    </w:rPr>
                    <w:t>小沟河水库灌区内北侧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restart"/>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2024.3.14</w:t>
                  </w:r>
                </w:p>
              </w:tc>
              <w:tc>
                <w:tcPr>
                  <w:tcW w:w="2484" w:type="dxa"/>
                  <w:vMerge w:val="restart"/>
                  <w:noWrap w:val="0"/>
                  <w:tcMar>
                    <w:left w:w="0"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rPr>
                  </w:pPr>
                  <w:r>
                    <w:rPr>
                      <w:rFonts w:hint="default" w:ascii="Times New Roman" w:hAnsi="Times New Roman" w:cs="Times New Roman" w:eastAsiaTheme="minorEastAsia"/>
                      <w:i w:val="0"/>
                      <w:iCs w:val="0"/>
                      <w:color w:val="000000"/>
                      <w:sz w:val="21"/>
                      <w:szCs w:val="21"/>
                      <w:u w:val="none"/>
                      <w:lang w:eastAsia="zh-CN"/>
                    </w:rPr>
                    <w:t>云顶水库灌区内中部</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rPr>
                  </w:pPr>
                  <w:r>
                    <w:rPr>
                      <w:rFonts w:hint="default" w:ascii="Times New Roman" w:hAnsi="Times New Roman" w:cs="Times New Roman" w:eastAsiaTheme="minorEastAsia"/>
                      <w:i w:val="0"/>
                      <w:iCs w:val="0"/>
                      <w:color w:val="000000"/>
                      <w:sz w:val="21"/>
                      <w:szCs w:val="21"/>
                      <w:u w:val="none"/>
                      <w:lang w:eastAsia="zh-CN"/>
                    </w:rPr>
                    <w:t>曹家沟水库灌区内西侧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restart"/>
                  <w:noWrap w:val="0"/>
                  <w:tcMar>
                    <w:left w:w="0" w:type="dxa"/>
                    <w:right w:w="0"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rPr>
                  </w:pPr>
                  <w:r>
                    <w:rPr>
                      <w:rFonts w:hint="default" w:ascii="Times New Roman" w:hAnsi="Times New Roman" w:cs="Times New Roman" w:eastAsiaTheme="minorEastAsia"/>
                      <w:i w:val="0"/>
                      <w:iCs w:val="0"/>
                      <w:color w:val="000000"/>
                      <w:sz w:val="21"/>
                      <w:szCs w:val="21"/>
                      <w:u w:val="none"/>
                      <w:lang w:eastAsia="zh-CN"/>
                    </w:rPr>
                    <w:t>九军坪水库灌区内东侧</w:t>
                  </w:r>
                </w:p>
              </w:tc>
              <w:tc>
                <w:tcPr>
                  <w:tcW w:w="1308" w:type="dxa"/>
                  <w:vMerge w:val="restar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粒度</w:t>
                  </w:r>
                </w:p>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bCs/>
                      <w:sz w:val="21"/>
                      <w:szCs w:val="21"/>
                      <w:lang w:eastAsia="zh-CN"/>
                    </w:rPr>
                    <w:t>（粒径）</w:t>
                  </w: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＞2.00mm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＞0.60mm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21.7%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＞0.212mm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46.6%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2" w:hRule="atLeast"/>
                <w:jc w:val="center"/>
              </w:trPr>
              <w:tc>
                <w:tcPr>
                  <w:tcW w:w="1369"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2484" w:type="dxa"/>
                  <w:vMerge w:val="continue"/>
                  <w:noWrap w:val="0"/>
                  <w:tcMar>
                    <w:left w:w="0" w:type="dxa"/>
                    <w:right w:w="0" w:type="dxa"/>
                  </w:tcMar>
                  <w:vAlign w:val="center"/>
                </w:tcPr>
                <w:p>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rPr>
                      <w:rFonts w:hint="default" w:ascii="Times New Roman" w:hAnsi="Times New Roman" w:eastAsia="宋体" w:cs="Times New Roman"/>
                      <w:bCs/>
                      <w:sz w:val="21"/>
                      <w:szCs w:val="21"/>
                    </w:rPr>
                  </w:pPr>
                </w:p>
              </w:tc>
              <w:tc>
                <w:tcPr>
                  <w:tcW w:w="1308" w:type="dxa"/>
                  <w:vMerge w:val="continue"/>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956"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＞0.063mm</w:t>
                  </w:r>
                </w:p>
              </w:tc>
              <w:tc>
                <w:tcPr>
                  <w:tcW w:w="1741" w:type="dxa"/>
                  <w:tcBorders>
                    <w:left w:val="single" w:color="auto" w:sz="4" w:space="0"/>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eastAsia="zh-CN" w:bidi="ar"/>
                    </w:rPr>
                  </w:pPr>
                  <w:r>
                    <w:rPr>
                      <w:rFonts w:hint="default" w:ascii="Times New Roman" w:hAnsi="Times New Roman" w:eastAsia="宋体" w:cs="Times New Roman"/>
                      <w:i w:val="0"/>
                      <w:iCs w:val="0"/>
                      <w:color w:val="000000"/>
                      <w:kern w:val="0"/>
                      <w:sz w:val="21"/>
                      <w:szCs w:val="21"/>
                      <w:u w:val="none"/>
                      <w:lang w:eastAsia="zh-CN" w:bidi="ar"/>
                    </w:rPr>
                    <w:t>68.0%</w:t>
                  </w:r>
                </w:p>
              </w:tc>
            </w:tr>
          </w:tbl>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由上表可知，漆树沟水库灌区内中部、刘家坪水库灌区内东侧、阴洞岩水库灌区内南侧、烂田湾水库灌区内南侧、曹家沟水库灌区内西侧土壤呈强酸性，其余灌区土壤监测点位呈酸性，评价初步分析原因为灌区内各类氮肥的施加，在土壤转化成硝酸盐，硝酸盐流失带走土壤中大量的钙、镁等碱性离子，导致土壤逐渐酸化。</w:t>
            </w:r>
          </w:p>
          <w:p>
            <w:pPr>
              <w:tabs>
                <w:tab w:val="left" w:pos="5448"/>
              </w:tabs>
              <w:spacing w:line="360" w:lineRule="auto"/>
              <w:ind w:firstLine="482" w:firstLineChars="200"/>
              <w:rPr>
                <w:rFonts w:hint="default" w:ascii="Times New Roman" w:hAnsi="Times New Roman" w:eastAsia="黑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黑体" w:cs="Times New Roman"/>
                <w:b/>
                <w:bCs/>
                <w:color w:val="000000" w:themeColor="text1"/>
                <w:sz w:val="24"/>
                <w:szCs w:val="24"/>
                <w:lang w:eastAsia="zh-CN"/>
                <w14:textFill>
                  <w14:solidFill>
                    <w14:schemeClr w14:val="tx1"/>
                  </w14:solidFill>
                </w14:textFill>
              </w:rPr>
              <w:t>（</w:t>
            </w:r>
            <w:r>
              <w:rPr>
                <w:rFonts w:hint="eastAsia" w:ascii="Times New Roman" w:hAnsi="Times New Roman" w:eastAsia="黑体" w:cs="Times New Roman"/>
                <w:b/>
                <w:bCs/>
                <w:color w:val="000000" w:themeColor="text1"/>
                <w:sz w:val="24"/>
                <w:szCs w:val="24"/>
                <w:lang w:val="en-US" w:eastAsia="zh-CN"/>
                <w14:textFill>
                  <w14:solidFill>
                    <w14:schemeClr w14:val="tx1"/>
                  </w14:solidFill>
                </w14:textFill>
              </w:rPr>
              <w:t>五</w:t>
            </w:r>
            <w:r>
              <w:rPr>
                <w:rFonts w:hint="eastAsia" w:ascii="Times New Roman" w:hAnsi="Times New Roman" w:eastAsia="黑体" w:cs="Times New Roman"/>
                <w:b/>
                <w:bCs/>
                <w:color w:val="000000" w:themeColor="text1"/>
                <w:sz w:val="24"/>
                <w:szCs w:val="24"/>
                <w:lang w:eastAsia="zh-CN"/>
                <w14:textFill>
                  <w14:solidFill>
                    <w14:schemeClr w14:val="tx1"/>
                  </w14:solidFill>
                </w14:textFill>
              </w:rPr>
              <w:t>）</w:t>
            </w:r>
            <w:r>
              <w:rPr>
                <w:rFonts w:hint="eastAsia" w:ascii="Times New Roman" w:hAnsi="Times New Roman" w:eastAsia="黑体" w:cs="Times New Roman"/>
                <w:b/>
                <w:bCs/>
                <w:color w:val="000000" w:themeColor="text1"/>
                <w:sz w:val="24"/>
                <w:szCs w:val="24"/>
                <w:lang w:val="en-US" w:eastAsia="zh-CN"/>
                <w14:textFill>
                  <w14:solidFill>
                    <w14:schemeClr w14:val="tx1"/>
                  </w14:solidFill>
                </w14:textFill>
              </w:rPr>
              <w:t>渠道底泥沉积物分析</w:t>
            </w:r>
          </w:p>
          <w:p>
            <w:pPr>
              <w:tabs>
                <w:tab w:val="left" w:pos="5448"/>
              </w:tabs>
              <w:spacing w:line="360" w:lineRule="auto"/>
              <w:ind w:firstLine="480" w:firstLineChars="200"/>
              <w:rPr>
                <w:rFonts w:hint="default" w:ascii="Times New Roman" w:hAnsi="Times New Roman" w:eastAsia="黑体" w:cs="Times New Roman"/>
                <w:b/>
                <w:bCs/>
                <w:color w:val="000000" w:themeColor="text1"/>
                <w:sz w:val="24"/>
                <w:szCs w:val="24"/>
                <w:lang w:val="en-US"/>
                <w14:textFill>
                  <w14:solidFill>
                    <w14:schemeClr w14:val="tx1"/>
                  </w14:solidFill>
                </w14:textFill>
              </w:rPr>
            </w:pPr>
            <w:r>
              <w:rPr>
                <w:rFonts w:hint="eastAsia" w:ascii="Times New Roman" w:hAnsi="Times New Roman" w:cs="Times New Roman"/>
                <w:sz w:val="24"/>
                <w:szCs w:val="24"/>
                <w:lang w:val="en-US" w:eastAsia="zh-CN"/>
              </w:rPr>
              <w:t>本次评价选取代表性渠道沉积物进行了取样现状检测。</w:t>
            </w:r>
          </w:p>
          <w:p>
            <w:pPr>
              <w:tabs>
                <w:tab w:val="left" w:pos="5448"/>
              </w:tabs>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1）监测项目</w:t>
            </w:r>
          </w:p>
          <w:p>
            <w:pPr>
              <w:tabs>
                <w:tab w:val="left" w:pos="5448"/>
              </w:tabs>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pH、砷、汞、铬、铅、镉、铜</w:t>
            </w:r>
            <w:r>
              <w:rPr>
                <w:rFonts w:hint="eastAsia" w:ascii="Times New Roman" w:hAnsi="Times New Roman" w:cs="Times New Roman"/>
                <w:sz w:val="24"/>
                <w:szCs w:val="24"/>
                <w:lang w:eastAsia="zh-CN"/>
              </w:rPr>
              <w:t>、锌、镍</w:t>
            </w:r>
            <w:r>
              <w:rPr>
                <w:rFonts w:ascii="Times New Roman" w:hAnsi="Times New Roman" w:cs="Times New Roman"/>
                <w:sz w:val="24"/>
                <w:szCs w:val="24"/>
              </w:rPr>
              <w:t>。</w:t>
            </w:r>
          </w:p>
          <w:p>
            <w:pPr>
              <w:tabs>
                <w:tab w:val="left" w:pos="5448"/>
              </w:tabs>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（2）监测点位</w:t>
            </w:r>
          </w:p>
          <w:p>
            <w:pPr>
              <w:tabs>
                <w:tab w:val="left" w:pos="5448"/>
              </w:tabs>
              <w:spacing w:line="360" w:lineRule="auto"/>
              <w:ind w:firstLine="480" w:firstLineChars="200"/>
              <w:rPr>
                <w:rFonts w:hint="eastAsia" w:ascii="Times New Roman" w:hAnsi="Times New Roman" w:cs="Times New Roman"/>
                <w:sz w:val="24"/>
                <w:szCs w:val="24"/>
                <w:lang w:val="en-US" w:eastAsia="zh-CN"/>
              </w:rPr>
            </w:pPr>
            <w:r>
              <w:rPr>
                <w:rFonts w:ascii="Times New Roman" w:hAnsi="Times New Roman" w:cs="Times New Roman"/>
                <w:sz w:val="24"/>
                <w:szCs w:val="24"/>
              </w:rPr>
              <w:t>土壤现状监测布点及监测因子见下表。</w:t>
            </w:r>
          </w:p>
          <w:p>
            <w:pPr>
              <w:pStyle w:val="45"/>
              <w:adjustRightInd w:val="0"/>
              <w:snapToGrid w:val="0"/>
              <w:ind w:firstLine="0" w:firstLineChars="0"/>
              <w:jc w:val="center"/>
              <w:rPr>
                <w:rFonts w:hint="default" w:ascii="Times New Roman" w:hAnsi="Times New Roman" w:eastAsia="宋体" w:cs="Times New Roman"/>
                <w:b/>
                <w:bCs/>
                <w:kern w:val="0"/>
                <w:szCs w:val="21"/>
                <w:lang w:val="en-US" w:eastAsia="zh-CN"/>
              </w:rPr>
            </w:pPr>
            <w:r>
              <w:rPr>
                <w:rFonts w:hint="eastAsia" w:ascii="Times New Roman" w:hAnsi="Times New Roman" w:eastAsia="宋体" w:cs="Times New Roman"/>
                <w:b/>
                <w:bCs/>
                <w:kern w:val="0"/>
                <w:szCs w:val="21"/>
                <w:lang w:val="en-US" w:eastAsia="zh-CN"/>
              </w:rPr>
              <w:t>表3-10  渠道沉积物监测点位一览表</w:t>
            </w:r>
          </w:p>
          <w:tbl>
            <w:tblPr>
              <w:tblStyle w:val="92"/>
              <w:tblW w:w="8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5"/>
              <w:gridCol w:w="3383"/>
              <w:gridCol w:w="2401"/>
              <w:gridCol w:w="2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编号</w:t>
                  </w:r>
                </w:p>
              </w:tc>
              <w:tc>
                <w:tcPr>
                  <w:tcW w:w="3383"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监测点位</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类型</w:t>
                  </w:r>
                </w:p>
              </w:tc>
              <w:tc>
                <w:tcPr>
                  <w:tcW w:w="2399"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监测指标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1#</w:t>
                  </w:r>
                </w:p>
              </w:tc>
              <w:tc>
                <w:tcPr>
                  <w:tcW w:w="3383" w:type="dxa"/>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观音岩水库（右干渠1+472）</w:t>
                  </w:r>
                </w:p>
              </w:tc>
              <w:tc>
                <w:tcPr>
                  <w:tcW w:w="2401" w:type="dxa"/>
                  <w:vAlign w:val="center"/>
                </w:tcPr>
                <w:p>
                  <w:pPr>
                    <w:widowControl/>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val="en-US" w:eastAsia="zh-CN"/>
                    </w:rPr>
                    <w:t>沉积物</w:t>
                  </w:r>
                </w:p>
              </w:tc>
              <w:tc>
                <w:tcPr>
                  <w:tcW w:w="2399" w:type="dxa"/>
                  <w:vMerge w:val="restart"/>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pH、砷、汞、铬、铅、镉、铜、锌、镍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2#</w:t>
                  </w:r>
                </w:p>
              </w:tc>
              <w:tc>
                <w:tcPr>
                  <w:tcW w:w="3383" w:type="dxa"/>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秧田湾水库（右干渠0+706）</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3#</w:t>
                  </w:r>
                </w:p>
              </w:tc>
              <w:tc>
                <w:tcPr>
                  <w:tcW w:w="3383" w:type="dxa"/>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云顶水库（渠①0+564）</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755"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rPr>
                    <w:t>4#</w:t>
                  </w:r>
                </w:p>
              </w:tc>
              <w:tc>
                <w:tcPr>
                  <w:tcW w:w="3383" w:type="dxa"/>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小沟河水库（②支0+924）</w:t>
                  </w:r>
                </w:p>
              </w:tc>
              <w:tc>
                <w:tcPr>
                  <w:tcW w:w="2401" w:type="dxa"/>
                  <w:vAlign w:val="center"/>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vAlign w:val="center"/>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5</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漆树沟水库（主干渠1+397）</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6</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刘家坪水库（左干渠0+709</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7</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烂田湾水库（左干渠0+323）</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8</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后头湾水库（主干渠0+170）</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9</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rPr>
                    <w:t>长征水库（左干渠0+541）</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10</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rPr>
                    <w:t>南六水库（左干渠0+574）</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11</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rPr>
                    <w:t>阴洞岩水库（右干渠0+186）</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12</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eastAsia="zh-CN"/>
                    </w:rPr>
                    <w:t>九军坪水库（左干渠</w:t>
                  </w:r>
                  <w:r>
                    <w:rPr>
                      <w:rFonts w:hint="eastAsia" w:ascii="Times New Roman" w:hAnsi="Times New Roman" w:eastAsia="宋体" w:cs="Times New Roman"/>
                      <w:szCs w:val="21"/>
                      <w:lang w:val="en-US" w:eastAsia="zh-CN"/>
                    </w:rPr>
                    <w:t>0+030</w:t>
                  </w:r>
                  <w:r>
                    <w:rPr>
                      <w:rFonts w:hint="eastAsia" w:ascii="Times New Roman" w:hAnsi="Times New Roman" w:eastAsia="宋体" w:cs="Times New Roman"/>
                      <w:szCs w:val="21"/>
                      <w:lang w:eastAsia="zh-CN"/>
                    </w:rPr>
                    <w:t>）</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13</w:t>
                  </w:r>
                  <w:r>
                    <w:rPr>
                      <w:rFonts w:hint="eastAsia" w:ascii="Times New Roman" w:hAnsi="Times New Roman" w:eastAsia="宋体" w:cs="Times New Roman"/>
                      <w:szCs w:val="21"/>
                    </w:rPr>
                    <w:t>#</w:t>
                  </w:r>
                </w:p>
              </w:tc>
              <w:tc>
                <w:tcPr>
                  <w:tcW w:w="0" w:type="auto"/>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eastAsia="zh-CN"/>
                    </w:rPr>
                    <w:t>曹家沟水库（主干渠</w:t>
                  </w:r>
                  <w:r>
                    <w:rPr>
                      <w:rFonts w:hint="eastAsia" w:ascii="Times New Roman" w:hAnsi="Times New Roman" w:eastAsia="宋体" w:cs="Times New Roman"/>
                      <w:szCs w:val="21"/>
                      <w:lang w:val="en-US" w:eastAsia="zh-CN"/>
                    </w:rPr>
                    <w:t>0+556</w:t>
                  </w:r>
                  <w:r>
                    <w:rPr>
                      <w:rFonts w:hint="eastAsia" w:ascii="Times New Roman" w:hAnsi="Times New Roman" w:eastAsia="宋体" w:cs="Times New Roman"/>
                      <w:szCs w:val="21"/>
                      <w:lang w:eastAsia="zh-CN"/>
                    </w:rPr>
                    <w:t>）</w:t>
                  </w:r>
                </w:p>
              </w:tc>
              <w:tc>
                <w:tcPr>
                  <w:tcW w:w="0" w:type="auto"/>
                </w:tcPr>
                <w:p>
                  <w:pPr>
                    <w:widowControl/>
                    <w:jc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沉积物</w:t>
                  </w:r>
                </w:p>
              </w:tc>
              <w:tc>
                <w:tcPr>
                  <w:tcW w:w="2399" w:type="dxa"/>
                  <w:vMerge w:val="continue"/>
                </w:tcPr>
                <w:p>
                  <w:pPr>
                    <w:widowControl/>
                    <w:jc w:val="center"/>
                    <w:rPr>
                      <w:rFonts w:hint="eastAsia" w:ascii="Times New Roman" w:hAnsi="Times New Roman" w:eastAsia="宋体" w:cs="Times New Roman"/>
                      <w:szCs w:val="21"/>
                    </w:rPr>
                  </w:pPr>
                </w:p>
              </w:tc>
            </w:tr>
          </w:tbl>
          <w:p>
            <w:pPr>
              <w:pStyle w:val="45"/>
              <w:adjustRightInd w:val="0"/>
              <w:snapToGrid w:val="0"/>
              <w:ind w:firstLine="0" w:firstLineChars="0"/>
              <w:jc w:val="center"/>
              <w:rPr>
                <w:rFonts w:hint="default" w:ascii="Times New Roman" w:hAnsi="Times New Roman" w:eastAsia="宋体" w:cs="Times New Roman"/>
                <w:b/>
                <w:bCs/>
                <w:kern w:val="0"/>
                <w:szCs w:val="21"/>
                <w:lang w:val="en-US" w:eastAsia="zh-CN"/>
              </w:rPr>
            </w:pP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（3）监测频次</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取样监测1次。</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（4）采样及监测分析方法</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各监测因子执行《土壤环境质量 农用地土壤污染风险管控标准（试行》）（GB 15618-2018）表1农用地相关限值。</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（5）监测结果</w:t>
            </w:r>
          </w:p>
          <w:p>
            <w:pPr>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土壤理化性质见下表。</w:t>
            </w:r>
          </w:p>
          <w:p>
            <w:pPr>
              <w:spacing w:line="240" w:lineRule="auto"/>
              <w:jc w:val="center"/>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Cs w:val="21"/>
                <w:lang w:val="en-US" w:eastAsia="zh-CN"/>
                <w14:textFill>
                  <w14:solidFill>
                    <w14:schemeClr w14:val="tx1"/>
                  </w14:solidFill>
                </w14:textFill>
              </w:rPr>
              <w:t>表3-11  渠道沉积物检测结果一览表</w:t>
            </w:r>
          </w:p>
          <w:tbl>
            <w:tblPr>
              <w:tblStyle w:val="26"/>
              <w:tblW w:w="92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740"/>
              <w:gridCol w:w="2922"/>
              <w:gridCol w:w="644"/>
              <w:gridCol w:w="649"/>
              <w:gridCol w:w="697"/>
              <w:gridCol w:w="647"/>
              <w:gridCol w:w="637"/>
              <w:gridCol w:w="578"/>
              <w:gridCol w:w="597"/>
              <w:gridCol w:w="587"/>
              <w:gridCol w:w="5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516" w:hRule="atLeast"/>
                <w:jc w:val="center"/>
              </w:trPr>
              <w:tc>
                <w:tcPr>
                  <w:tcW w:w="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采样日期</w:t>
                  </w:r>
                </w:p>
              </w:tc>
              <w:tc>
                <w:tcPr>
                  <w:tcW w:w="2922"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auto"/>
                  <w:noWrap/>
                  <w:vAlign w:val="center"/>
                </w:tcPr>
                <w:p>
                  <w:pPr>
                    <w:keepNext w:val="0"/>
                    <w:keepLines w:val="0"/>
                    <w:suppressLineNumbers w:val="0"/>
                    <w:spacing w:before="0" w:beforeAutospacing="0" w:after="0" w:afterAutospacing="0"/>
                    <w:ind w:left="0" w:right="0"/>
                    <w:jc w:val="right"/>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检测项目</w:t>
                  </w:r>
                </w:p>
                <w:p>
                  <w:pPr>
                    <w:keepNext w:val="0"/>
                    <w:keepLines w:val="0"/>
                    <w:suppressLineNumbers w:val="0"/>
                    <w:spacing w:before="0" w:beforeAutospacing="0" w:after="0" w:afterAutospacing="0"/>
                    <w:ind w:left="0" w:right="0"/>
                    <w:jc w:val="left"/>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检测点位</w:t>
                  </w:r>
                </w:p>
              </w:tc>
              <w:tc>
                <w:tcPr>
                  <w:tcW w:w="644" w:type="dxa"/>
                  <w:tcBorders>
                    <w:top w:val="single" w:color="auto" w:sz="4" w:space="0"/>
                    <w:left w:val="single" w:color="000000"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pH</w:t>
                  </w:r>
                </w:p>
              </w:tc>
              <w:tc>
                <w:tcPr>
                  <w:tcW w:w="649"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rPr>
                    <w:t>镉</w:t>
                  </w:r>
                  <w:r>
                    <w:rPr>
                      <w:rFonts w:hint="default" w:ascii="Times New Roman" w:hAnsi="Times New Roman" w:eastAsia="宋体" w:cs="Times New Roman"/>
                      <w:i w:val="0"/>
                      <w:iCs w:val="0"/>
                      <w:color w:val="000000"/>
                      <w:sz w:val="21"/>
                      <w:szCs w:val="21"/>
                      <w:u w:val="none"/>
                      <w:lang w:eastAsia="zh-CN"/>
                    </w:rPr>
                    <w:t>（总镉）</w:t>
                  </w:r>
                </w:p>
              </w:tc>
              <w:tc>
                <w:tcPr>
                  <w:tcW w:w="69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汞</w:t>
                  </w:r>
                  <w:r>
                    <w:rPr>
                      <w:rFonts w:hint="default" w:ascii="Times New Roman" w:hAnsi="Times New Roman" w:eastAsia="宋体" w:cs="Times New Roman"/>
                      <w:i w:val="0"/>
                      <w:iCs w:val="0"/>
                      <w:color w:val="000000"/>
                      <w:sz w:val="21"/>
                      <w:szCs w:val="21"/>
                      <w:u w:val="none"/>
                      <w:lang w:eastAsia="zh-CN"/>
                    </w:rPr>
                    <w:t>（总汞）</w:t>
                  </w:r>
                </w:p>
              </w:tc>
              <w:tc>
                <w:tcPr>
                  <w:tcW w:w="64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砷</w:t>
                  </w:r>
                  <w:r>
                    <w:rPr>
                      <w:rFonts w:hint="default" w:ascii="Times New Roman" w:hAnsi="Times New Roman" w:eastAsia="宋体" w:cs="Times New Roman"/>
                      <w:i w:val="0"/>
                      <w:iCs w:val="0"/>
                      <w:color w:val="000000"/>
                      <w:sz w:val="21"/>
                      <w:szCs w:val="21"/>
                      <w:u w:val="none"/>
                      <w:lang w:eastAsia="zh-CN"/>
                    </w:rPr>
                    <w:t>（总砷）</w:t>
                  </w:r>
                </w:p>
              </w:tc>
              <w:tc>
                <w:tcPr>
                  <w:tcW w:w="63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铅</w:t>
                  </w:r>
                  <w:r>
                    <w:rPr>
                      <w:rFonts w:hint="default" w:ascii="Times New Roman" w:hAnsi="Times New Roman" w:eastAsia="宋体" w:cs="Times New Roman"/>
                      <w:i w:val="0"/>
                      <w:iCs w:val="0"/>
                      <w:color w:val="000000"/>
                      <w:sz w:val="21"/>
                      <w:szCs w:val="21"/>
                      <w:u w:val="none"/>
                      <w:lang w:eastAsia="zh-CN"/>
                    </w:rPr>
                    <w:t>（总铅）</w:t>
                  </w:r>
                </w:p>
              </w:tc>
              <w:tc>
                <w:tcPr>
                  <w:tcW w:w="57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铬</w:t>
                  </w:r>
                  <w:r>
                    <w:rPr>
                      <w:rFonts w:hint="default" w:ascii="Times New Roman" w:hAnsi="Times New Roman" w:eastAsia="宋体" w:cs="Times New Roman"/>
                      <w:i w:val="0"/>
                      <w:iCs w:val="0"/>
                      <w:color w:val="000000"/>
                      <w:sz w:val="21"/>
                      <w:szCs w:val="21"/>
                      <w:u w:val="none"/>
                      <w:lang w:eastAsia="zh-CN"/>
                    </w:rPr>
                    <w:t>（总铬）</w:t>
                  </w:r>
                </w:p>
              </w:tc>
              <w:tc>
                <w:tcPr>
                  <w:tcW w:w="59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铜</w:t>
                  </w:r>
                  <w:r>
                    <w:rPr>
                      <w:rFonts w:hint="default" w:ascii="Times New Roman" w:hAnsi="Times New Roman" w:eastAsia="宋体" w:cs="Times New Roman"/>
                      <w:i w:val="0"/>
                      <w:iCs w:val="0"/>
                      <w:color w:val="000000"/>
                      <w:sz w:val="21"/>
                      <w:szCs w:val="21"/>
                      <w:u w:val="none"/>
                      <w:lang w:eastAsia="zh-CN"/>
                    </w:rPr>
                    <w:t>（总铜）</w:t>
                  </w:r>
                </w:p>
              </w:tc>
              <w:tc>
                <w:tcPr>
                  <w:tcW w:w="58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镍</w:t>
                  </w:r>
                  <w:r>
                    <w:rPr>
                      <w:rFonts w:hint="default" w:ascii="Times New Roman" w:hAnsi="Times New Roman" w:eastAsia="宋体" w:cs="Times New Roman"/>
                      <w:i w:val="0"/>
                      <w:iCs w:val="0"/>
                      <w:color w:val="000000"/>
                      <w:sz w:val="21"/>
                      <w:szCs w:val="21"/>
                      <w:u w:val="none"/>
                      <w:lang w:eastAsia="zh-CN"/>
                    </w:rPr>
                    <w:t>（总镍）</w:t>
                  </w:r>
                </w:p>
              </w:tc>
              <w:tc>
                <w:tcPr>
                  <w:tcW w:w="5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锌</w:t>
                  </w:r>
                  <w:r>
                    <w:rPr>
                      <w:rFonts w:hint="default" w:ascii="Times New Roman" w:hAnsi="Times New Roman" w:eastAsia="宋体" w:cs="Times New Roman"/>
                      <w:i w:val="0"/>
                      <w:iCs w:val="0"/>
                      <w:color w:val="000000"/>
                      <w:sz w:val="21"/>
                      <w:szCs w:val="21"/>
                      <w:u w:val="none"/>
                      <w:lang w:eastAsia="zh-CN"/>
                    </w:rPr>
                    <w:t>（总锌）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16" w:hRule="atLeast"/>
                <w:jc w:val="center"/>
              </w:trPr>
              <w:tc>
                <w:tcPr>
                  <w:tcW w:w="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2024.3.11</w:t>
                  </w:r>
                </w:p>
              </w:tc>
              <w:tc>
                <w:tcPr>
                  <w:tcW w:w="2922"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观音岩水库（右干渠1+472）</w:t>
                  </w:r>
                </w:p>
              </w:tc>
              <w:tc>
                <w:tcPr>
                  <w:tcW w:w="644"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6.4</w:t>
                  </w:r>
                </w:p>
              </w:tc>
              <w:tc>
                <w:tcPr>
                  <w:tcW w:w="649"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0.18</w:t>
                  </w:r>
                </w:p>
              </w:tc>
              <w:tc>
                <w:tcPr>
                  <w:tcW w:w="69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000000"/>
                      <w:sz w:val="21"/>
                      <w:szCs w:val="21"/>
                      <w:highlight w:val="none"/>
                      <w:u w:val="none"/>
                    </w:rPr>
                    <w:t>0.100</w:t>
                  </w:r>
                </w:p>
              </w:tc>
              <w:tc>
                <w:tcPr>
                  <w:tcW w:w="64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1.7</w:t>
                  </w:r>
                </w:p>
              </w:tc>
              <w:tc>
                <w:tcPr>
                  <w:tcW w:w="63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8</w:t>
                  </w:r>
                </w:p>
              </w:tc>
              <w:tc>
                <w:tcPr>
                  <w:tcW w:w="57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18</w:t>
                  </w:r>
                </w:p>
              </w:tc>
              <w:tc>
                <w:tcPr>
                  <w:tcW w:w="59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7.3</w:t>
                  </w:r>
                </w:p>
              </w:tc>
              <w:tc>
                <w:tcPr>
                  <w:tcW w:w="58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16</w:t>
                  </w:r>
                </w:p>
              </w:tc>
              <w:tc>
                <w:tcPr>
                  <w:tcW w:w="5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2024.3.12</w:t>
                  </w:r>
                </w:p>
              </w:tc>
              <w:tc>
                <w:tcPr>
                  <w:tcW w:w="2922"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秧田湾水库（右干渠0+706）</w:t>
                  </w:r>
                </w:p>
              </w:tc>
              <w:tc>
                <w:tcPr>
                  <w:tcW w:w="644"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6.3</w:t>
                  </w:r>
                </w:p>
              </w:tc>
              <w:tc>
                <w:tcPr>
                  <w:tcW w:w="649"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0.25</w:t>
                  </w:r>
                </w:p>
              </w:tc>
              <w:tc>
                <w:tcPr>
                  <w:tcW w:w="69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0.203</w:t>
                  </w:r>
                </w:p>
              </w:tc>
              <w:tc>
                <w:tcPr>
                  <w:tcW w:w="64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3.6</w:t>
                  </w:r>
                </w:p>
              </w:tc>
              <w:tc>
                <w:tcPr>
                  <w:tcW w:w="63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15</w:t>
                  </w:r>
                </w:p>
              </w:tc>
              <w:tc>
                <w:tcPr>
                  <w:tcW w:w="57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28</w:t>
                  </w:r>
                </w:p>
              </w:tc>
              <w:tc>
                <w:tcPr>
                  <w:tcW w:w="59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highlight w:val="none"/>
                      <w:u w:val="none"/>
                      <w:lang w:val="en-US" w:eastAsia="zh-CN"/>
                    </w:rPr>
                  </w:pPr>
                  <w:r>
                    <w:rPr>
                      <w:rFonts w:hint="default" w:ascii="Times New Roman" w:hAnsi="Times New Roman" w:eastAsia="宋体" w:cs="Times New Roman"/>
                      <w:i w:val="0"/>
                      <w:iCs w:val="0"/>
                      <w:color w:val="000000"/>
                      <w:sz w:val="21"/>
                      <w:szCs w:val="21"/>
                      <w:highlight w:val="none"/>
                      <w:u w:val="none"/>
                    </w:rPr>
                    <w:t>16</w:t>
                  </w:r>
                  <w:r>
                    <w:rPr>
                      <w:rFonts w:hint="default" w:ascii="Times New Roman" w:hAnsi="Times New Roman" w:eastAsia="宋体" w:cs="Times New Roman"/>
                      <w:i w:val="0"/>
                      <w:iCs w:val="0"/>
                      <w:color w:val="000000"/>
                      <w:sz w:val="21"/>
                      <w:szCs w:val="21"/>
                      <w:highlight w:val="none"/>
                      <w:u w:val="none"/>
                      <w:lang w:val="en-US" w:eastAsia="zh-CN"/>
                    </w:rPr>
                    <w:t>.2</w:t>
                  </w:r>
                </w:p>
              </w:tc>
              <w:tc>
                <w:tcPr>
                  <w:tcW w:w="58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z w:val="21"/>
                      <w:szCs w:val="21"/>
                      <w:highlight w:val="none"/>
                      <w:u w:val="none"/>
                    </w:rPr>
                    <w:t>18</w:t>
                  </w:r>
                </w:p>
              </w:tc>
              <w:tc>
                <w:tcPr>
                  <w:tcW w:w="5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2922"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云顶水库（渠①0+564）</w:t>
                  </w:r>
                </w:p>
              </w:tc>
              <w:tc>
                <w:tcPr>
                  <w:tcW w:w="644"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5.9</w:t>
                  </w:r>
                </w:p>
              </w:tc>
              <w:tc>
                <w:tcPr>
                  <w:tcW w:w="649"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0.17</w:t>
                  </w:r>
                </w:p>
              </w:tc>
              <w:tc>
                <w:tcPr>
                  <w:tcW w:w="69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0.184</w:t>
                  </w:r>
                </w:p>
              </w:tc>
              <w:tc>
                <w:tcPr>
                  <w:tcW w:w="64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19.2</w:t>
                  </w:r>
                </w:p>
              </w:tc>
              <w:tc>
                <w:tcPr>
                  <w:tcW w:w="63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15</w:t>
                  </w:r>
                </w:p>
              </w:tc>
              <w:tc>
                <w:tcPr>
                  <w:tcW w:w="57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19</w:t>
                  </w:r>
                </w:p>
              </w:tc>
              <w:tc>
                <w:tcPr>
                  <w:tcW w:w="59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9.1</w:t>
                  </w:r>
                </w:p>
              </w:tc>
              <w:tc>
                <w:tcPr>
                  <w:tcW w:w="58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13</w:t>
                  </w:r>
                </w:p>
              </w:tc>
              <w:tc>
                <w:tcPr>
                  <w:tcW w:w="598"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小沟河水库（②支0+924）</w:t>
                  </w:r>
                </w:p>
              </w:tc>
              <w:tc>
                <w:tcPr>
                  <w:tcW w:w="644"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6.4</w:t>
                  </w:r>
                </w:p>
              </w:tc>
              <w:tc>
                <w:tcPr>
                  <w:tcW w:w="649"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0.25</w:t>
                  </w:r>
                </w:p>
              </w:tc>
              <w:tc>
                <w:tcPr>
                  <w:tcW w:w="697"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0.131</w:t>
                  </w:r>
                </w:p>
              </w:tc>
              <w:tc>
                <w:tcPr>
                  <w:tcW w:w="647"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3.5</w:t>
                  </w:r>
                </w:p>
              </w:tc>
              <w:tc>
                <w:tcPr>
                  <w:tcW w:w="637"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12</w:t>
                  </w:r>
                </w:p>
              </w:tc>
              <w:tc>
                <w:tcPr>
                  <w:tcW w:w="578" w:type="dxa"/>
                  <w:tcBorders>
                    <w:top w:val="single" w:color="auto"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13</w:t>
                  </w:r>
                </w:p>
              </w:tc>
              <w:tc>
                <w:tcPr>
                  <w:tcW w:w="597"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10.2</w:t>
                  </w:r>
                </w:p>
              </w:tc>
              <w:tc>
                <w:tcPr>
                  <w:tcW w:w="587"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12</w:t>
                  </w:r>
                </w:p>
              </w:tc>
              <w:tc>
                <w:tcPr>
                  <w:tcW w:w="598"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漆树沟水库（主干渠1+397）</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6.9</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0.11</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0.127</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2.4</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7</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10</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3.8</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6</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刘家坪水库（左干渠0+709）</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6.2</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0.10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0.126</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6.0</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12</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15</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5.2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8</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烂田湾水库（左干渠0+323）</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6.7</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0.25</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0.075</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13.6</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15</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12</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12.0</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13</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后头湾水库（主干渠0+170）</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6.5</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lang w:val="en-US" w:eastAsia="zh-CN"/>
                    </w:rPr>
                  </w:pPr>
                  <w:r>
                    <w:rPr>
                      <w:rFonts w:hint="default" w:ascii="Times New Roman" w:hAnsi="Times New Roman" w:eastAsia="宋体" w:cs="Times New Roman"/>
                      <w:i w:val="0"/>
                      <w:iCs w:val="0"/>
                      <w:color w:val="000000"/>
                      <w:sz w:val="21"/>
                      <w:szCs w:val="21"/>
                      <w:highlight w:val="none"/>
                      <w:u w:val="none"/>
                      <w:lang w:val="en-US" w:eastAsia="zh-CN"/>
                    </w:rPr>
                    <w:t>ND</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0.150</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2.9</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7</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6</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color w:val="000000"/>
                      <w:sz w:val="21"/>
                      <w:szCs w:val="21"/>
                      <w:highlight w:val="none"/>
                      <w:u w:val="none"/>
                    </w:rPr>
                    <w:t>2.9</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highlight w:val="none"/>
                      <w:u w:val="none"/>
                      <w:lang w:eastAsia="zh-CN"/>
                    </w:rPr>
                  </w:pPr>
                  <w:r>
                    <w:rPr>
                      <w:rFonts w:hint="default" w:ascii="Times New Roman" w:hAnsi="Times New Roman" w:eastAsia="宋体" w:cs="Times New Roman"/>
                      <w:i w:val="0"/>
                      <w:iCs w:val="0"/>
                      <w:color w:val="000000"/>
                      <w:sz w:val="21"/>
                      <w:szCs w:val="21"/>
                      <w:highlight w:val="none"/>
                      <w:u w:val="none"/>
                      <w:lang w:val="en-US" w:eastAsia="zh-CN"/>
                    </w:rPr>
                    <w:t>5</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长征水库（左干渠0+541）</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6.3</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0.16</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000000"/>
                      <w:sz w:val="21"/>
                      <w:szCs w:val="21"/>
                      <w:highlight w:val="none"/>
                      <w:u w:val="none"/>
                    </w:rPr>
                    <w:t>0.161</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3.2</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43</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20</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10.9</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14</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sz w:val="21"/>
                      <w:szCs w:val="21"/>
                    </w:rPr>
                    <w:t>南六水库（左干渠0+574）</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6.6</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highlight w:val="none"/>
                      <w:u w:val="none"/>
                      <w:lang w:val="en-US" w:eastAsia="zh-CN"/>
                    </w:rPr>
                    <w:t>ND</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0.106</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1.0</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11</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eastAsia="zh-CN"/>
                    </w:rPr>
                  </w:pPr>
                  <w:r>
                    <w:rPr>
                      <w:rFonts w:hint="default" w:ascii="Times New Roman" w:hAnsi="Times New Roman" w:eastAsia="宋体" w:cs="Times New Roman"/>
                      <w:i w:val="0"/>
                      <w:iCs w:val="0"/>
                      <w:color w:val="000000"/>
                      <w:sz w:val="21"/>
                      <w:szCs w:val="21"/>
                      <w:highlight w:val="none"/>
                      <w:u w:val="none"/>
                      <w:lang w:val="en-US" w:eastAsia="zh-CN"/>
                    </w:rPr>
                    <w:t>5</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highlight w:val="none"/>
                      <w:u w:val="none"/>
                      <w:lang w:val="en-US" w:eastAsia="zh-CN"/>
                    </w:rPr>
                  </w:pPr>
                  <w:r>
                    <w:rPr>
                      <w:rFonts w:hint="default" w:ascii="Times New Roman" w:hAnsi="Times New Roman" w:eastAsia="宋体" w:cs="Times New Roman"/>
                      <w:i w:val="0"/>
                      <w:iCs w:val="0"/>
                      <w:color w:val="000000"/>
                      <w:sz w:val="21"/>
                      <w:szCs w:val="21"/>
                      <w:highlight w:val="none"/>
                      <w:u w:val="none"/>
                      <w:lang w:val="en-US" w:eastAsia="zh-CN"/>
                    </w:rPr>
                    <w:t>8.1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highlight w:val="none"/>
                      <w:u w:val="none"/>
                      <w:lang w:eastAsia="zh-CN"/>
                    </w:rPr>
                  </w:pPr>
                  <w:r>
                    <w:rPr>
                      <w:rFonts w:hint="default" w:ascii="Times New Roman" w:hAnsi="Times New Roman" w:eastAsia="宋体" w:cs="Times New Roman"/>
                      <w:i w:val="0"/>
                      <w:iCs w:val="0"/>
                      <w:color w:val="000000"/>
                      <w:sz w:val="21"/>
                      <w:szCs w:val="21"/>
                      <w:highlight w:val="none"/>
                      <w:u w:val="none"/>
                      <w:lang w:val="en-US" w:eastAsia="zh-CN"/>
                    </w:rPr>
                    <w:t>4</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sz w:val="21"/>
                      <w:szCs w:val="21"/>
                    </w:rPr>
                    <w:t>阴洞岩水库（右干渠0+186）</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6.5</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0.15</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0.063</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3.0</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26</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14</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9.0</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11</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6" w:hRule="atLeast"/>
                <w:jc w:val="center"/>
              </w:trPr>
              <w:tc>
                <w:tcPr>
                  <w:tcW w:w="74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2024.3.14</w:t>
                  </w: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九军坪水库（左干渠</w:t>
                  </w:r>
                  <w:r>
                    <w:rPr>
                      <w:rFonts w:hint="default" w:ascii="Times New Roman" w:hAnsi="Times New Roman" w:eastAsia="宋体" w:cs="Times New Roman"/>
                      <w:sz w:val="21"/>
                      <w:szCs w:val="21"/>
                      <w:lang w:val="en-US" w:eastAsia="zh-CN"/>
                    </w:rPr>
                    <w:t>0+030</w:t>
                  </w:r>
                  <w:r>
                    <w:rPr>
                      <w:rFonts w:hint="default" w:ascii="Times New Roman" w:hAnsi="Times New Roman" w:eastAsia="宋体" w:cs="Times New Roman"/>
                      <w:sz w:val="21"/>
                      <w:szCs w:val="21"/>
                      <w:lang w:eastAsia="zh-CN"/>
                    </w:rPr>
                    <w:t>）</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6.3</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rPr>
                    <w:t>0.09</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0.076</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3.7</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10</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16</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6.7</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13</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1" w:hRule="atLeast"/>
                <w:jc w:val="center"/>
              </w:trPr>
              <w:tc>
                <w:tcPr>
                  <w:tcW w:w="74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rPr>
                  </w:pPr>
                </w:p>
              </w:tc>
              <w:tc>
                <w:tcPr>
                  <w:tcW w:w="29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曹家沟水库（主干渠</w:t>
                  </w:r>
                  <w:r>
                    <w:rPr>
                      <w:rFonts w:hint="default" w:ascii="Times New Roman" w:hAnsi="Times New Roman" w:eastAsia="宋体" w:cs="Times New Roman"/>
                      <w:sz w:val="21"/>
                      <w:szCs w:val="21"/>
                      <w:lang w:val="en-US" w:eastAsia="zh-CN"/>
                    </w:rPr>
                    <w:t>0+556</w:t>
                  </w:r>
                  <w:r>
                    <w:rPr>
                      <w:rFonts w:hint="default" w:ascii="Times New Roman" w:hAnsi="Times New Roman" w:eastAsia="宋体" w:cs="Times New Roman"/>
                      <w:sz w:val="21"/>
                      <w:szCs w:val="21"/>
                      <w:lang w:eastAsia="zh-CN"/>
                    </w:rPr>
                    <w:t>）</w:t>
                  </w:r>
                </w:p>
              </w:tc>
              <w:tc>
                <w:tcPr>
                  <w:tcW w:w="6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8.6</w:t>
                  </w:r>
                </w:p>
              </w:tc>
              <w:tc>
                <w:tcPr>
                  <w:tcW w:w="6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EA3324"/>
                      <w:sz w:val="21"/>
                      <w:szCs w:val="21"/>
                      <w:u w:val="none"/>
                    </w:rPr>
                  </w:pPr>
                  <w:r>
                    <w:rPr>
                      <w:rFonts w:hint="default" w:ascii="Times New Roman" w:hAnsi="Times New Roman" w:eastAsia="宋体" w:cs="Times New Roman"/>
                      <w:i w:val="0"/>
                      <w:iCs w:val="0"/>
                      <w:color w:val="000000"/>
                      <w:sz w:val="21"/>
                      <w:szCs w:val="21"/>
                      <w:highlight w:val="none"/>
                      <w:u w:val="none"/>
                      <w:lang w:val="en-US" w:eastAsia="zh-CN"/>
                    </w:rPr>
                    <w:t>ND</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highlight w:val="none"/>
                      <w:u w:val="none"/>
                    </w:rPr>
                    <w:t>0.135</w:t>
                  </w:r>
                </w:p>
              </w:tc>
              <w:tc>
                <w:tcPr>
                  <w:tcW w:w="6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2.4</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7</w:t>
                  </w:r>
                </w:p>
              </w:tc>
              <w:tc>
                <w:tcPr>
                  <w:tcW w:w="578" w:type="dxa"/>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6</w:t>
                  </w:r>
                </w:p>
              </w:tc>
              <w:tc>
                <w:tcPr>
                  <w:tcW w:w="5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4.7</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5</w:t>
                  </w:r>
                </w:p>
              </w:tc>
              <w:tc>
                <w:tcPr>
                  <w:tcW w:w="5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rPr>
                    <w:t>20</w:t>
                  </w:r>
                </w:p>
              </w:tc>
            </w:tr>
          </w:tbl>
          <w:p>
            <w:pPr>
              <w:spacing w:line="360" w:lineRule="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p>
          <w:p>
            <w:pPr>
              <w:tabs>
                <w:tab w:val="left" w:pos="5448"/>
              </w:tabs>
              <w:spacing w:line="360" w:lineRule="auto"/>
              <w:ind w:firstLine="480" w:firstLineChars="200"/>
              <w:rPr>
                <w:rFonts w:hint="eastAsia" w:ascii="Times New Roman" w:hAnsi="Times New Roman" w:eastAsia="黑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由上表可知，各灌区代表性渠道沉积物满足《土壤环境质量 农用地土壤污染风险管控标准（试行》）（GB 15618-2018）表1各pH对应的农用地相关限值，渠道沉积物未受污染。</w:t>
            </w:r>
          </w:p>
          <w:p>
            <w:pPr>
              <w:tabs>
                <w:tab w:val="left" w:pos="5448"/>
              </w:tabs>
              <w:spacing w:line="360" w:lineRule="auto"/>
              <w:ind w:firstLine="482" w:firstLineChars="200"/>
              <w:rPr>
                <w:rFonts w:ascii="Times New Roman" w:hAnsi="Times New Roman" w:eastAsia="黑体" w:cs="Times New Roman"/>
                <w:b/>
                <w:bCs/>
                <w:color w:val="000000" w:themeColor="text1"/>
                <w:sz w:val="24"/>
                <w:szCs w:val="24"/>
                <w14:textFill>
                  <w14:solidFill>
                    <w14:schemeClr w14:val="tx1"/>
                  </w14:solidFill>
                </w14:textFill>
              </w:rPr>
            </w:pPr>
            <w:r>
              <w:rPr>
                <w:rFonts w:hint="eastAsia" w:ascii="Times New Roman" w:hAnsi="Times New Roman" w:eastAsia="黑体" w:cs="Times New Roman"/>
                <w:b/>
                <w:bCs/>
                <w:color w:val="000000" w:themeColor="text1"/>
                <w:sz w:val="24"/>
                <w:szCs w:val="24"/>
                <w14:textFill>
                  <w14:solidFill>
                    <w14:schemeClr w14:val="tx1"/>
                  </w14:solidFill>
                </w14:textFill>
              </w:rPr>
              <w:t>（</w:t>
            </w:r>
            <w:r>
              <w:rPr>
                <w:rFonts w:hint="eastAsia" w:ascii="Times New Roman" w:hAnsi="Times New Roman" w:eastAsia="黑体" w:cs="Times New Roman"/>
                <w:b/>
                <w:bCs/>
                <w:color w:val="000000" w:themeColor="text1"/>
                <w:sz w:val="24"/>
                <w:szCs w:val="24"/>
                <w:lang w:val="en-US" w:eastAsia="zh-CN"/>
                <w14:textFill>
                  <w14:solidFill>
                    <w14:schemeClr w14:val="tx1"/>
                  </w14:solidFill>
                </w14:textFill>
              </w:rPr>
              <w:t>六</w:t>
            </w:r>
            <w:r>
              <w:rPr>
                <w:rFonts w:hint="eastAsia" w:ascii="Times New Roman" w:hAnsi="Times New Roman" w:eastAsia="黑体" w:cs="Times New Roman"/>
                <w:b/>
                <w:bCs/>
                <w:color w:val="000000" w:themeColor="text1"/>
                <w:sz w:val="24"/>
                <w:szCs w:val="24"/>
                <w14:textFill>
                  <w14:solidFill>
                    <w14:schemeClr w14:val="tx1"/>
                  </w14:solidFill>
                </w14:textFill>
              </w:rPr>
              <w:t>）</w:t>
            </w:r>
            <w:r>
              <w:rPr>
                <w:rFonts w:hint="eastAsia" w:ascii="Times New Roman" w:hAnsi="Times New Roman" w:eastAsia="黑体" w:cs="Times New Roman"/>
                <w:b/>
                <w:bCs/>
                <w:color w:val="000000" w:themeColor="text1"/>
                <w:sz w:val="24"/>
                <w:szCs w:val="24"/>
                <w:lang w:val="en-US" w:eastAsia="zh-CN"/>
                <w14:textFill>
                  <w14:solidFill>
                    <w14:schemeClr w14:val="tx1"/>
                  </w14:solidFill>
                </w14:textFill>
              </w:rPr>
              <w:t>地下水</w:t>
            </w:r>
            <w:r>
              <w:rPr>
                <w:rFonts w:hint="eastAsia" w:ascii="Times New Roman" w:hAnsi="Times New Roman" w:eastAsia="黑体" w:cs="Times New Roman"/>
                <w:b/>
                <w:bCs/>
                <w:color w:val="000000" w:themeColor="text1"/>
                <w:sz w:val="24"/>
                <w:szCs w:val="24"/>
                <w14:textFill>
                  <w14:solidFill>
                    <w14:schemeClr w14:val="tx1"/>
                  </w14:solidFill>
                </w14:textFill>
              </w:rPr>
              <w:t>环境调查</w:t>
            </w:r>
          </w:p>
          <w:p>
            <w:pPr>
              <w:spacing w:line="360" w:lineRule="auto"/>
              <w:ind w:firstLine="480" w:firstLineChars="200"/>
              <w:rPr>
                <w:rFonts w:ascii="Times New Roman" w:hAnsi="Times New Roman" w:cs="Times New Roman"/>
                <w:szCs w:val="21"/>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根据建设项目资料，本项目分类属于《环境影响评价技术导则 地下水环境》（HJ610-2016）附录A中“A 水利、第2项、灌区工程中其他”，为IV类建设项目；因此，根据《环境影响评价技术导则 地下水环境》（HJ610-2016）中“4.1 一般性原则”，本项目不开展地下水环境影响评价。因此，本次环评不进行地下水环境调查。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438"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与项目有关的原有环境污染和生态破坏问题</w:t>
            </w:r>
          </w:p>
        </w:tc>
        <w:tc>
          <w:tcPr>
            <w:tcW w:w="9524" w:type="dxa"/>
            <w:vAlign w:val="center"/>
          </w:tcPr>
          <w:p>
            <w:pPr>
              <w:autoSpaceDE w:val="0"/>
              <w:autoSpaceDN w:val="0"/>
              <w:adjustRightInd w:val="0"/>
              <w:snapToGrid w:val="0"/>
              <w:spacing w:line="360" w:lineRule="auto"/>
              <w:ind w:firstLine="480" w:firstLineChars="200"/>
              <w:rPr>
                <w:rFonts w:hint="default" w:ascii="Times New Roman" w:hAnsi="Times New Roman" w:cs="Times New Roman" w:eastAsiaTheme="minorEastAsia"/>
                <w:kern w:val="0"/>
                <w:szCs w:val="21"/>
                <w:lang w:val="en-US" w:eastAsia="zh-CN"/>
              </w:rPr>
            </w:pPr>
            <w:r>
              <w:rPr>
                <w:rFonts w:ascii="Times New Roman" w:hAnsi="Times New Roman" w:cs="Times New Roman"/>
                <w:kern w:val="0"/>
                <w:sz w:val="24"/>
                <w:szCs w:val="24"/>
              </w:rPr>
              <w:t xml:space="preserve"> 本项目为</w:t>
            </w:r>
            <w:r>
              <w:rPr>
                <w:rFonts w:hint="eastAsia" w:ascii="Times New Roman" w:hAnsi="Times New Roman" w:cs="Times New Roman"/>
                <w:kern w:val="0"/>
                <w:sz w:val="24"/>
                <w:szCs w:val="24"/>
                <w:lang w:val="en-US" w:eastAsia="zh-CN"/>
              </w:rPr>
              <w:t>农村地区的灌区整治工程</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渠道、管道部分段破损导致的水土流失情况时有发生，但</w:t>
            </w:r>
            <w:r>
              <w:rPr>
                <w:rFonts w:ascii="Times New Roman" w:hAnsi="Times New Roman" w:cs="Times New Roman"/>
                <w:kern w:val="0"/>
                <w:sz w:val="24"/>
                <w:szCs w:val="24"/>
              </w:rPr>
              <w:t>区域生态环境整体较好，不存在明显的生态破坏、失衡等现象</w:t>
            </w:r>
            <w:r>
              <w:rPr>
                <w:rFonts w:hint="eastAsia" w:ascii="Times New Roman" w:hAnsi="Times New Roman" w:cs="Times New Roman"/>
                <w:kern w:val="0"/>
                <w:sz w:val="24"/>
                <w:szCs w:val="24"/>
                <w:lang w:eastAsia="zh-CN"/>
              </w:rPr>
              <w:t>，</w:t>
            </w:r>
            <w:r>
              <w:rPr>
                <w:rFonts w:hint="eastAsia" w:ascii="Times New Roman" w:hAnsi="Times New Roman" w:cs="Times New Roman"/>
                <w:kern w:val="0"/>
                <w:sz w:val="24"/>
                <w:szCs w:val="24"/>
                <w:lang w:val="en-US" w:eastAsia="zh-CN"/>
              </w:rPr>
              <w:t>不涉及明显的环境污染问题。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438" w:type="dxa"/>
            <w:vAlign w:val="center"/>
          </w:tcPr>
          <w:p>
            <w:pPr>
              <w:adjustRightInd w:val="0"/>
              <w:snapToGrid w:val="0"/>
              <w:jc w:val="center"/>
              <w:rPr>
                <w:rFonts w:ascii="Times New Roman" w:hAnsi="Times New Roman" w:cs="Times New Roman"/>
                <w:szCs w:val="21"/>
              </w:rPr>
            </w:pPr>
            <w:r>
              <w:rPr>
                <w:rFonts w:ascii="Times New Roman" w:hAnsi="Times New Roman" w:cs="Times New Roman"/>
                <w:szCs w:val="21"/>
              </w:rPr>
              <w:t>生态环境保护目标</w:t>
            </w:r>
          </w:p>
        </w:tc>
        <w:tc>
          <w:tcPr>
            <w:tcW w:w="9524" w:type="dxa"/>
            <w:vAlign w:val="center"/>
          </w:tcPr>
          <w:p>
            <w:pPr>
              <w:pStyle w:val="3"/>
              <w:rPr>
                <w:rFonts w:ascii="Times New Roman" w:hAnsi="Times New Roman" w:cs="Times New Roman"/>
                <w:szCs w:val="21"/>
              </w:rPr>
            </w:pPr>
            <w:r>
              <w:rPr>
                <w:rFonts w:ascii="Times New Roman" w:hAnsi="Times New Roman" w:cs="Times New Roman"/>
                <w:kern w:val="0"/>
                <w:sz w:val="24"/>
                <w:szCs w:val="24"/>
              </w:rPr>
              <w:t>一、评价范围的确定</w:t>
            </w:r>
          </w:p>
          <w:p>
            <w:pPr>
              <w:jc w:val="center"/>
              <w:rPr>
                <w:rFonts w:ascii="Times New Roman" w:hAnsi="Times New Roman" w:cs="Times New Roman"/>
                <w:b/>
                <w:szCs w:val="21"/>
              </w:rPr>
            </w:pPr>
            <w:r>
              <w:rPr>
                <w:rFonts w:ascii="Times New Roman" w:hAnsi="Times New Roman" w:cs="Times New Roman"/>
                <w:b/>
                <w:szCs w:val="21"/>
              </w:rPr>
              <w:t>表3-</w:t>
            </w:r>
            <w:r>
              <w:rPr>
                <w:rFonts w:hint="eastAsia" w:ascii="Times New Roman" w:hAnsi="Times New Roman" w:cs="Times New Roman"/>
                <w:b/>
                <w:szCs w:val="21"/>
                <w:lang w:val="en-US" w:eastAsia="zh-CN"/>
              </w:rPr>
              <w:t>12</w:t>
            </w:r>
            <w:r>
              <w:rPr>
                <w:rFonts w:ascii="Times New Roman" w:hAnsi="Times New Roman" w:cs="Times New Roman"/>
                <w:b/>
                <w:szCs w:val="21"/>
              </w:rPr>
              <w:t xml:space="preserve">  评价范围表</w:t>
            </w:r>
          </w:p>
          <w:tbl>
            <w:tblPr>
              <w:tblStyle w:val="26"/>
              <w:tblW w:w="931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759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722" w:type="dxa"/>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9"/>
                    <w:jc w:val="center"/>
                    <w:rPr>
                      <w:rFonts w:ascii="Times New Roman" w:hAnsi="Times New Roman" w:eastAsia="Times New Roman" w:cs="Times New Roman"/>
                      <w:sz w:val="21"/>
                    </w:rPr>
                  </w:pPr>
                  <w:r>
                    <w:rPr>
                      <w:rFonts w:ascii="Times New Roman" w:hAnsi="Times New Roman" w:cs="Times New Roman"/>
                      <w:sz w:val="21"/>
                    </w:rPr>
                    <w:t>环境要素</w:t>
                  </w:r>
                </w:p>
              </w:tc>
              <w:tc>
                <w:tcPr>
                  <w:tcW w:w="7597" w:type="dxa"/>
                  <w:tcBorders>
                    <w:top w:val="single" w:color="000000" w:sz="8" w:space="0"/>
                    <w:left w:val="single" w:color="000000" w:sz="8" w:space="0"/>
                    <w:bottom w:val="single" w:color="000000" w:sz="8" w:space="0"/>
                    <w:right w:val="single" w:color="000000" w:sz="8" w:space="0"/>
                  </w:tcBorders>
                  <w:shd w:val="clear" w:color="auto" w:fill="FFFFFF"/>
                </w:tcPr>
                <w:p>
                  <w:pPr>
                    <w:pStyle w:val="19"/>
                    <w:jc w:val="center"/>
                    <w:rPr>
                      <w:rFonts w:ascii="Times New Roman" w:hAnsi="Times New Roman" w:eastAsia="Times New Roman" w:cs="Times New Roman"/>
                      <w:sz w:val="21"/>
                    </w:rPr>
                  </w:pPr>
                  <w:r>
                    <w:rPr>
                      <w:rFonts w:ascii="Times New Roman" w:hAnsi="Times New Roman" w:cs="Times New Roman"/>
                      <w:sz w:val="21"/>
                    </w:rPr>
                    <w:t>评价范围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722" w:type="dxa"/>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9"/>
                    <w:jc w:val="center"/>
                    <w:rPr>
                      <w:rFonts w:ascii="Times New Roman" w:hAnsi="Times New Roman" w:eastAsia="Times New Roman" w:cs="Times New Roman"/>
                      <w:sz w:val="21"/>
                    </w:rPr>
                  </w:pPr>
                  <w:r>
                    <w:rPr>
                      <w:rFonts w:ascii="Times New Roman" w:hAnsi="Times New Roman" w:cs="Times New Roman"/>
                      <w:sz w:val="21"/>
                    </w:rPr>
                    <w:t>生态环境</w:t>
                  </w:r>
                </w:p>
              </w:tc>
              <w:tc>
                <w:tcPr>
                  <w:tcW w:w="7597" w:type="dxa"/>
                  <w:tcBorders>
                    <w:top w:val="single" w:color="000000" w:sz="8" w:space="0"/>
                    <w:left w:val="single" w:color="000000" w:sz="8" w:space="0"/>
                    <w:bottom w:val="single" w:color="000000" w:sz="8" w:space="0"/>
                    <w:right w:val="single" w:color="000000" w:sz="8" w:space="0"/>
                  </w:tcBorders>
                  <w:shd w:val="clear" w:color="auto" w:fill="FFFFFF"/>
                </w:tcPr>
                <w:p>
                  <w:pPr>
                    <w:pStyle w:val="19"/>
                    <w:jc w:val="center"/>
                    <w:rPr>
                      <w:rFonts w:hint="default" w:ascii="Times New Roman" w:hAnsi="Times New Roman" w:eastAsia="宋体" w:cs="Times New Roman"/>
                      <w:sz w:val="21"/>
                      <w:lang w:val="en-US" w:eastAsia="zh-CN"/>
                    </w:rPr>
                  </w:pPr>
                  <w:r>
                    <w:rPr>
                      <w:rFonts w:hint="eastAsia" w:ascii="Times New Roman" w:hAnsi="Times New Roman" w:eastAsia="宋体" w:cs="Times New Roman"/>
                      <w:sz w:val="21"/>
                      <w:lang w:val="en-US" w:eastAsia="zh-CN"/>
                    </w:rPr>
                    <w:t>渠道/管道两侧外延50m范围*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722" w:type="dxa"/>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9"/>
                    <w:jc w:val="center"/>
                    <w:rPr>
                      <w:rFonts w:ascii="Times New Roman" w:hAnsi="Times New Roman" w:eastAsia="Times New Roman" w:cs="Times New Roman"/>
                      <w:sz w:val="21"/>
                    </w:rPr>
                  </w:pPr>
                  <w:r>
                    <w:rPr>
                      <w:rFonts w:ascii="Times New Roman" w:hAnsi="Times New Roman" w:cs="Times New Roman"/>
                      <w:sz w:val="21"/>
                    </w:rPr>
                    <w:t>声环境</w:t>
                  </w:r>
                </w:p>
              </w:tc>
              <w:tc>
                <w:tcPr>
                  <w:tcW w:w="7597" w:type="dxa"/>
                  <w:tcBorders>
                    <w:top w:val="single" w:color="000000" w:sz="8" w:space="0"/>
                    <w:left w:val="single" w:color="000000" w:sz="8" w:space="0"/>
                    <w:bottom w:val="single" w:color="000000" w:sz="8" w:space="0"/>
                    <w:right w:val="single" w:color="000000" w:sz="8" w:space="0"/>
                  </w:tcBorders>
                  <w:shd w:val="clear" w:color="auto" w:fill="FFFFFF"/>
                </w:tcPr>
                <w:p>
                  <w:pPr>
                    <w:pStyle w:val="19"/>
                    <w:jc w:val="center"/>
                    <w:rPr>
                      <w:rFonts w:ascii="Times New Roman" w:hAnsi="Times New Roman" w:cs="Times New Roman"/>
                      <w:sz w:val="21"/>
                    </w:rPr>
                  </w:pPr>
                  <w:r>
                    <w:rPr>
                      <w:rFonts w:hint="eastAsia" w:ascii="Times New Roman" w:hAnsi="Times New Roman" w:cs="Times New Roman"/>
                      <w:sz w:val="21"/>
                      <w:lang w:val="en-US" w:eastAsia="zh-CN"/>
                    </w:rPr>
                    <w:t>施工期以施工渠道/管道两侧200m范围</w:t>
                  </w:r>
                  <w:r>
                    <w:rPr>
                      <w:rFonts w:ascii="Times New Roman" w:hAnsi="Times New Roman" w:cs="Times New Roman"/>
                      <w:sz w:val="21"/>
                    </w:rPr>
                    <w:t>；营运期无明显</w:t>
                  </w:r>
                  <w:r>
                    <w:rPr>
                      <w:rFonts w:hint="eastAsia" w:ascii="Times New Roman" w:hAnsi="Times New Roman" w:cs="Times New Roman"/>
                      <w:sz w:val="21"/>
                      <w:lang w:val="en-US" w:eastAsia="zh-CN"/>
                    </w:rPr>
                    <w:t>频发</w:t>
                  </w:r>
                  <w:r>
                    <w:rPr>
                      <w:rFonts w:ascii="Times New Roman" w:hAnsi="Times New Roman" w:cs="Times New Roman"/>
                      <w:sz w:val="21"/>
                    </w:rPr>
                    <w:t>噪声源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722" w:type="dxa"/>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9"/>
                    <w:jc w:val="center"/>
                    <w:rPr>
                      <w:rFonts w:ascii="Times New Roman" w:hAnsi="Times New Roman" w:eastAsia="Times New Roman" w:cs="Times New Roman"/>
                      <w:sz w:val="21"/>
                    </w:rPr>
                  </w:pPr>
                  <w:r>
                    <w:rPr>
                      <w:rFonts w:ascii="Times New Roman" w:hAnsi="Times New Roman" w:cs="Times New Roman"/>
                      <w:sz w:val="21"/>
                    </w:rPr>
                    <w:t>环境空气</w:t>
                  </w:r>
                </w:p>
              </w:tc>
              <w:tc>
                <w:tcPr>
                  <w:tcW w:w="7597" w:type="dxa"/>
                  <w:tcBorders>
                    <w:top w:val="single" w:color="000000" w:sz="8" w:space="0"/>
                    <w:left w:val="single" w:color="000000" w:sz="8" w:space="0"/>
                    <w:bottom w:val="single" w:color="000000" w:sz="8" w:space="0"/>
                    <w:right w:val="single" w:color="000000" w:sz="8" w:space="0"/>
                  </w:tcBorders>
                  <w:shd w:val="clear" w:color="auto" w:fill="FFFFFF"/>
                </w:tcPr>
                <w:p>
                  <w:pPr>
                    <w:pStyle w:val="19"/>
                    <w:jc w:val="center"/>
                    <w:rPr>
                      <w:rFonts w:hint="eastAsia" w:ascii="Times New Roman" w:hAnsi="Times New Roman" w:cs="Times New Roman" w:eastAsiaTheme="minorEastAsia"/>
                      <w:sz w:val="21"/>
                      <w:lang w:eastAsia="zh-CN"/>
                    </w:rPr>
                  </w:pPr>
                  <w:r>
                    <w:rPr>
                      <w:rFonts w:ascii="Times New Roman" w:hAnsi="Times New Roman" w:cs="Times New Roman"/>
                      <w:sz w:val="21"/>
                    </w:rPr>
                    <w:t>项目</w:t>
                  </w:r>
                  <w:r>
                    <w:rPr>
                      <w:rFonts w:hint="eastAsia" w:ascii="Times New Roman" w:hAnsi="Times New Roman" w:cs="Times New Roman"/>
                      <w:sz w:val="21"/>
                      <w:lang w:val="en-US" w:eastAsia="zh-CN"/>
                    </w:rPr>
                    <w:t>施工区及</w:t>
                  </w:r>
                  <w:r>
                    <w:rPr>
                      <w:rFonts w:ascii="Times New Roman" w:hAnsi="Times New Roman" w:cs="Times New Roman"/>
                      <w:sz w:val="21"/>
                    </w:rPr>
                    <w:t>周边环境空气</w:t>
                  </w:r>
                  <w:r>
                    <w:rPr>
                      <w:rFonts w:hint="eastAsia" w:ascii="Times New Roman" w:hAnsi="Times New Roman" w:cs="Times New Roman"/>
                      <w:sz w:val="21"/>
                      <w:lang w:eastAsia="zh-CN"/>
                    </w:rPr>
                    <w:t>（</w:t>
                  </w:r>
                  <w:r>
                    <w:rPr>
                      <w:rFonts w:hint="eastAsia" w:ascii="Times New Roman" w:hAnsi="Times New Roman" w:cs="Times New Roman"/>
                      <w:sz w:val="21"/>
                      <w:lang w:val="en-US" w:eastAsia="zh-CN"/>
                    </w:rPr>
                    <w:t>评价区内不涉及一类区</w:t>
                  </w:r>
                  <w:r>
                    <w:rPr>
                      <w:rFonts w:hint="eastAsia" w:ascii="Times New Roman" w:hAnsi="Times New Roman" w:cs="Times New Roman"/>
                      <w:sz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722" w:type="dxa"/>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9"/>
                    <w:jc w:val="center"/>
                    <w:rPr>
                      <w:rFonts w:ascii="Times New Roman" w:hAnsi="Times New Roman" w:eastAsia="Times New Roman" w:cs="Times New Roman"/>
                      <w:sz w:val="21"/>
                    </w:rPr>
                  </w:pPr>
                  <w:r>
                    <w:rPr>
                      <w:rFonts w:ascii="Times New Roman" w:hAnsi="Times New Roman" w:cs="Times New Roman"/>
                      <w:sz w:val="21"/>
                    </w:rPr>
                    <w:t>地表水环境</w:t>
                  </w:r>
                </w:p>
              </w:tc>
              <w:tc>
                <w:tcPr>
                  <w:tcW w:w="7597" w:type="dxa"/>
                  <w:tcBorders>
                    <w:top w:val="single" w:color="000000" w:sz="8" w:space="0"/>
                    <w:left w:val="single" w:color="000000" w:sz="8" w:space="0"/>
                    <w:bottom w:val="single" w:color="000000" w:sz="8" w:space="0"/>
                    <w:right w:val="single" w:color="000000" w:sz="8" w:space="0"/>
                  </w:tcBorders>
                  <w:shd w:val="clear" w:color="auto" w:fill="FFFFFF"/>
                </w:tcPr>
                <w:p>
                  <w:pPr>
                    <w:pStyle w:val="19"/>
                    <w:jc w:val="center"/>
                    <w:rPr>
                      <w:rFonts w:hint="default" w:ascii="Times New Roman" w:hAnsi="Times New Roman" w:cs="Times New Roman" w:eastAsiaTheme="minorEastAsia"/>
                      <w:sz w:val="21"/>
                      <w:lang w:val="en-US" w:eastAsia="zh-CN"/>
                    </w:rPr>
                  </w:pPr>
                  <w:r>
                    <w:rPr>
                      <w:rFonts w:hint="eastAsia" w:ascii="Times New Roman" w:hAnsi="Times New Roman" w:cs="Times New Roman"/>
                      <w:sz w:val="21"/>
                      <w:lang w:val="en-US" w:eastAsia="zh-CN"/>
                    </w:rPr>
                    <w:t>现有渠道、管道内地表水环境*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9319" w:type="dxa"/>
                  <w:gridSpan w:val="2"/>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9"/>
                    <w:jc w:val="left"/>
                    <w:rPr>
                      <w:rFonts w:hint="eastAsia" w:ascii="Times New Roman" w:hAnsi="Times New Roman" w:cs="Times New Roman"/>
                      <w:sz w:val="21"/>
                      <w:lang w:val="en-US" w:eastAsia="zh-CN"/>
                    </w:rPr>
                  </w:pPr>
                  <w:r>
                    <w:rPr>
                      <w:rFonts w:hint="eastAsia" w:ascii="Times New Roman" w:hAnsi="Times New Roman" w:cs="Times New Roman"/>
                      <w:sz w:val="21"/>
                      <w:lang w:val="en-US" w:eastAsia="zh-CN"/>
                    </w:rPr>
                    <w:t>*：本项目为农村灌区渠道、管道治理工程，施工期以人工结合小型施工机械为主，综合考虑对生态</w:t>
                  </w:r>
                </w:p>
                <w:p>
                  <w:pPr>
                    <w:pStyle w:val="19"/>
                    <w:jc w:val="left"/>
                    <w:rPr>
                      <w:rFonts w:hint="eastAsia" w:ascii="Times New Roman" w:hAnsi="Times New Roman" w:cs="Times New Roman"/>
                      <w:sz w:val="21"/>
                      <w:lang w:val="en-US" w:eastAsia="zh-CN"/>
                    </w:rPr>
                  </w:pPr>
                  <w:r>
                    <w:rPr>
                      <w:rFonts w:hint="eastAsia" w:ascii="Times New Roman" w:hAnsi="Times New Roman" w:cs="Times New Roman"/>
                      <w:sz w:val="21"/>
                      <w:lang w:val="en-US" w:eastAsia="zh-CN"/>
                    </w:rPr>
                    <w:t>因子的影响方式、影响程度和生态因子之间的相互影响和相互依存关系，确定生态环境影响范围在</w:t>
                  </w:r>
                </w:p>
                <w:p>
                  <w:pPr>
                    <w:pStyle w:val="19"/>
                    <w:jc w:val="left"/>
                    <w:rPr>
                      <w:rFonts w:hint="eastAsia" w:ascii="Times New Roman" w:hAnsi="Times New Roman" w:cs="Times New Roman"/>
                      <w:sz w:val="21"/>
                      <w:lang w:val="en-US" w:eastAsia="zh-CN"/>
                    </w:rPr>
                  </w:pPr>
                  <w:r>
                    <w:rPr>
                      <w:rFonts w:hint="eastAsia" w:ascii="Times New Roman" w:hAnsi="Times New Roman" w:cs="Times New Roman"/>
                      <w:sz w:val="21"/>
                      <w:lang w:val="en-US" w:eastAsia="zh-CN"/>
                    </w:rPr>
                    <w:t>渠道两侧50m范围；</w:t>
                  </w:r>
                  <w:r>
                    <w:rPr>
                      <w:rFonts w:hint="eastAsia" w:ascii="Times New Roman" w:hAnsi="Times New Roman" w:cs="Times New Roman"/>
                      <w:sz w:val="21"/>
                      <w:lang w:val="en-US" w:eastAsia="zh-CN"/>
                    </w:rPr>
                    <w:br w:type="textWrapping"/>
                  </w:r>
                  <w:r>
                    <w:rPr>
                      <w:rFonts w:hint="eastAsia" w:ascii="Times New Roman" w:hAnsi="Times New Roman" w:cs="Times New Roman"/>
                      <w:sz w:val="21"/>
                      <w:lang w:val="en-US" w:eastAsia="zh-CN"/>
                    </w:rPr>
                    <w:t>综合判定，在落实相关水环境保护措施后，本项目地表水评价范围仅限用地红线内，不会影响</w:t>
                  </w:r>
                </w:p>
                <w:p>
                  <w:pPr>
                    <w:pStyle w:val="19"/>
                    <w:jc w:val="left"/>
                    <w:rPr>
                      <w:rFonts w:hint="default" w:ascii="Times New Roman" w:hAnsi="Times New Roman" w:cs="Times New Roman" w:eastAsiaTheme="minorEastAsia"/>
                      <w:sz w:val="21"/>
                      <w:lang w:val="en-US" w:eastAsia="zh-CN"/>
                    </w:rPr>
                  </w:pPr>
                  <w:r>
                    <w:rPr>
                      <w:rFonts w:hint="eastAsia" w:ascii="Times New Roman" w:hAnsi="Times New Roman" w:cs="Times New Roman"/>
                      <w:sz w:val="21"/>
                      <w:lang w:val="en-US" w:eastAsia="zh-CN"/>
                    </w:rPr>
                    <w:t>到饮用水源保护区。</w:t>
                  </w:r>
                </w:p>
              </w:tc>
            </w:tr>
          </w:tbl>
          <w:p>
            <w:pPr>
              <w:jc w:val="left"/>
              <w:rPr>
                <w:rFonts w:ascii="Times New Roman" w:hAnsi="Times New Roman" w:cs="Times New Roman"/>
                <w:b/>
                <w:szCs w:val="24"/>
              </w:rPr>
            </w:pPr>
          </w:p>
          <w:p>
            <w:pPr>
              <w:pStyle w:val="3"/>
              <w:rPr>
                <w:rFonts w:ascii="Times New Roman" w:hAnsi="Times New Roman" w:cs="Times New Roman"/>
                <w:kern w:val="0"/>
                <w:sz w:val="24"/>
                <w:szCs w:val="24"/>
              </w:rPr>
            </w:pPr>
            <w:r>
              <w:rPr>
                <w:rFonts w:ascii="Times New Roman" w:hAnsi="Times New Roman" w:cs="Times New Roman"/>
                <w:kern w:val="0"/>
                <w:sz w:val="24"/>
                <w:szCs w:val="24"/>
              </w:rPr>
              <w:t>二、环境保护目标的识别</w:t>
            </w:r>
          </w:p>
          <w:p>
            <w:pPr>
              <w:spacing w:line="360" w:lineRule="auto"/>
              <w:ind w:firstLine="480" w:firstLineChars="200"/>
              <w:jc w:val="left"/>
              <w:rPr>
                <w:rFonts w:ascii="Times New Roman" w:hAnsi="Times New Roman" w:eastAsia="宋体" w:cs="Times New Roman"/>
                <w:bCs/>
                <w:sz w:val="24"/>
                <w:szCs w:val="24"/>
              </w:rPr>
            </w:pPr>
            <w:r>
              <w:rPr>
                <w:rFonts w:ascii="Times New Roman" w:hAnsi="Times New Roman" w:cs="Times New Roman"/>
                <w:bCs/>
                <w:sz w:val="24"/>
                <w:szCs w:val="24"/>
              </w:rPr>
              <w:t>1、地表水保护目标</w:t>
            </w:r>
          </w:p>
          <w:p>
            <w:pPr>
              <w:jc w:val="center"/>
              <w:rPr>
                <w:rFonts w:ascii="Times New Roman" w:hAnsi="Times New Roman" w:cs="Times New Roman"/>
                <w:b/>
                <w:szCs w:val="21"/>
              </w:rPr>
            </w:pPr>
            <w:r>
              <w:rPr>
                <w:rFonts w:ascii="Times New Roman" w:hAnsi="Times New Roman" w:cs="Times New Roman"/>
                <w:b/>
                <w:szCs w:val="21"/>
              </w:rPr>
              <w:t>表3-</w:t>
            </w:r>
            <w:r>
              <w:rPr>
                <w:rFonts w:hint="eastAsia" w:ascii="Times New Roman" w:hAnsi="Times New Roman" w:cs="Times New Roman"/>
                <w:b/>
                <w:szCs w:val="21"/>
                <w:lang w:val="en-US" w:eastAsia="zh-CN"/>
              </w:rPr>
              <w:t>13</w:t>
            </w:r>
            <w:r>
              <w:rPr>
                <w:rFonts w:ascii="Times New Roman" w:hAnsi="Times New Roman" w:cs="Times New Roman"/>
                <w:b/>
                <w:szCs w:val="21"/>
              </w:rPr>
              <w:t xml:space="preserve">  地表水环境保护目标</w:t>
            </w:r>
          </w:p>
          <w:tbl>
            <w:tblPr>
              <w:tblStyle w:val="26"/>
              <w:tblW w:w="9276"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02"/>
              <w:gridCol w:w="2189"/>
              <w:gridCol w:w="1170"/>
              <w:gridCol w:w="2100"/>
              <w:gridCol w:w="1665"/>
              <w:gridCol w:w="145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1" w:hRule="atLeast"/>
                <w:jc w:val="center"/>
              </w:trPr>
              <w:tc>
                <w:tcPr>
                  <w:tcW w:w="702" w:type="dxa"/>
                  <w:tcMar>
                    <w:top w:w="0" w:type="dxa"/>
                    <w:left w:w="0" w:type="dxa"/>
                    <w:bottom w:w="0" w:type="dxa"/>
                    <w:right w:w="0" w:type="dxa"/>
                  </w:tcMar>
                  <w:vAlign w:val="center"/>
                </w:tcPr>
                <w:p>
                  <w:pPr>
                    <w:jc w:val="center"/>
                    <w:rPr>
                      <w:rFonts w:ascii="Times New Roman" w:hAnsi="Times New Roman" w:cs="Times New Roman"/>
                      <w:b/>
                      <w:bCs/>
                      <w:szCs w:val="21"/>
                    </w:rPr>
                  </w:pPr>
                  <w:r>
                    <w:rPr>
                      <w:rFonts w:ascii="Times New Roman" w:hAnsi="Times New Roman" w:cs="Times New Roman"/>
                      <w:b/>
                      <w:bCs/>
                      <w:szCs w:val="21"/>
                    </w:rPr>
                    <w:t>环境要素</w:t>
                  </w:r>
                </w:p>
              </w:tc>
              <w:tc>
                <w:tcPr>
                  <w:tcW w:w="2189" w:type="dxa"/>
                  <w:tcMar>
                    <w:top w:w="0" w:type="dxa"/>
                    <w:left w:w="0" w:type="dxa"/>
                    <w:bottom w:w="0" w:type="dxa"/>
                    <w:right w:w="0" w:type="dxa"/>
                  </w:tcMar>
                  <w:vAlign w:val="center"/>
                </w:tcPr>
                <w:p>
                  <w:pPr>
                    <w:jc w:val="center"/>
                    <w:rPr>
                      <w:rFonts w:ascii="Times New Roman" w:hAnsi="Times New Roman" w:cs="Times New Roman"/>
                      <w:b/>
                      <w:bCs/>
                      <w:szCs w:val="21"/>
                    </w:rPr>
                  </w:pPr>
                  <w:r>
                    <w:rPr>
                      <w:rFonts w:ascii="Times New Roman" w:hAnsi="Times New Roman" w:cs="Times New Roman"/>
                      <w:b/>
                      <w:bCs/>
                      <w:szCs w:val="21"/>
                    </w:rPr>
                    <w:t>目标名称</w:t>
                  </w:r>
                </w:p>
              </w:tc>
              <w:tc>
                <w:tcPr>
                  <w:tcW w:w="1170" w:type="dxa"/>
                  <w:tcMar>
                    <w:top w:w="0" w:type="dxa"/>
                    <w:left w:w="0" w:type="dxa"/>
                    <w:bottom w:w="0" w:type="dxa"/>
                    <w:right w:w="0" w:type="dxa"/>
                  </w:tcMar>
                  <w:vAlign w:val="center"/>
                </w:tcPr>
                <w:p>
                  <w:pPr>
                    <w:jc w:val="center"/>
                    <w:rPr>
                      <w:rFonts w:ascii="Times New Roman" w:hAnsi="Times New Roman" w:cs="Times New Roman"/>
                      <w:b/>
                      <w:bCs/>
                      <w:szCs w:val="21"/>
                    </w:rPr>
                  </w:pPr>
                  <w:r>
                    <w:rPr>
                      <w:rFonts w:ascii="Times New Roman" w:hAnsi="Times New Roman" w:cs="Times New Roman"/>
                      <w:b/>
                      <w:bCs/>
                      <w:szCs w:val="21"/>
                    </w:rPr>
                    <w:t>规模</w:t>
                  </w:r>
                </w:p>
              </w:tc>
              <w:tc>
                <w:tcPr>
                  <w:tcW w:w="2100" w:type="dxa"/>
                  <w:tcMar>
                    <w:top w:w="0" w:type="dxa"/>
                    <w:left w:w="0" w:type="dxa"/>
                    <w:bottom w:w="0" w:type="dxa"/>
                    <w:right w:w="0" w:type="dxa"/>
                  </w:tcMar>
                  <w:vAlign w:val="center"/>
                </w:tcPr>
                <w:p>
                  <w:pPr>
                    <w:jc w:val="center"/>
                    <w:rPr>
                      <w:rFonts w:ascii="Times New Roman" w:hAnsi="Times New Roman" w:cs="Times New Roman"/>
                      <w:b/>
                      <w:bCs/>
                      <w:szCs w:val="21"/>
                    </w:rPr>
                  </w:pPr>
                  <w:r>
                    <w:rPr>
                      <w:rFonts w:ascii="Times New Roman" w:hAnsi="Times New Roman" w:cs="Times New Roman"/>
                      <w:b/>
                      <w:bCs/>
                      <w:szCs w:val="21"/>
                    </w:rPr>
                    <w:t>方位、最近直线距离</w:t>
                  </w:r>
                </w:p>
              </w:tc>
              <w:tc>
                <w:tcPr>
                  <w:tcW w:w="1665" w:type="dxa"/>
                  <w:tcMar>
                    <w:top w:w="0" w:type="dxa"/>
                    <w:left w:w="0" w:type="dxa"/>
                    <w:bottom w:w="0" w:type="dxa"/>
                    <w:right w:w="0" w:type="dxa"/>
                  </w:tcMar>
                  <w:vAlign w:val="center"/>
                </w:tcPr>
                <w:p>
                  <w:pPr>
                    <w:jc w:val="center"/>
                    <w:rPr>
                      <w:rFonts w:ascii="Times New Roman" w:hAnsi="Times New Roman" w:cs="Times New Roman"/>
                      <w:b/>
                      <w:bCs/>
                      <w:szCs w:val="21"/>
                    </w:rPr>
                  </w:pPr>
                  <w:r>
                    <w:rPr>
                      <w:rFonts w:ascii="Times New Roman" w:hAnsi="Times New Roman" w:cs="Times New Roman"/>
                      <w:b/>
                      <w:bCs/>
                      <w:szCs w:val="21"/>
                    </w:rPr>
                    <w:t>目标环境功能</w:t>
                  </w:r>
                </w:p>
              </w:tc>
              <w:tc>
                <w:tcPr>
                  <w:tcW w:w="1450" w:type="dxa"/>
                  <w:tcMar>
                    <w:top w:w="0" w:type="dxa"/>
                    <w:left w:w="0" w:type="dxa"/>
                    <w:bottom w:w="0" w:type="dxa"/>
                    <w:right w:w="0" w:type="dxa"/>
                  </w:tcMar>
                  <w:vAlign w:val="center"/>
                </w:tcPr>
                <w:p>
                  <w:pPr>
                    <w:jc w:val="center"/>
                    <w:rPr>
                      <w:rFonts w:ascii="Times New Roman" w:hAnsi="Times New Roman" w:cs="Times New Roman"/>
                      <w:b/>
                      <w:bCs/>
                      <w:szCs w:val="21"/>
                    </w:rPr>
                  </w:pPr>
                  <w:r>
                    <w:rPr>
                      <w:rFonts w:ascii="Times New Roman" w:hAnsi="Times New Roman" w:cs="Times New Roman"/>
                      <w:b/>
                      <w:bCs/>
                      <w:szCs w:val="21"/>
                    </w:rPr>
                    <w:t>保护级别</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0" w:hRule="atLeast"/>
                <w:jc w:val="center"/>
              </w:trPr>
              <w:tc>
                <w:tcPr>
                  <w:tcW w:w="702" w:type="dxa"/>
                  <w:vMerge w:val="restart"/>
                  <w:tcMar>
                    <w:top w:w="0" w:type="dxa"/>
                    <w:left w:w="0" w:type="dxa"/>
                    <w:bottom w:w="0" w:type="dxa"/>
                    <w:right w:w="0" w:type="dxa"/>
                  </w:tcMar>
                  <w:vAlign w:val="center"/>
                </w:tcPr>
                <w:p>
                  <w:pPr>
                    <w:jc w:val="center"/>
                    <w:rPr>
                      <w:rFonts w:ascii="Times New Roman" w:hAnsi="Times New Roman" w:cs="Times New Roman"/>
                      <w:szCs w:val="21"/>
                    </w:rPr>
                  </w:pPr>
                  <w:r>
                    <w:rPr>
                      <w:rFonts w:ascii="Times New Roman" w:hAnsi="Times New Roman" w:cs="Times New Roman"/>
                      <w:szCs w:val="21"/>
                    </w:rPr>
                    <w:t>水环境</w:t>
                  </w:r>
                </w:p>
              </w:tc>
              <w:tc>
                <w:tcPr>
                  <w:tcW w:w="2189" w:type="dxa"/>
                  <w:tcBorders>
                    <w:bottom w:val="single" w:color="auto" w:sz="4" w:space="0"/>
                  </w:tcBorders>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秧田湾水库饮用水保护区</w:t>
                  </w:r>
                </w:p>
              </w:tc>
              <w:tc>
                <w:tcPr>
                  <w:tcW w:w="1170" w:type="dxa"/>
                  <w:vMerge w:val="restart"/>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集中式饮用水源保护区</w:t>
                  </w:r>
                </w:p>
              </w:tc>
              <w:tc>
                <w:tcPr>
                  <w:tcW w:w="2100" w:type="dxa"/>
                  <w:tcBorders>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70m</w:t>
                  </w:r>
                </w:p>
              </w:tc>
              <w:tc>
                <w:tcPr>
                  <w:tcW w:w="1665" w:type="dxa"/>
                  <w:tcBorders>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供水</w:t>
                  </w:r>
                </w:p>
              </w:tc>
              <w:tc>
                <w:tcPr>
                  <w:tcW w:w="1450" w:type="dxa"/>
                  <w:vMerge w:val="restart"/>
                  <w:tcMar>
                    <w:top w:w="0" w:type="dxa"/>
                    <w:left w:w="0" w:type="dxa"/>
                    <w:bottom w:w="0" w:type="dxa"/>
                    <w:right w:w="0" w:type="dxa"/>
                  </w:tcMar>
                  <w:vAlign w:val="center"/>
                </w:tcPr>
                <w:p>
                  <w:pPr>
                    <w:jc w:val="center"/>
                    <w:rPr>
                      <w:rFonts w:ascii="Times New Roman" w:hAnsi="Times New Roman" w:cs="Times New Roman"/>
                      <w:szCs w:val="21"/>
                    </w:rPr>
                  </w:pPr>
                  <w:r>
                    <w:rPr>
                      <w:rFonts w:ascii="Times New Roman" w:hAnsi="Times New Roman" w:cs="Times New Roman"/>
                      <w:szCs w:val="21"/>
                    </w:rPr>
                    <w:t>GB3838-2002</w:t>
                  </w:r>
                </w:p>
                <w:p>
                  <w:pPr>
                    <w:jc w:val="center"/>
                    <w:rPr>
                      <w:rFonts w:ascii="Times New Roman" w:hAnsi="Times New Roman" w:cs="Times New Roman" w:eastAsiaTheme="minorEastAsia"/>
                      <w:kern w:val="2"/>
                      <w:sz w:val="21"/>
                      <w:szCs w:val="21"/>
                      <w:lang w:val="en-US" w:eastAsia="zh-CN" w:bidi="ar-SA"/>
                    </w:rPr>
                  </w:pPr>
                  <w:r>
                    <w:rPr>
                      <w:rFonts w:ascii="Times New Roman" w:hAnsi="Times New Roman" w:cs="Times New Roman"/>
                      <w:szCs w:val="21"/>
                    </w:rPr>
                    <w:t>III类</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702" w:type="dxa"/>
                  <w:vMerge w:val="continue"/>
                  <w:tcMar>
                    <w:top w:w="0" w:type="dxa"/>
                    <w:left w:w="0" w:type="dxa"/>
                    <w:bottom w:w="0" w:type="dxa"/>
                    <w:right w:w="0" w:type="dxa"/>
                  </w:tcMar>
                  <w:vAlign w:val="center"/>
                </w:tcPr>
                <w:p>
                  <w:pPr>
                    <w:jc w:val="center"/>
                    <w:rPr>
                      <w:rFonts w:ascii="Times New Roman" w:hAnsi="Times New Roman" w:cs="Times New Roman"/>
                      <w:szCs w:val="21"/>
                    </w:rPr>
                  </w:pPr>
                </w:p>
              </w:tc>
              <w:tc>
                <w:tcPr>
                  <w:tcW w:w="2189"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大成镇观音岩水库饮用水保护区</w:t>
                  </w:r>
                </w:p>
              </w:tc>
              <w:tc>
                <w:tcPr>
                  <w:tcW w:w="1170" w:type="dxa"/>
                  <w:vMerge w:val="continue"/>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p>
              </w:tc>
              <w:tc>
                <w:tcPr>
                  <w:tcW w:w="2100"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51m</w:t>
                  </w:r>
                </w:p>
              </w:tc>
              <w:tc>
                <w:tcPr>
                  <w:tcW w:w="1665"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供水</w:t>
                  </w:r>
                </w:p>
              </w:tc>
              <w:tc>
                <w:tcPr>
                  <w:tcW w:w="1450" w:type="dxa"/>
                  <w:vMerge w:val="continue"/>
                  <w:tcMar>
                    <w:top w:w="0" w:type="dxa"/>
                    <w:left w:w="0" w:type="dxa"/>
                    <w:bottom w:w="0" w:type="dxa"/>
                    <w:right w:w="0" w:type="dxa"/>
                  </w:tcMar>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56" w:hRule="atLeast"/>
                <w:jc w:val="center"/>
              </w:trPr>
              <w:tc>
                <w:tcPr>
                  <w:tcW w:w="702" w:type="dxa"/>
                  <w:vMerge w:val="continue"/>
                  <w:tcMar>
                    <w:top w:w="0" w:type="dxa"/>
                    <w:left w:w="0" w:type="dxa"/>
                    <w:bottom w:w="0" w:type="dxa"/>
                    <w:right w:w="0" w:type="dxa"/>
                  </w:tcMar>
                  <w:vAlign w:val="center"/>
                </w:tcPr>
                <w:p>
                  <w:pPr>
                    <w:jc w:val="center"/>
                    <w:rPr>
                      <w:rFonts w:ascii="Times New Roman" w:hAnsi="Times New Roman" w:cs="Times New Roman"/>
                      <w:szCs w:val="21"/>
                    </w:rPr>
                  </w:pPr>
                </w:p>
              </w:tc>
              <w:tc>
                <w:tcPr>
                  <w:tcW w:w="2189"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土黄镇梁家沟梁家河坝饮用水保护区</w:t>
                  </w:r>
                </w:p>
              </w:tc>
              <w:tc>
                <w:tcPr>
                  <w:tcW w:w="1170" w:type="dxa"/>
                  <w:vMerge w:val="continue"/>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p>
              </w:tc>
              <w:tc>
                <w:tcPr>
                  <w:tcW w:w="2100"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123m</w:t>
                  </w:r>
                </w:p>
              </w:tc>
              <w:tc>
                <w:tcPr>
                  <w:tcW w:w="1665"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供水</w:t>
                  </w:r>
                </w:p>
              </w:tc>
              <w:tc>
                <w:tcPr>
                  <w:tcW w:w="1450" w:type="dxa"/>
                  <w:vMerge w:val="continue"/>
                  <w:tcMar>
                    <w:top w:w="0" w:type="dxa"/>
                    <w:left w:w="0" w:type="dxa"/>
                    <w:bottom w:w="0" w:type="dxa"/>
                    <w:right w:w="0" w:type="dxa"/>
                  </w:tcMar>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4" w:hRule="atLeast"/>
                <w:jc w:val="center"/>
              </w:trPr>
              <w:tc>
                <w:tcPr>
                  <w:tcW w:w="702" w:type="dxa"/>
                  <w:vMerge w:val="continue"/>
                  <w:tcMar>
                    <w:top w:w="0" w:type="dxa"/>
                    <w:left w:w="0" w:type="dxa"/>
                    <w:bottom w:w="0" w:type="dxa"/>
                    <w:right w:w="0" w:type="dxa"/>
                  </w:tcMar>
                  <w:vAlign w:val="center"/>
                </w:tcPr>
                <w:p>
                  <w:pPr>
                    <w:jc w:val="center"/>
                    <w:rPr>
                      <w:rFonts w:ascii="Times New Roman" w:hAnsi="Times New Roman" w:cs="Times New Roman"/>
                      <w:szCs w:val="21"/>
                    </w:rPr>
                  </w:pPr>
                </w:p>
              </w:tc>
              <w:tc>
                <w:tcPr>
                  <w:tcW w:w="2189"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天生镇曹家沟水库饮用水保护区</w:t>
                  </w:r>
                </w:p>
              </w:tc>
              <w:tc>
                <w:tcPr>
                  <w:tcW w:w="1170" w:type="dxa"/>
                  <w:vMerge w:val="continue"/>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p>
              </w:tc>
              <w:tc>
                <w:tcPr>
                  <w:tcW w:w="2100"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148m</w:t>
                  </w:r>
                </w:p>
              </w:tc>
              <w:tc>
                <w:tcPr>
                  <w:tcW w:w="1665"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供水</w:t>
                  </w:r>
                </w:p>
              </w:tc>
              <w:tc>
                <w:tcPr>
                  <w:tcW w:w="1450" w:type="dxa"/>
                  <w:vMerge w:val="continue"/>
                  <w:tcMar>
                    <w:top w:w="0" w:type="dxa"/>
                    <w:left w:w="0" w:type="dxa"/>
                    <w:bottom w:w="0" w:type="dxa"/>
                    <w:right w:w="0" w:type="dxa"/>
                  </w:tcMar>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47" w:hRule="atLeast"/>
                <w:jc w:val="center"/>
              </w:trPr>
              <w:tc>
                <w:tcPr>
                  <w:tcW w:w="702" w:type="dxa"/>
                  <w:vMerge w:val="continue"/>
                  <w:tcMar>
                    <w:top w:w="0" w:type="dxa"/>
                    <w:left w:w="0" w:type="dxa"/>
                    <w:bottom w:w="0" w:type="dxa"/>
                    <w:right w:w="0" w:type="dxa"/>
                  </w:tcMar>
                  <w:vAlign w:val="center"/>
                </w:tcPr>
                <w:p>
                  <w:pPr>
                    <w:jc w:val="center"/>
                    <w:rPr>
                      <w:rFonts w:ascii="Times New Roman" w:hAnsi="Times New Roman" w:cs="Times New Roman"/>
                      <w:szCs w:val="21"/>
                    </w:rPr>
                  </w:pPr>
                </w:p>
              </w:tc>
              <w:tc>
                <w:tcPr>
                  <w:tcW w:w="2189"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柏树镇九军坪水库饮用水保护区</w:t>
                  </w:r>
                </w:p>
              </w:tc>
              <w:tc>
                <w:tcPr>
                  <w:tcW w:w="1170" w:type="dxa"/>
                  <w:vMerge w:val="continue"/>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p>
              </w:tc>
              <w:tc>
                <w:tcPr>
                  <w:tcW w:w="2100"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90m</w:t>
                  </w:r>
                </w:p>
              </w:tc>
              <w:tc>
                <w:tcPr>
                  <w:tcW w:w="1665"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供水</w:t>
                  </w:r>
                </w:p>
              </w:tc>
              <w:tc>
                <w:tcPr>
                  <w:tcW w:w="1450" w:type="dxa"/>
                  <w:vMerge w:val="continue"/>
                  <w:tcMar>
                    <w:top w:w="0" w:type="dxa"/>
                    <w:left w:w="0" w:type="dxa"/>
                    <w:bottom w:w="0" w:type="dxa"/>
                    <w:right w:w="0" w:type="dxa"/>
                  </w:tcMar>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80" w:hRule="atLeast"/>
                <w:jc w:val="center"/>
              </w:trPr>
              <w:tc>
                <w:tcPr>
                  <w:tcW w:w="702" w:type="dxa"/>
                  <w:vMerge w:val="continue"/>
                  <w:tcMar>
                    <w:top w:w="0" w:type="dxa"/>
                    <w:left w:w="0" w:type="dxa"/>
                    <w:bottom w:w="0" w:type="dxa"/>
                    <w:right w:w="0" w:type="dxa"/>
                  </w:tcMar>
                  <w:vAlign w:val="center"/>
                </w:tcPr>
                <w:p>
                  <w:pPr>
                    <w:jc w:val="center"/>
                    <w:rPr>
                      <w:rFonts w:ascii="Times New Roman" w:hAnsi="Times New Roman" w:cs="Times New Roman"/>
                      <w:szCs w:val="21"/>
                    </w:rPr>
                  </w:pPr>
                </w:p>
              </w:tc>
              <w:tc>
                <w:tcPr>
                  <w:tcW w:w="2189"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kern w:val="2"/>
                      <w:sz w:val="21"/>
                      <w:szCs w:val="21"/>
                      <w:lang w:val="en-US" w:eastAsia="zh-CN" w:bidi="ar-SA"/>
                    </w:rPr>
                    <w:t>普光镇干河沟徐家梁饮用水保护区</w:t>
                  </w:r>
                </w:p>
              </w:tc>
              <w:tc>
                <w:tcPr>
                  <w:tcW w:w="1170" w:type="dxa"/>
                  <w:vMerge w:val="continue"/>
                  <w:tcBorders>
                    <w:bottom w:val="single" w:color="auto" w:sz="4" w:space="0"/>
                  </w:tcBorders>
                  <w:tcMar>
                    <w:top w:w="0" w:type="dxa"/>
                    <w:left w:w="0" w:type="dxa"/>
                    <w:bottom w:w="0" w:type="dxa"/>
                    <w:right w:w="0" w:type="dxa"/>
                  </w:tcMar>
                  <w:vAlign w:val="center"/>
                </w:tcPr>
                <w:p>
                  <w:pPr>
                    <w:jc w:val="center"/>
                    <w:rPr>
                      <w:rFonts w:hint="default" w:ascii="Times New Roman" w:hAnsi="Times New Roman" w:cs="Times New Roman" w:eastAsiaTheme="minorEastAsia"/>
                      <w:kern w:val="2"/>
                      <w:sz w:val="21"/>
                      <w:szCs w:val="21"/>
                      <w:lang w:val="en-US" w:eastAsia="zh-CN" w:bidi="ar-SA"/>
                    </w:rPr>
                  </w:pPr>
                </w:p>
              </w:tc>
              <w:tc>
                <w:tcPr>
                  <w:tcW w:w="2100"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6m</w:t>
                  </w:r>
                </w:p>
              </w:tc>
              <w:tc>
                <w:tcPr>
                  <w:tcW w:w="1665" w:type="dxa"/>
                  <w:tcBorders>
                    <w:top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供水</w:t>
                  </w:r>
                </w:p>
              </w:tc>
              <w:tc>
                <w:tcPr>
                  <w:tcW w:w="1450" w:type="dxa"/>
                  <w:vMerge w:val="continue"/>
                  <w:tcMar>
                    <w:top w:w="0" w:type="dxa"/>
                    <w:left w:w="0" w:type="dxa"/>
                    <w:bottom w:w="0" w:type="dxa"/>
                    <w:right w:w="0" w:type="dxa"/>
                  </w:tcMar>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71" w:hRule="atLeast"/>
                <w:jc w:val="center"/>
              </w:trPr>
              <w:tc>
                <w:tcPr>
                  <w:tcW w:w="702" w:type="dxa"/>
                  <w:vMerge w:val="continue"/>
                  <w:tcMar>
                    <w:top w:w="0" w:type="dxa"/>
                    <w:left w:w="0" w:type="dxa"/>
                    <w:bottom w:w="0" w:type="dxa"/>
                    <w:right w:w="0" w:type="dxa"/>
                  </w:tcMar>
                  <w:vAlign w:val="center"/>
                </w:tcPr>
                <w:p>
                  <w:pPr>
                    <w:jc w:val="center"/>
                    <w:rPr>
                      <w:rFonts w:ascii="Times New Roman" w:hAnsi="Times New Roman" w:cs="Times New Roman"/>
                      <w:szCs w:val="21"/>
                    </w:rPr>
                  </w:pPr>
                </w:p>
              </w:tc>
              <w:tc>
                <w:tcPr>
                  <w:tcW w:w="2189" w:type="dxa"/>
                  <w:tcBorders>
                    <w:top w:val="single" w:color="auto" w:sz="4" w:space="0"/>
                  </w:tcBorders>
                  <w:tcMar>
                    <w:top w:w="0" w:type="dxa"/>
                    <w:left w:w="0" w:type="dxa"/>
                    <w:bottom w:w="0" w:type="dxa"/>
                    <w:right w:w="0" w:type="dxa"/>
                  </w:tcMar>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lang w:val="en-US" w:eastAsia="zh-CN"/>
                    </w:rPr>
                    <w:t>整治渠道、管道</w:t>
                  </w:r>
                </w:p>
              </w:tc>
              <w:tc>
                <w:tcPr>
                  <w:tcW w:w="1170" w:type="dxa"/>
                  <w:tcBorders>
                    <w:top w:val="single" w:color="auto" w:sz="4" w:space="0"/>
                  </w:tcBorders>
                  <w:tcMar>
                    <w:top w:w="0" w:type="dxa"/>
                    <w:left w:w="0" w:type="dxa"/>
                    <w:bottom w:w="0" w:type="dxa"/>
                    <w:right w:w="0" w:type="dxa"/>
                  </w:tcMar>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小型灌溉渠、灌溉管道</w:t>
                  </w:r>
                </w:p>
              </w:tc>
              <w:tc>
                <w:tcPr>
                  <w:tcW w:w="2100" w:type="dxa"/>
                  <w:tcBorders>
                    <w:top w:val="single" w:color="auto" w:sz="4" w:space="0"/>
                  </w:tcBorders>
                  <w:tcMar>
                    <w:top w:w="0" w:type="dxa"/>
                    <w:left w:w="0" w:type="dxa"/>
                    <w:bottom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/（本项目）</w:t>
                  </w:r>
                </w:p>
              </w:tc>
              <w:tc>
                <w:tcPr>
                  <w:tcW w:w="1665" w:type="dxa"/>
                  <w:tcBorders>
                    <w:top w:val="single" w:color="auto" w:sz="4" w:space="0"/>
                  </w:tcBorders>
                  <w:tcMar>
                    <w:top w:w="0" w:type="dxa"/>
                    <w:left w:w="0" w:type="dxa"/>
                    <w:bottom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szCs w:val="21"/>
                      <w:lang w:val="en-US" w:eastAsia="zh-CN"/>
                    </w:rPr>
                    <w:t>灌溉</w:t>
                  </w:r>
                </w:p>
              </w:tc>
              <w:tc>
                <w:tcPr>
                  <w:tcW w:w="1450" w:type="dxa"/>
                  <w:vMerge w:val="continue"/>
                  <w:tcMar>
                    <w:top w:w="0" w:type="dxa"/>
                    <w:left w:w="0" w:type="dxa"/>
                    <w:bottom w:w="0" w:type="dxa"/>
                    <w:right w:w="0" w:type="dxa"/>
                  </w:tcMar>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74" w:hRule="atLeast"/>
                <w:jc w:val="center"/>
              </w:trPr>
              <w:tc>
                <w:tcPr>
                  <w:tcW w:w="9276" w:type="dxa"/>
                  <w:gridSpan w:val="6"/>
                  <w:vAlign w:val="center"/>
                </w:tcPr>
                <w:p>
                  <w:pPr>
                    <w:jc w:val="left"/>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说明：通过现场踏勘和走访，宣汉县各乡镇每次农田灌溉均计划灌溉亩数、时间、亩均用水量、每方田接水和结束时间，避免了农灌退水的资源浪费；同时，可能出现的田间退水通过末级渠系进入田间修建的山坪塘存放利用，有效避免了因农田过量施肥带来的退水污染问题。</w:t>
                  </w:r>
                </w:p>
              </w:tc>
            </w:tr>
          </w:tbl>
          <w:p>
            <w:pPr>
              <w:adjustRightInd w:val="0"/>
              <w:snapToGrid w:val="0"/>
              <w:spacing w:line="360" w:lineRule="auto"/>
              <w:rPr>
                <w:rFonts w:ascii="Times New Roman" w:hAnsi="Times New Roman" w:cs="Times New Roman"/>
              </w:rPr>
            </w:pPr>
          </w:p>
          <w:p>
            <w:pPr>
              <w:spacing w:line="360" w:lineRule="auto"/>
              <w:ind w:firstLine="480" w:firstLineChars="200"/>
              <w:jc w:val="left"/>
              <w:rPr>
                <w:rFonts w:ascii="Times New Roman" w:hAnsi="Times New Roman" w:cs="Times New Roman"/>
                <w:bCs/>
                <w:sz w:val="24"/>
                <w:szCs w:val="24"/>
              </w:rPr>
            </w:pPr>
            <w:r>
              <w:rPr>
                <w:rFonts w:ascii="Times New Roman" w:hAnsi="Times New Roman" w:cs="Times New Roman"/>
                <w:bCs/>
                <w:sz w:val="24"/>
                <w:szCs w:val="24"/>
              </w:rPr>
              <w:t>2、声环境保护目标</w:t>
            </w:r>
          </w:p>
          <w:p>
            <w:pPr>
              <w:jc w:val="center"/>
              <w:rPr>
                <w:rFonts w:ascii="Times New Roman" w:hAnsi="Times New Roman" w:eastAsia="宋体" w:cs="Times New Roman"/>
                <w:b/>
                <w:szCs w:val="21"/>
              </w:rPr>
            </w:pPr>
            <w:r>
              <w:rPr>
                <w:rFonts w:ascii="Times New Roman" w:hAnsi="Times New Roman" w:eastAsia="宋体" w:cs="Times New Roman"/>
                <w:b/>
                <w:szCs w:val="21"/>
              </w:rPr>
              <w:t>表3</w:t>
            </w:r>
            <w:r>
              <w:rPr>
                <w:rFonts w:hint="eastAsia" w:ascii="Times New Roman" w:hAnsi="Times New Roman" w:eastAsia="宋体" w:cs="Times New Roman"/>
                <w:b/>
                <w:szCs w:val="21"/>
              </w:rPr>
              <w:t>-1</w:t>
            </w:r>
            <w:r>
              <w:rPr>
                <w:rFonts w:hint="eastAsia" w:ascii="Times New Roman" w:hAnsi="Times New Roman" w:eastAsia="宋体" w:cs="Times New Roman"/>
                <w:b/>
                <w:szCs w:val="21"/>
                <w:lang w:val="en-US" w:eastAsia="zh-CN"/>
              </w:rPr>
              <w:t>4</w:t>
            </w:r>
            <w:r>
              <w:rPr>
                <w:rFonts w:ascii="Times New Roman" w:hAnsi="Times New Roman" w:eastAsia="宋体" w:cs="Times New Roman"/>
                <w:b/>
                <w:szCs w:val="21"/>
              </w:rPr>
              <w:t xml:space="preserve">  声环境保护目标一览表</w:t>
            </w:r>
          </w:p>
          <w:tbl>
            <w:tblPr>
              <w:tblStyle w:val="26"/>
              <w:tblW w:w="9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8"/>
              <w:gridCol w:w="9"/>
              <w:gridCol w:w="1270"/>
              <w:gridCol w:w="1218"/>
              <w:gridCol w:w="386"/>
              <w:gridCol w:w="871"/>
              <w:gridCol w:w="2270"/>
              <w:gridCol w:w="1105"/>
              <w:gridCol w:w="12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 w:hRule="atLeast"/>
                <w:jc w:val="center"/>
              </w:trPr>
              <w:tc>
                <w:tcPr>
                  <w:tcW w:w="958" w:type="dxa"/>
                  <w:vAlign w:val="center"/>
                </w:tcPr>
                <w:p>
                  <w:pPr>
                    <w:adjustRightInd w:val="0"/>
                    <w:snapToGrid w:val="0"/>
                    <w:jc w:val="center"/>
                    <w:rPr>
                      <w:rFonts w:hint="eastAsia" w:ascii="Times New Roman" w:hAnsi="Times New Roman" w:cs="Times New Roman" w:eastAsiaTheme="minorEastAsia"/>
                      <w:b/>
                      <w:bCs/>
                      <w:kern w:val="0"/>
                      <w:szCs w:val="21"/>
                      <w:lang w:eastAsia="zh-CN"/>
                    </w:rPr>
                  </w:pPr>
                  <w:r>
                    <w:rPr>
                      <w:rFonts w:hint="eastAsia" w:ascii="Times New Roman" w:hAnsi="Times New Roman" w:cs="Times New Roman"/>
                      <w:b/>
                      <w:bCs/>
                      <w:kern w:val="0"/>
                      <w:szCs w:val="21"/>
                      <w:lang w:val="en-US" w:eastAsia="zh-CN"/>
                    </w:rPr>
                    <w:t>标段</w:t>
                  </w:r>
                </w:p>
              </w:tc>
              <w:tc>
                <w:tcPr>
                  <w:tcW w:w="1279" w:type="dxa"/>
                  <w:gridSpan w:val="2"/>
                  <w:vAlign w:val="center"/>
                </w:tcPr>
                <w:p>
                  <w:pPr>
                    <w:adjustRightInd w:val="0"/>
                    <w:snapToGrid w:val="0"/>
                    <w:jc w:val="center"/>
                    <w:rPr>
                      <w:rFonts w:hint="default" w:ascii="Times New Roman" w:hAnsi="Times New Roman" w:cs="Times New Roman" w:eastAsiaTheme="minorEastAsia"/>
                      <w:b/>
                      <w:bCs/>
                      <w:kern w:val="0"/>
                      <w:szCs w:val="21"/>
                      <w:lang w:val="en-US" w:eastAsia="zh-CN"/>
                    </w:rPr>
                  </w:pPr>
                  <w:r>
                    <w:rPr>
                      <w:rFonts w:hint="eastAsia" w:ascii="Times New Roman" w:hAnsi="Times New Roman" w:cs="Times New Roman"/>
                      <w:b/>
                      <w:bCs/>
                      <w:kern w:val="0"/>
                      <w:szCs w:val="21"/>
                      <w:lang w:val="en-US" w:eastAsia="zh-CN"/>
                    </w:rPr>
                    <w:t>渠道名称</w:t>
                  </w:r>
                </w:p>
              </w:tc>
              <w:tc>
                <w:tcPr>
                  <w:tcW w:w="1218" w:type="dxa"/>
                  <w:vAlign w:val="center"/>
                </w:tcPr>
                <w:p>
                  <w:pPr>
                    <w:adjustRightInd w:val="0"/>
                    <w:snapToGrid w:val="0"/>
                    <w:jc w:val="center"/>
                    <w:rPr>
                      <w:rFonts w:hint="eastAsia" w:ascii="Times New Roman" w:hAnsi="Times New Roman" w:cs="Times New Roman" w:eastAsiaTheme="minorEastAsia"/>
                      <w:b/>
                      <w:bCs/>
                      <w:kern w:val="0"/>
                      <w:szCs w:val="21"/>
                      <w:lang w:val="en-US" w:eastAsia="zh-CN"/>
                    </w:rPr>
                  </w:pPr>
                  <w:r>
                    <w:rPr>
                      <w:rFonts w:hint="eastAsia" w:ascii="Times New Roman" w:hAnsi="Times New Roman" w:cs="Times New Roman"/>
                      <w:b/>
                      <w:bCs/>
                      <w:kern w:val="0"/>
                      <w:szCs w:val="21"/>
                      <w:lang w:val="en-US" w:eastAsia="zh-CN"/>
                    </w:rPr>
                    <w:t>桩号</w:t>
                  </w:r>
                </w:p>
              </w:tc>
              <w:tc>
                <w:tcPr>
                  <w:tcW w:w="1257" w:type="dxa"/>
                  <w:gridSpan w:val="2"/>
                  <w:vAlign w:val="center"/>
                </w:tcPr>
                <w:p>
                  <w:pPr>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距</w:t>
                  </w:r>
                  <w:r>
                    <w:rPr>
                      <w:rFonts w:hint="eastAsia" w:ascii="Times New Roman" w:hAnsi="Times New Roman" w:cs="Times New Roman"/>
                      <w:b/>
                      <w:bCs/>
                      <w:kern w:val="0"/>
                      <w:szCs w:val="21"/>
                      <w:lang w:val="en-US" w:eastAsia="zh-CN"/>
                    </w:rPr>
                    <w:t>渠道</w:t>
                  </w:r>
                  <w:r>
                    <w:rPr>
                      <w:rFonts w:ascii="Times New Roman" w:hAnsi="Times New Roman" w:cs="Times New Roman"/>
                      <w:b/>
                      <w:bCs/>
                      <w:kern w:val="0"/>
                      <w:szCs w:val="21"/>
                    </w:rPr>
                    <w:t>边界（红线）距离/m</w:t>
                  </w:r>
                </w:p>
              </w:tc>
              <w:tc>
                <w:tcPr>
                  <w:tcW w:w="2270" w:type="dxa"/>
                  <w:vAlign w:val="center"/>
                </w:tcPr>
                <w:p>
                  <w:pPr>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保护对象</w:t>
                  </w:r>
                  <w:r>
                    <w:rPr>
                      <w:rFonts w:hint="eastAsia" w:ascii="Times New Roman" w:hAnsi="Times New Roman" w:cs="Times New Roman"/>
                      <w:b/>
                      <w:bCs/>
                      <w:kern w:val="0"/>
                      <w:szCs w:val="21"/>
                      <w:lang w:val="en-US" w:eastAsia="zh-CN"/>
                    </w:rPr>
                    <w:t>及规模，</w:t>
                  </w:r>
                  <w:r>
                    <w:rPr>
                      <w:rFonts w:ascii="Times New Roman" w:hAnsi="Times New Roman" w:cs="Times New Roman"/>
                      <w:b/>
                      <w:bCs/>
                      <w:kern w:val="0"/>
                      <w:szCs w:val="21"/>
                    </w:rPr>
                    <w:t>200m范围内（2类）目标</w:t>
                  </w:r>
                  <w:r>
                    <w:rPr>
                      <w:rFonts w:hint="eastAsia" w:ascii="Times New Roman" w:hAnsi="Times New Roman" w:cs="Times New Roman"/>
                      <w:b/>
                      <w:bCs/>
                      <w:kern w:val="0"/>
                      <w:szCs w:val="21"/>
                    </w:rPr>
                    <w:t>规模</w:t>
                  </w:r>
                </w:p>
              </w:tc>
              <w:tc>
                <w:tcPr>
                  <w:tcW w:w="1105" w:type="dxa"/>
                  <w:vAlign w:val="center"/>
                </w:tcPr>
                <w:p>
                  <w:pPr>
                    <w:adjustRightInd w:val="0"/>
                    <w:snapToGrid w:val="0"/>
                    <w:jc w:val="center"/>
                    <w:rPr>
                      <w:rFonts w:ascii="Times New Roman" w:hAnsi="Times New Roman" w:cs="Times New Roman"/>
                      <w:b/>
                      <w:bCs/>
                      <w:kern w:val="0"/>
                      <w:szCs w:val="21"/>
                    </w:rPr>
                  </w:pPr>
                  <w:r>
                    <w:rPr>
                      <w:rFonts w:ascii="Times New Roman" w:hAnsi="Times New Roman" w:cs="Times New Roman"/>
                      <w:b/>
                      <w:bCs/>
                      <w:kern w:val="0"/>
                      <w:szCs w:val="21"/>
                    </w:rPr>
                    <w:t>第一排建筑情况</w:t>
                  </w:r>
                </w:p>
              </w:tc>
              <w:tc>
                <w:tcPr>
                  <w:tcW w:w="1211" w:type="dxa"/>
                  <w:vAlign w:val="center"/>
                </w:tcPr>
                <w:p>
                  <w:pPr>
                    <w:adjustRightInd w:val="0"/>
                    <w:snapToGrid w:val="0"/>
                    <w:jc w:val="center"/>
                    <w:rPr>
                      <w:rFonts w:ascii="Times New Roman" w:hAnsi="Times New Roman" w:eastAsia="宋体" w:cs="Times New Roman"/>
                      <w:b/>
                      <w:bCs/>
                      <w:kern w:val="0"/>
                      <w:szCs w:val="21"/>
                    </w:rPr>
                  </w:pPr>
                  <w:r>
                    <w:rPr>
                      <w:rFonts w:ascii="Times New Roman" w:hAnsi="Times New Roman" w:cs="Times New Roman"/>
                      <w:b/>
                      <w:bCs/>
                      <w:kern w:val="0"/>
                      <w:szCs w:val="21"/>
                    </w:rPr>
                    <w:t>声功能区划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7"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秧田湾水库灌区</w:t>
                  </w:r>
                </w:p>
              </w:tc>
              <w:tc>
                <w:tcPr>
                  <w:tcW w:w="1279" w:type="dxa"/>
                  <w:gridSpan w:val="2"/>
                  <w:vMerge w:val="restart"/>
                  <w:vAlign w:val="center"/>
                </w:tcPr>
                <w:p>
                  <w:pPr>
                    <w:adjustRightInd w:val="0"/>
                    <w:snapToGrid w:val="0"/>
                    <w:jc w:val="center"/>
                    <w:rPr>
                      <w:rFonts w:hint="default" w:ascii="Times New Roman" w:hAnsi="Times New Roman" w:eastAsia="宋体" w:cs="Times New Roman"/>
                      <w:szCs w:val="21"/>
                      <w:lang w:val="en-US"/>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右一支</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K0+035</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155m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1户2人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restart"/>
                  <w:vAlign w:val="center"/>
                </w:tcPr>
                <w:p>
                  <w:pPr>
                    <w:adjustRightInd w:val="0"/>
                    <w:snapToGrid w:val="0"/>
                    <w:jc w:val="center"/>
                    <w:rPr>
                      <w:rFonts w:ascii="Times New Roman" w:hAnsi="Times New Roman" w:cs="Times New Roman"/>
                      <w:kern w:val="0"/>
                      <w:szCs w:val="21"/>
                    </w:rPr>
                  </w:pPr>
                  <w:r>
                    <w:rPr>
                      <w:rFonts w:hint="eastAsia" w:ascii="Times New Roman" w:hAnsi="Times New Roman" w:cs="Times New Roman"/>
                      <w:kern w:val="0"/>
                      <w:szCs w:val="21"/>
                    </w:rPr>
                    <w:t>《声环境质量标准》（GB 3096-2008）2类区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K0+040~K0+178</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151m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7户14人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终点</w:t>
                  </w: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南</w:t>
                  </w:r>
                </w:p>
              </w:tc>
              <w:tc>
                <w:tcPr>
                  <w:tcW w:w="871"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32~200m</w:t>
                  </w:r>
                </w:p>
              </w:tc>
              <w:tc>
                <w:tcPr>
                  <w:tcW w:w="2270"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15户30人</w:t>
                  </w:r>
                </w:p>
              </w:tc>
              <w:tc>
                <w:tcPr>
                  <w:tcW w:w="1105" w:type="dxa"/>
                  <w:vAlign w:val="center"/>
                </w:tcPr>
                <w:p>
                  <w:pPr>
                    <w:adjustRightInd w:val="0"/>
                    <w:snapToGrid w:val="0"/>
                    <w:jc w:val="center"/>
                    <w:rPr>
                      <w:rFonts w:hint="eastAsia" w:ascii="Times New Roman" w:hAnsi="Times New Roman" w:cs="Times New Roman"/>
                      <w:kern w:val="0"/>
                      <w:szCs w:val="21"/>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右二支</w:t>
                  </w: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起点~K0+216</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5户10人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default"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23~200m</w:t>
                  </w:r>
                </w:p>
              </w:tc>
              <w:tc>
                <w:tcPr>
                  <w:tcW w:w="2270"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8户16人</w:t>
                  </w:r>
                </w:p>
              </w:tc>
              <w:tc>
                <w:tcPr>
                  <w:tcW w:w="1105" w:type="dxa"/>
                  <w:vAlign w:val="center"/>
                </w:tcPr>
                <w:p>
                  <w:pPr>
                    <w:adjustRightInd w:val="0"/>
                    <w:snapToGrid w:val="0"/>
                    <w:jc w:val="center"/>
                    <w:rPr>
                      <w:rFonts w:hint="eastAsia" w:ascii="Times New Roman" w:hAnsi="Times New Roman" w:cs="Times New Roman" w:eastAsiaTheme="minorEastAsia"/>
                      <w:kern w:val="0"/>
                      <w:szCs w:val="21"/>
                      <w:lang w:val="en-US" w:eastAsia="zh-CN"/>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K0+255~终点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10~200m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7户14人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右三支</w:t>
                  </w: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K0+146~K0+259</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22m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8~200m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22户44人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K0+611~终点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45户90人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w:t>
                  </w:r>
                  <w:r>
                    <w:rPr>
                      <w:rFonts w:hint="eastAsia" w:ascii="Times New Roman" w:hAnsi="Times New Roman" w:cs="Times New Roman"/>
                      <w:kern w:val="0"/>
                      <w:szCs w:val="21"/>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4户8人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右四支</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K0+172~K0+272</w:t>
                  </w: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23~200m</w:t>
                  </w:r>
                </w:p>
              </w:tc>
              <w:tc>
                <w:tcPr>
                  <w:tcW w:w="2270"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Cs w:val="21"/>
                      <w:lang w:val="en-US" w:eastAsia="zh-CN"/>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泵支渠</w:t>
                  </w: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起点~K0+996</w:t>
                  </w:r>
                </w:p>
              </w:tc>
              <w:tc>
                <w:tcPr>
                  <w:tcW w:w="386"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cs="Times New Roman"/>
                      <w:kern w:val="0"/>
                      <w:szCs w:val="21"/>
                      <w:lang w:val="en-US" w:eastAsia="zh-CN"/>
                    </w:rPr>
                    <w:t>11户22人</w:t>
                  </w:r>
                </w:p>
              </w:tc>
              <w:tc>
                <w:tcPr>
                  <w:tcW w:w="1105" w:type="dxa"/>
                  <w:vAlign w:val="center"/>
                </w:tcPr>
                <w:p>
                  <w:pPr>
                    <w:adjustRightInd w:val="0"/>
                    <w:snapToGrid w:val="0"/>
                    <w:jc w:val="center"/>
                    <w:rPr>
                      <w:rFonts w:ascii="Times New Roman" w:hAnsi="Times New Roman" w:cs="Times New Roman"/>
                      <w:kern w:val="0"/>
                      <w:szCs w:val="21"/>
                    </w:rPr>
                  </w:pPr>
                  <w:r>
                    <w:rPr>
                      <w:rFonts w:hint="eastAsia" w:ascii="Times New Roman" w:hAnsi="Times New Roman" w:cs="Times New Roman"/>
                      <w:kern w:val="0"/>
                      <w:szCs w:val="21"/>
                      <w:lang w:val="en-US" w:eastAsia="zh-CN"/>
                    </w:rPr>
                    <w:t>正对、</w:t>
                  </w:r>
                  <w:r>
                    <w:rPr>
                      <w:rFonts w:hint="eastAsia" w:ascii="Times New Roman" w:hAnsi="Times New Roman" w:cs="Times New Roman"/>
                      <w:kern w:val="0"/>
                      <w:szCs w:val="21"/>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8户16人</w:t>
                  </w:r>
                </w:p>
              </w:tc>
              <w:tc>
                <w:tcPr>
                  <w:tcW w:w="1105" w:type="dxa"/>
                  <w:vAlign w:val="center"/>
                </w:tcPr>
                <w:p>
                  <w:pPr>
                    <w:adjustRightInd w:val="0"/>
                    <w:snapToGrid w:val="0"/>
                    <w:jc w:val="center"/>
                    <w:rPr>
                      <w:rFonts w:hint="eastAsia" w:ascii="Times New Roman" w:hAnsi="Times New Roman" w:cs="Times New Roman" w:eastAsiaTheme="minorEastAsia"/>
                      <w:kern w:val="0"/>
                      <w:szCs w:val="21"/>
                      <w:lang w:eastAsia="zh-CN"/>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3" w:hRule="atLeast"/>
                <w:jc w:val="center"/>
              </w:trPr>
              <w:tc>
                <w:tcPr>
                  <w:tcW w:w="958" w:type="dxa"/>
                  <w:vMerge w:val="restart"/>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观音岩水库灌区</w:t>
                  </w:r>
                </w:p>
              </w:tc>
              <w:tc>
                <w:tcPr>
                  <w:tcW w:w="1279" w:type="dxa"/>
                  <w:gridSpan w:val="2"/>
                  <w:vMerge w:val="restart"/>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主管道</w:t>
                  </w: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起点~K0+104</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95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continue"/>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9户18人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K0+560~K0+882</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86~200m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8户16人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K1+254~1+805</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34户68人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23户46人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K2+204~K2+365</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8~200m</w:t>
                  </w:r>
                </w:p>
              </w:tc>
              <w:tc>
                <w:tcPr>
                  <w:tcW w:w="2270" w:type="dxa"/>
                  <w:vAlign w:val="center"/>
                </w:tcPr>
                <w:p>
                  <w:pPr>
                    <w:adjustRightInd w:val="0"/>
                    <w:snapToGrid w:val="0"/>
                    <w:jc w:val="center"/>
                    <w:rPr>
                      <w:rFonts w:hint="eastAsia"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4户8人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K3+370~终点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大成镇场镇连片居住区，约1000人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侧对、正对、背对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56~200m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10户20人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支管道</w:t>
                  </w: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起点~K0+227</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15~200m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4户8人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continue"/>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17户34人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K0+293~K0+691</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12户24人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8户16人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K1+134~终点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18户36人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27~200m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46户92人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7"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云顶水库灌区工程</w:t>
                  </w:r>
                </w:p>
              </w:tc>
              <w:tc>
                <w:tcPr>
                  <w:tcW w:w="1279" w:type="dxa"/>
                  <w:gridSpan w:val="2"/>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左干渠</w:t>
                  </w:r>
                </w:p>
              </w:tc>
              <w:tc>
                <w:tcPr>
                  <w:tcW w:w="1218"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K1+187~K1+204</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127~200m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5户10人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一号渠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起点~K0+094</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95~200m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176~200m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二号渠</w:t>
                  </w: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K0+080~K0+118</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1户2人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K1+178~终点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1户2人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三号渠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K0+043~K0+220</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4户8人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21~200m</w:t>
                  </w:r>
                </w:p>
              </w:tc>
              <w:tc>
                <w:tcPr>
                  <w:tcW w:w="2270"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1户2人</w:t>
                  </w:r>
                </w:p>
              </w:tc>
              <w:tc>
                <w:tcPr>
                  <w:tcW w:w="1105"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4"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19户38人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55户110人</w:t>
                  </w:r>
                </w:p>
              </w:tc>
              <w:tc>
                <w:tcPr>
                  <w:tcW w:w="1105"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背对、侧对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四号渠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K0+120</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48m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1户2人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终点</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南</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7m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1户2人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五号渠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K0+111~K0+159</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12~200m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2户4人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南</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11m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6户12人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小沟河水库灌区工程</w:t>
                  </w:r>
                </w:p>
              </w:tc>
              <w:tc>
                <w:tcPr>
                  <w:tcW w:w="1279" w:type="dxa"/>
                  <w:gridSpan w:val="2"/>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三支渠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K0+431~终点</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13~200m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15户30人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侧对、正对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szCs w:val="21"/>
                      <w:lang w:val="en-US" w:eastAsia="zh-CN"/>
                    </w:rPr>
                    <w:t>二-二支渠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K0+195~终点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65户130人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continue"/>
                  <w:vAlign w:val="center"/>
                </w:tcPr>
                <w:p>
                  <w:pPr>
                    <w:adjustRightInd w:val="0"/>
                    <w:snapToGrid w:val="0"/>
                    <w:jc w:val="center"/>
                    <w:rPr>
                      <w:rFonts w:hint="eastAsia"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160户320人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背对、侧对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6"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曹家沟水库灌区工程</w:t>
                  </w: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主干渠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起点~K0+130</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6~200m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10户20人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背对、正对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default" w:ascii="Times New Roman" w:hAnsi="Times New Roman" w:eastAsia="宋体" w:cs="Times New Roman"/>
                      <w:szCs w:val="21"/>
                      <w:lang w:val="en-US" w:eastAsia="zh-CN"/>
                    </w:rPr>
                  </w:pP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K0+252~K0+306</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7户14人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背对、正对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3支渠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K0+525~终点</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14~200m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9户18人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958" w:type="dxa"/>
                  <w:vMerge w:val="restart"/>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漆树沟水库灌区工程</w:t>
                  </w:r>
                </w:p>
              </w:tc>
              <w:tc>
                <w:tcPr>
                  <w:tcW w:w="1279" w:type="dxa"/>
                  <w:gridSpan w:val="2"/>
                  <w:vMerge w:val="restart"/>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主干渠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K0+244~K0+275</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jc w:val="center"/>
              </w:trPr>
              <w:tc>
                <w:tcPr>
                  <w:tcW w:w="95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K0+874~K2+272</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65户130人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95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continue"/>
                  <w:vAlign w:val="center"/>
                </w:tcPr>
                <w:p>
                  <w:pPr>
                    <w:adjustRightInd w:val="0"/>
                    <w:snapToGrid w:val="0"/>
                    <w:jc w:val="center"/>
                    <w:rPr>
                      <w:rFonts w:hint="eastAsia"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87户174人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K2+519~K2+584</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21~200m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K2+731~K2+951</w:t>
                  </w: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8户16人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K3+040~K3+121</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11~200m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K3+220~终点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40~200m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6户12人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刘家坪水库灌区工程</w:t>
                  </w: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左干渠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K2+527~K2+601</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6~200m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5户10人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左四支渠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终点</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北</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6户12人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左三支①渠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K0+195~K0+286</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11~200m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16户32人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1户2人</w:t>
                  </w:r>
                </w:p>
              </w:tc>
              <w:tc>
                <w:tcPr>
                  <w:tcW w:w="1105"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左三支②渠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K0+111~K0+316</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87~200m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5户10人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22户44人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左三支③渠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K0+164~K0+215</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70~200</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9户18人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左一支渠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终点</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西</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左一支渠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北</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9户18人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80户160人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主干渠</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起点~K0+198</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12户24人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K1+364~K1+672</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6~200m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17户34人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右一支渠</w:t>
                  </w: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K0+525~终点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30户60人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4"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右二支渠</w:t>
                  </w:r>
                </w:p>
              </w:tc>
              <w:tc>
                <w:tcPr>
                  <w:tcW w:w="1218"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K0+305~终点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18~200m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7户14人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右三支渠</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K0+435~K0+750</w:t>
                  </w: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12~200m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26户52人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右五支渠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K0+446~K0+599</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4户8人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K1+768~K2+149</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16户32人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6~200m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22户44人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K2+297~K2+438</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4户8人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 w:hRule="atLeast"/>
                <w:jc w:val="center"/>
              </w:trPr>
              <w:tc>
                <w:tcPr>
                  <w:tcW w:w="95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烂田湾水库灌区</w:t>
                  </w:r>
                </w:p>
              </w:tc>
              <w:tc>
                <w:tcPr>
                  <w:tcW w:w="1279" w:type="dxa"/>
                  <w:gridSpan w:val="2"/>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右干渠</w:t>
                  </w:r>
                </w:p>
              </w:tc>
              <w:tc>
                <w:tcPr>
                  <w:tcW w:w="1218" w:type="dxa"/>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K0+354~K0+385</w:t>
                  </w: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12~200m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新华镇茅坪小学，约300人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临近操场</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0"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后头湾水库灌区</w:t>
                  </w:r>
                </w:p>
              </w:tc>
              <w:tc>
                <w:tcPr>
                  <w:tcW w:w="1279" w:type="dxa"/>
                  <w:gridSpan w:val="2"/>
                  <w:vMerge w:val="restart"/>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主干渠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K0+585~K1+215</w:t>
                  </w: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28~200m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61户132人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ascii="Times New Roman" w:hAnsi="Times New Roman" w:eastAsia="宋体" w:cs="Times New Roman"/>
                      <w:szCs w:val="21"/>
                    </w:rPr>
                  </w:pP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21~200m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lang w:val="en-US" w:eastAsia="zh-CN"/>
                    </w:rPr>
                    <w:t>支管道</w:t>
                  </w:r>
                </w:p>
              </w:tc>
              <w:tc>
                <w:tcPr>
                  <w:tcW w:w="1218" w:type="dxa"/>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K0+511~终点</w:t>
                  </w:r>
                </w:p>
              </w:tc>
              <w:tc>
                <w:tcPr>
                  <w:tcW w:w="386"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8~200m</w:t>
                  </w:r>
                </w:p>
              </w:tc>
              <w:tc>
                <w:tcPr>
                  <w:tcW w:w="2270" w:type="dxa"/>
                  <w:vAlign w:val="center"/>
                </w:tcPr>
                <w:p>
                  <w:pPr>
                    <w:adjustRightInd w:val="0"/>
                    <w:snapToGrid w:val="0"/>
                    <w:jc w:val="center"/>
                    <w:rPr>
                      <w:rFonts w:hint="eastAsia" w:ascii="Times New Roman" w:hAnsi="Times New Roman" w:cs="Times New Roman"/>
                      <w:kern w:val="0"/>
                      <w:szCs w:val="21"/>
                    </w:rPr>
                  </w:pPr>
                  <w:r>
                    <w:rPr>
                      <w:rFonts w:hint="eastAsia" w:ascii="Times New Roman" w:hAnsi="Times New Roman" w:cs="Times New Roman"/>
                      <w:kern w:val="0"/>
                      <w:szCs w:val="21"/>
                      <w:lang w:val="en-US" w:eastAsia="zh-CN"/>
                    </w:rPr>
                    <w:t>26户52人</w:t>
                  </w:r>
                </w:p>
              </w:tc>
              <w:tc>
                <w:tcPr>
                  <w:tcW w:w="1105" w:type="dxa"/>
                  <w:vAlign w:val="center"/>
                </w:tcPr>
                <w:p>
                  <w:pPr>
                    <w:adjustRightInd w:val="0"/>
                    <w:snapToGrid w:val="0"/>
                    <w:jc w:val="center"/>
                    <w:rPr>
                      <w:rFonts w:hint="default" w:ascii="Times New Roman" w:hAnsi="Times New Roman" w:cs="Times New Roman" w:eastAsiaTheme="minorEastAsia"/>
                      <w:kern w:val="0"/>
                      <w:szCs w:val="21"/>
                      <w:lang w:val="en-US" w:eastAsia="zh-CN"/>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5"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长征水库灌区</w:t>
                  </w:r>
                </w:p>
              </w:tc>
              <w:tc>
                <w:tcPr>
                  <w:tcW w:w="1279" w:type="dxa"/>
                  <w:gridSpan w:val="2"/>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右干渠</w:t>
                  </w: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起点~K0+676</w:t>
                  </w: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11户22人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ascii="Times New Roman" w:hAnsi="Times New Roman" w:eastAsia="宋体" w:cs="Times New Roman"/>
                      <w:szCs w:val="21"/>
                    </w:rPr>
                  </w:pP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18户36人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K2+411~K2+700</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45~200m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5户10人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eastAsia"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17~200m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1户2人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右主管</w:t>
                  </w: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K0+693~K1+074</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9~200m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6户12人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ascii="Times New Roman" w:hAnsi="Times New Roman" w:eastAsia="宋体" w:cs="Times New Roman"/>
                      <w:szCs w:val="21"/>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17~200m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4户8人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右②支管</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起点~K0+422</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8~200m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9户18人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continue"/>
                  <w:vAlign w:val="center"/>
                </w:tcPr>
                <w:p>
                  <w:pPr>
                    <w:adjustRightInd w:val="0"/>
                    <w:snapToGrid w:val="0"/>
                    <w:jc w:val="center"/>
                    <w:rPr>
                      <w:rFonts w:hint="eastAsia" w:ascii="Times New Roman" w:hAnsi="Times New Roman" w:eastAsia="宋体" w:cs="Times New Roman"/>
                      <w:kern w:val="2"/>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左干渠</w:t>
                  </w:r>
                </w:p>
              </w:tc>
              <w:tc>
                <w:tcPr>
                  <w:tcW w:w="1218" w:type="dxa"/>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起点~K0+061</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13~200m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K0+131~K0+177</w:t>
                  </w: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K0+272~K0+356</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26~200m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4户8人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K1+416~K1+597</w:t>
                  </w:r>
                </w:p>
              </w:tc>
              <w:tc>
                <w:tcPr>
                  <w:tcW w:w="386"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kern w:val="0"/>
                      <w:szCs w:val="21"/>
                    </w:rPr>
                  </w:pPr>
                  <w:r>
                    <w:rPr>
                      <w:rFonts w:hint="eastAsia" w:ascii="Times New Roman" w:hAnsi="Times New Roman" w:cs="Times New Roman"/>
                      <w:kern w:val="0"/>
                      <w:szCs w:val="21"/>
                      <w:lang w:val="en-US" w:eastAsia="zh-CN"/>
                    </w:rPr>
                    <w:t>7户14人</w:t>
                  </w:r>
                </w:p>
              </w:tc>
              <w:tc>
                <w:tcPr>
                  <w:tcW w:w="1105" w:type="dxa"/>
                  <w:vAlign w:val="center"/>
                </w:tcPr>
                <w:p>
                  <w:pPr>
                    <w:adjustRightInd w:val="0"/>
                    <w:snapToGrid w:val="0"/>
                    <w:jc w:val="center"/>
                    <w:rPr>
                      <w:rFonts w:hint="eastAsia" w:ascii="Times New Roman" w:hAnsi="Times New Roman" w:cs="Times New Roman"/>
                      <w:kern w:val="0"/>
                      <w:szCs w:val="21"/>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终点</w:t>
                  </w:r>
                </w:p>
              </w:tc>
              <w:tc>
                <w:tcPr>
                  <w:tcW w:w="386"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南</w:t>
                  </w:r>
                </w:p>
              </w:tc>
              <w:tc>
                <w:tcPr>
                  <w:tcW w:w="871"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11~200m</w:t>
                  </w:r>
                </w:p>
              </w:tc>
              <w:tc>
                <w:tcPr>
                  <w:tcW w:w="2270" w:type="dxa"/>
                  <w:vAlign w:val="center"/>
                </w:tcPr>
                <w:p>
                  <w:pPr>
                    <w:adjustRightInd w:val="0"/>
                    <w:snapToGrid w:val="0"/>
                    <w:jc w:val="center"/>
                    <w:rPr>
                      <w:rFonts w:hint="default" w:ascii="Times New Roman" w:hAnsi="Times New Roman" w:cs="Times New Roman" w:eastAsiaTheme="minorEastAsia"/>
                      <w:kern w:val="0"/>
                      <w:szCs w:val="21"/>
                      <w:lang w:val="en-US" w:eastAsia="zh-CN"/>
                    </w:rPr>
                  </w:pPr>
                  <w:r>
                    <w:rPr>
                      <w:rFonts w:hint="eastAsia" w:ascii="Times New Roman" w:hAnsi="Times New Roman" w:cs="Times New Roman"/>
                      <w:kern w:val="0"/>
                      <w:szCs w:val="21"/>
                      <w:lang w:val="en-US" w:eastAsia="zh-CN"/>
                    </w:rPr>
                    <w:t>9户8人</w:t>
                  </w:r>
                </w:p>
              </w:tc>
              <w:tc>
                <w:tcPr>
                  <w:tcW w:w="1105" w:type="dxa"/>
                  <w:vAlign w:val="center"/>
                </w:tcPr>
                <w:p>
                  <w:pPr>
                    <w:adjustRightInd w:val="0"/>
                    <w:snapToGrid w:val="0"/>
                    <w:jc w:val="center"/>
                    <w:rPr>
                      <w:rFonts w:hint="eastAsia" w:ascii="Times New Roman" w:hAnsi="Times New Roman" w:cs="Times New Roman" w:eastAsiaTheme="minorEastAsia"/>
                      <w:kern w:val="0"/>
                      <w:szCs w:val="21"/>
                      <w:lang w:val="en-US" w:eastAsia="zh-CN"/>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南六水库灌区</w:t>
                  </w: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右干渠</w:t>
                  </w: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K0+682~K0+829</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12~200m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default" w:ascii="Times New Roman" w:hAnsi="Times New Roman" w:eastAsia="宋体" w:cs="Times New Roman"/>
                      <w:szCs w:val="21"/>
                      <w:lang w:val="en-US"/>
                    </w:rPr>
                  </w:pPr>
                </w:p>
              </w:tc>
              <w:tc>
                <w:tcPr>
                  <w:tcW w:w="386"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8~200m</w:t>
                  </w:r>
                </w:p>
              </w:tc>
              <w:tc>
                <w:tcPr>
                  <w:tcW w:w="2270" w:type="dxa"/>
                  <w:vAlign w:val="center"/>
                </w:tcPr>
                <w:p>
                  <w:pPr>
                    <w:adjustRightInd w:val="0"/>
                    <w:snapToGrid w:val="0"/>
                    <w:jc w:val="center"/>
                    <w:rPr>
                      <w:rFonts w:hint="eastAsia" w:ascii="Times New Roman" w:hAnsi="Times New Roman" w:cs="Times New Roman"/>
                      <w:kern w:val="0"/>
                      <w:szCs w:val="21"/>
                    </w:rPr>
                  </w:pPr>
                  <w:r>
                    <w:rPr>
                      <w:rFonts w:hint="eastAsia" w:ascii="Times New Roman" w:hAnsi="Times New Roman" w:cs="Times New Roman"/>
                      <w:kern w:val="0"/>
                      <w:szCs w:val="21"/>
                      <w:lang w:val="en-US" w:eastAsia="zh-CN"/>
                    </w:rPr>
                    <w:t>23户46人</w:t>
                  </w:r>
                </w:p>
              </w:tc>
              <w:tc>
                <w:tcPr>
                  <w:tcW w:w="1105" w:type="dxa"/>
                  <w:vAlign w:val="center"/>
                </w:tcPr>
                <w:p>
                  <w:pPr>
                    <w:adjustRightInd w:val="0"/>
                    <w:snapToGrid w:val="0"/>
                    <w:jc w:val="center"/>
                    <w:rPr>
                      <w:rFonts w:hint="eastAsia" w:ascii="Times New Roman" w:hAnsi="Times New Roman" w:cs="Times New Roman"/>
                      <w:kern w:val="0"/>
                      <w:szCs w:val="21"/>
                    </w:rPr>
                  </w:pPr>
                  <w:r>
                    <w:rPr>
                      <w:rFonts w:hint="eastAsia" w:ascii="Times New Roman" w:hAnsi="Times New Roman" w:cs="Times New Roman"/>
                      <w:kern w:val="0"/>
                      <w:szCs w:val="21"/>
                      <w:lang w:val="en-US" w:eastAsia="zh-CN"/>
                    </w:rPr>
                    <w:t>正</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左干渠</w:t>
                  </w: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K0+173~K0+623</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10户20人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9"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1218" w:type="dxa"/>
                  <w:vMerge w:val="continue"/>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28户56人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K1+111~K1+161</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27~200m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K2+144~K2+215</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8~200m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8户16人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K2+459~K2+616</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11~200m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11户22人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restart"/>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K2+704~K3+089</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6~200m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35户70人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65户130人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左二支管</w:t>
                  </w: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K0+215~终点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15~200m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1户2人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4~200m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33户66人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左三支管</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K0+375~终点</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27~200m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2"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左四支管</w:t>
                  </w: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起点~K0+282</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13户26人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29~200m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8户16人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正对、侧对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K0+467~K0+572</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左</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9~200m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3" w:hRule="atLeast"/>
                <w:jc w:val="center"/>
              </w:trPr>
              <w:tc>
                <w:tcPr>
                  <w:tcW w:w="967" w:type="dxa"/>
                  <w:gridSpan w:val="2"/>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九军坪水库灌区</w:t>
                  </w:r>
                </w:p>
              </w:tc>
              <w:tc>
                <w:tcPr>
                  <w:tcW w:w="1270"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主干管</w:t>
                  </w:r>
                </w:p>
              </w:tc>
              <w:tc>
                <w:tcPr>
                  <w:tcW w:w="1218" w:type="dxa"/>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K2+896~K3+097</w:t>
                  </w: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68~200m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23户46人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6" w:hRule="atLeast"/>
                <w:jc w:val="center"/>
              </w:trPr>
              <w:tc>
                <w:tcPr>
                  <w:tcW w:w="967" w:type="dxa"/>
                  <w:gridSpan w:val="2"/>
                  <w:vMerge w:val="continue"/>
                  <w:vAlign w:val="center"/>
                </w:tcPr>
                <w:p>
                  <w:pPr>
                    <w:adjustRightInd w:val="0"/>
                    <w:snapToGrid w:val="0"/>
                    <w:jc w:val="center"/>
                    <w:rPr>
                      <w:rFonts w:ascii="Times New Roman" w:hAnsi="Times New Roman" w:eastAsia="宋体" w:cs="Times New Roman"/>
                      <w:szCs w:val="21"/>
                    </w:rPr>
                  </w:pPr>
                </w:p>
              </w:tc>
              <w:tc>
                <w:tcPr>
                  <w:tcW w:w="1270" w:type="dxa"/>
                  <w:vMerge w:val="continue"/>
                  <w:vAlign w:val="center"/>
                </w:tcPr>
                <w:p>
                  <w:pPr>
                    <w:adjustRightInd w:val="0"/>
                    <w:snapToGrid w:val="0"/>
                    <w:jc w:val="center"/>
                    <w:rPr>
                      <w:rFonts w:ascii="Times New Roman" w:hAnsi="Times New Roman" w:eastAsia="宋体" w:cs="Times New Roman"/>
                      <w:szCs w:val="21"/>
                    </w:rPr>
                  </w:pPr>
                </w:p>
              </w:tc>
              <w:tc>
                <w:tcPr>
                  <w:tcW w:w="1218"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K4+111~K4+200</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17户34人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2" w:hRule="atLeast"/>
                <w:jc w:val="center"/>
              </w:trPr>
              <w:tc>
                <w:tcPr>
                  <w:tcW w:w="967" w:type="dxa"/>
                  <w:gridSpan w:val="2"/>
                  <w:vMerge w:val="continue"/>
                  <w:vAlign w:val="center"/>
                </w:tcPr>
                <w:p>
                  <w:pPr>
                    <w:adjustRightInd w:val="0"/>
                    <w:snapToGrid w:val="0"/>
                    <w:jc w:val="center"/>
                    <w:rPr>
                      <w:rFonts w:ascii="Times New Roman" w:hAnsi="Times New Roman" w:eastAsia="宋体" w:cs="Times New Roman"/>
                      <w:szCs w:val="21"/>
                    </w:rPr>
                  </w:pPr>
                </w:p>
              </w:tc>
              <w:tc>
                <w:tcPr>
                  <w:tcW w:w="1270" w:type="dxa"/>
                  <w:vMerge w:val="continue"/>
                  <w:vAlign w:val="center"/>
                </w:tcPr>
                <w:p>
                  <w:pPr>
                    <w:adjustRightInd w:val="0"/>
                    <w:snapToGrid w:val="0"/>
                    <w:jc w:val="center"/>
                    <w:rPr>
                      <w:rFonts w:ascii="Times New Roman" w:hAnsi="Times New Roman" w:eastAsia="宋体" w:cs="Times New Roman"/>
                      <w:szCs w:val="21"/>
                    </w:rPr>
                  </w:pPr>
                </w:p>
              </w:tc>
              <w:tc>
                <w:tcPr>
                  <w:tcW w:w="1218"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K4+780~K4+879</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107~200m</w:t>
                  </w:r>
                </w:p>
              </w:tc>
              <w:tc>
                <w:tcPr>
                  <w:tcW w:w="2270"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67" w:type="dxa"/>
                  <w:gridSpan w:val="2"/>
                  <w:vMerge w:val="continue"/>
                  <w:vAlign w:val="center"/>
                </w:tcPr>
                <w:p>
                  <w:pPr>
                    <w:adjustRightInd w:val="0"/>
                    <w:snapToGrid w:val="0"/>
                    <w:jc w:val="center"/>
                    <w:rPr>
                      <w:rFonts w:ascii="Times New Roman" w:hAnsi="Times New Roman" w:eastAsia="宋体" w:cs="Times New Roman"/>
                      <w:szCs w:val="21"/>
                    </w:rPr>
                  </w:pPr>
                </w:p>
              </w:tc>
              <w:tc>
                <w:tcPr>
                  <w:tcW w:w="1270" w:type="dxa"/>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K5+458~K5+790</w:t>
                  </w:r>
                </w:p>
              </w:tc>
              <w:tc>
                <w:tcPr>
                  <w:tcW w:w="386"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49~200m</w:t>
                  </w:r>
                </w:p>
              </w:tc>
              <w:tc>
                <w:tcPr>
                  <w:tcW w:w="2270" w:type="dxa"/>
                  <w:vAlign w:val="center"/>
                </w:tcPr>
                <w:p>
                  <w:pPr>
                    <w:adjustRightInd w:val="0"/>
                    <w:snapToGrid w:val="0"/>
                    <w:jc w:val="center"/>
                    <w:rPr>
                      <w:rFonts w:hint="eastAsia"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12户24人</w:t>
                  </w:r>
                </w:p>
              </w:tc>
              <w:tc>
                <w:tcPr>
                  <w:tcW w:w="1105"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背对、侧对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 w:hRule="atLeast"/>
                <w:jc w:val="center"/>
              </w:trPr>
              <w:tc>
                <w:tcPr>
                  <w:tcW w:w="967" w:type="dxa"/>
                  <w:gridSpan w:val="2"/>
                  <w:vMerge w:val="continue"/>
                  <w:vAlign w:val="center"/>
                </w:tcPr>
                <w:p>
                  <w:pPr>
                    <w:adjustRightInd w:val="0"/>
                    <w:snapToGrid w:val="0"/>
                    <w:jc w:val="center"/>
                    <w:rPr>
                      <w:rFonts w:ascii="Times New Roman" w:hAnsi="Times New Roman" w:eastAsia="宋体" w:cs="Times New Roman"/>
                      <w:szCs w:val="21"/>
                    </w:rPr>
                  </w:pPr>
                </w:p>
              </w:tc>
              <w:tc>
                <w:tcPr>
                  <w:tcW w:w="1270" w:type="dxa"/>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35~200m</w:t>
                  </w:r>
                </w:p>
              </w:tc>
              <w:tc>
                <w:tcPr>
                  <w:tcW w:w="2270" w:type="dxa"/>
                  <w:vAlign w:val="center"/>
                </w:tcPr>
                <w:p>
                  <w:pPr>
                    <w:adjustRightInd w:val="0"/>
                    <w:snapToGrid w:val="0"/>
                    <w:jc w:val="center"/>
                    <w:rPr>
                      <w:rFonts w:hint="eastAsia"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5户10人</w:t>
                  </w:r>
                </w:p>
              </w:tc>
              <w:tc>
                <w:tcPr>
                  <w:tcW w:w="1105" w:type="dxa"/>
                  <w:vAlign w:val="center"/>
                </w:tcPr>
                <w:p>
                  <w:pPr>
                    <w:adjustRightInd w:val="0"/>
                    <w:snapToGrid w:val="0"/>
                    <w:jc w:val="center"/>
                    <w:rPr>
                      <w:rFonts w:hint="eastAsia"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背对、侧对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6" w:hRule="atLeast"/>
                <w:jc w:val="center"/>
              </w:trPr>
              <w:tc>
                <w:tcPr>
                  <w:tcW w:w="967" w:type="dxa"/>
                  <w:gridSpan w:val="2"/>
                  <w:vMerge w:val="continue"/>
                  <w:vAlign w:val="center"/>
                </w:tcPr>
                <w:p>
                  <w:pPr>
                    <w:adjustRightInd w:val="0"/>
                    <w:snapToGrid w:val="0"/>
                    <w:jc w:val="center"/>
                    <w:rPr>
                      <w:rFonts w:ascii="Times New Roman" w:hAnsi="Times New Roman" w:eastAsia="宋体" w:cs="Times New Roman"/>
                      <w:szCs w:val="21"/>
                    </w:rPr>
                  </w:pPr>
                </w:p>
              </w:tc>
              <w:tc>
                <w:tcPr>
                  <w:tcW w:w="1270" w:type="dxa"/>
                  <w:vMerge w:val="continue"/>
                  <w:vAlign w:val="center"/>
                </w:tcPr>
                <w:p>
                  <w:pPr>
                    <w:adjustRightInd w:val="0"/>
                    <w:snapToGrid w:val="0"/>
                    <w:jc w:val="center"/>
                    <w:rPr>
                      <w:rFonts w:ascii="Times New Roman" w:hAnsi="Times New Roman" w:eastAsia="宋体" w:cs="Times New Roman"/>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K7+119~终点</w:t>
                  </w:r>
                </w:p>
              </w:tc>
              <w:tc>
                <w:tcPr>
                  <w:tcW w:w="386"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38户76人</w:t>
                  </w:r>
                </w:p>
              </w:tc>
              <w:tc>
                <w:tcPr>
                  <w:tcW w:w="1105"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背对、侧对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5" w:hRule="atLeast"/>
                <w:jc w:val="center"/>
              </w:trPr>
              <w:tc>
                <w:tcPr>
                  <w:tcW w:w="967" w:type="dxa"/>
                  <w:gridSpan w:val="2"/>
                  <w:vMerge w:val="continue"/>
                  <w:vAlign w:val="center"/>
                </w:tcPr>
                <w:p>
                  <w:pPr>
                    <w:adjustRightInd w:val="0"/>
                    <w:snapToGrid w:val="0"/>
                    <w:jc w:val="center"/>
                    <w:rPr>
                      <w:rFonts w:ascii="Times New Roman" w:hAnsi="Times New Roman" w:eastAsia="宋体" w:cs="Times New Roman"/>
                      <w:szCs w:val="21"/>
                    </w:rPr>
                  </w:pPr>
                </w:p>
              </w:tc>
              <w:tc>
                <w:tcPr>
                  <w:tcW w:w="1270" w:type="dxa"/>
                  <w:vMerge w:val="continue"/>
                  <w:vAlign w:val="center"/>
                </w:tcPr>
                <w:p>
                  <w:pPr>
                    <w:adjustRightInd w:val="0"/>
                    <w:snapToGrid w:val="0"/>
                    <w:jc w:val="center"/>
                    <w:rPr>
                      <w:rFonts w:ascii="Times New Roman" w:hAnsi="Times New Roman" w:eastAsia="宋体" w:cs="Times New Roman"/>
                      <w:szCs w:val="21"/>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26户52人</w:t>
                  </w:r>
                </w:p>
              </w:tc>
              <w:tc>
                <w:tcPr>
                  <w:tcW w:w="1105" w:type="dxa"/>
                  <w:vAlign w:val="center"/>
                </w:tcPr>
                <w:p>
                  <w:pPr>
                    <w:adjustRightInd w:val="0"/>
                    <w:snapToGrid w:val="0"/>
                    <w:jc w:val="center"/>
                    <w:rPr>
                      <w:rFonts w:hint="default" w:ascii="Times New Roman" w:hAnsi="Times New Roman" w:cs="Times New Roman"/>
                      <w:kern w:val="0"/>
                      <w:szCs w:val="21"/>
                      <w:lang w:val="en-US" w:eastAsia="zh-CN"/>
                    </w:rPr>
                  </w:pPr>
                  <w:r>
                    <w:rPr>
                      <w:rFonts w:hint="eastAsia" w:ascii="Times New Roman" w:hAnsi="Times New Roman" w:cs="Times New Roman"/>
                      <w:kern w:val="0"/>
                      <w:szCs w:val="21"/>
                      <w:lang w:val="en-US" w:eastAsia="zh-CN"/>
                    </w:rPr>
                    <w:t>背对、正对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6"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老寨沟水库灌区</w:t>
                  </w:r>
                </w:p>
              </w:tc>
              <w:tc>
                <w:tcPr>
                  <w:tcW w:w="1279" w:type="dxa"/>
                  <w:gridSpan w:val="2"/>
                  <w:vMerge w:val="restart"/>
                  <w:vAlign w:val="center"/>
                </w:tcPr>
                <w:p>
                  <w:pPr>
                    <w:adjustRightInd w:val="0"/>
                    <w:snapToGrid w:val="0"/>
                    <w:jc w:val="center"/>
                    <w:rPr>
                      <w:rFonts w:hint="default" w:ascii="Times New Roman" w:hAnsi="Times New Roman" w:eastAsia="宋体" w:cs="Times New Roman"/>
                      <w:b w:val="0"/>
                      <w:bCs w:val="0"/>
                      <w:szCs w:val="21"/>
                      <w:lang w:val="en-US" w:eastAsia="zh-CN"/>
                    </w:rPr>
                  </w:pPr>
                  <w:r>
                    <w:rPr>
                      <w:rFonts w:hint="eastAsia" w:ascii="Times New Roman" w:hAnsi="Times New Roman" w:eastAsia="宋体" w:cs="Times New Roman"/>
                      <w:b w:val="0"/>
                      <w:bCs w:val="0"/>
                      <w:szCs w:val="21"/>
                      <w:lang w:val="en-US" w:eastAsia="zh-CN"/>
                    </w:rPr>
                    <w:t>右干管</w:t>
                  </w: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K0+803~K1+768</w:t>
                  </w:r>
                </w:p>
              </w:tc>
              <w:tc>
                <w:tcPr>
                  <w:tcW w:w="386"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default" w:ascii="Times New Roman" w:hAnsi="Times New Roman" w:cs="Times New Roman" w:eastAsiaTheme="minorEastAsia"/>
                      <w:kern w:val="0"/>
                      <w:szCs w:val="21"/>
                      <w:lang w:val="en-US" w:eastAsia="zh-CN"/>
                    </w:rPr>
                  </w:pPr>
                  <w:r>
                    <w:rPr>
                      <w:rFonts w:hint="eastAsia" w:ascii="Times New Roman" w:hAnsi="Times New Roman" w:cs="Times New Roman"/>
                      <w:kern w:val="0"/>
                      <w:szCs w:val="21"/>
                      <w:lang w:val="en-US" w:eastAsia="zh-CN"/>
                    </w:rPr>
                    <w:t>53户106人</w:t>
                  </w:r>
                </w:p>
              </w:tc>
              <w:tc>
                <w:tcPr>
                  <w:tcW w:w="1105" w:type="dxa"/>
                  <w:vAlign w:val="center"/>
                </w:tcPr>
                <w:p>
                  <w:pPr>
                    <w:adjustRightInd w:val="0"/>
                    <w:snapToGrid w:val="0"/>
                    <w:jc w:val="center"/>
                    <w:rPr>
                      <w:rFonts w:ascii="Times New Roman" w:hAnsi="Times New Roman" w:cs="Times New Roman"/>
                      <w:kern w:val="0"/>
                      <w:szCs w:val="21"/>
                    </w:rPr>
                  </w:pPr>
                  <w:r>
                    <w:rPr>
                      <w:rFonts w:hint="eastAsia" w:ascii="Times New Roman" w:hAnsi="Times New Roman" w:cs="Times New Roman"/>
                      <w:kern w:val="0"/>
                      <w:szCs w:val="21"/>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6" w:hRule="atLeast"/>
                <w:jc w:val="center"/>
              </w:trPr>
              <w:tc>
                <w:tcPr>
                  <w:tcW w:w="95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1279" w:type="dxa"/>
                  <w:gridSpan w:val="2"/>
                  <w:vMerge w:val="continue"/>
                  <w:vAlign w:val="center"/>
                </w:tcPr>
                <w:p>
                  <w:pPr>
                    <w:adjustRightInd w:val="0"/>
                    <w:snapToGrid w:val="0"/>
                    <w:jc w:val="center"/>
                    <w:rPr>
                      <w:rFonts w:hint="eastAsia" w:ascii="Times New Roman" w:hAnsi="Times New Roman" w:cs="Times New Roman" w:eastAsiaTheme="minorEastAsia"/>
                      <w:b w:val="0"/>
                      <w:bCs w:val="0"/>
                      <w:snapToGrid/>
                      <w:color w:val="000000" w:themeColor="text1"/>
                      <w:kern w:val="2"/>
                      <w:sz w:val="21"/>
                      <w:szCs w:val="21"/>
                      <w:lang w:val="en-US" w:eastAsia="zh-CN"/>
                      <w14:textFill>
                        <w14:solidFill>
                          <w14:schemeClr w14:val="tx1"/>
                        </w14:solidFill>
                      </w14:textFill>
                    </w:rPr>
                  </w:pPr>
                </w:p>
              </w:tc>
              <w:tc>
                <w:tcPr>
                  <w:tcW w:w="1218" w:type="dxa"/>
                  <w:vMerge w:val="continue"/>
                  <w:vAlign w:val="center"/>
                </w:tcPr>
                <w:p>
                  <w:pPr>
                    <w:adjustRightInd w:val="0"/>
                    <w:snapToGrid w:val="0"/>
                    <w:jc w:val="center"/>
                    <w:rPr>
                      <w:rFonts w:hint="eastAsia" w:ascii="Times New Roman" w:hAnsi="Times New Roman" w:eastAsia="宋体" w:cs="Times New Roman"/>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default" w:ascii="Times New Roman" w:hAnsi="Times New Roman" w:cs="Times New Roman" w:eastAsiaTheme="minorEastAsia"/>
                      <w:kern w:val="0"/>
                      <w:szCs w:val="21"/>
                      <w:lang w:val="en-US" w:eastAsia="zh-CN"/>
                    </w:rPr>
                  </w:pPr>
                  <w:r>
                    <w:rPr>
                      <w:rFonts w:hint="eastAsia" w:ascii="Times New Roman" w:hAnsi="Times New Roman" w:cs="Times New Roman"/>
                      <w:kern w:val="0"/>
                      <w:szCs w:val="21"/>
                      <w:lang w:val="en-US" w:eastAsia="zh-CN"/>
                    </w:rPr>
                    <w:t>79户158人</w:t>
                  </w:r>
                </w:p>
              </w:tc>
              <w:tc>
                <w:tcPr>
                  <w:tcW w:w="1105" w:type="dxa"/>
                  <w:vAlign w:val="center"/>
                </w:tcPr>
                <w:p>
                  <w:pPr>
                    <w:adjustRightInd w:val="0"/>
                    <w:snapToGrid w:val="0"/>
                    <w:jc w:val="center"/>
                    <w:rPr>
                      <w:rFonts w:hint="eastAsia" w:ascii="Times New Roman" w:hAnsi="Times New Roman" w:cs="Times New Roman"/>
                      <w:kern w:val="0"/>
                      <w:szCs w:val="21"/>
                    </w:rPr>
                  </w:pPr>
                  <w:r>
                    <w:rPr>
                      <w:rFonts w:hint="eastAsia" w:ascii="Times New Roman" w:hAnsi="Times New Roman" w:cs="Times New Roman"/>
                      <w:kern w:val="0"/>
                      <w:szCs w:val="21"/>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0"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b w:val="0"/>
                      <w:bCs w:val="0"/>
                      <w:szCs w:val="21"/>
                    </w:rPr>
                  </w:pP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K1+908~K1+948</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45~200m</w:t>
                  </w:r>
                </w:p>
              </w:tc>
              <w:tc>
                <w:tcPr>
                  <w:tcW w:w="2270"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8户16人</w:t>
                  </w:r>
                </w:p>
              </w:tc>
              <w:tc>
                <w:tcPr>
                  <w:tcW w:w="1105" w:type="dxa"/>
                  <w:vAlign w:val="center"/>
                </w:tcPr>
                <w:p>
                  <w:pPr>
                    <w:adjustRightInd w:val="0"/>
                    <w:snapToGrid w:val="0"/>
                    <w:jc w:val="center"/>
                    <w:rPr>
                      <w:rFonts w:hint="default" w:ascii="Times New Roman" w:hAnsi="Times New Roman" w:cs="Times New Roman" w:eastAsiaTheme="minorEastAsia"/>
                      <w:kern w:val="0"/>
                      <w:szCs w:val="21"/>
                      <w:lang w:val="en-US" w:eastAsia="zh-CN"/>
                    </w:rPr>
                  </w:pPr>
                  <w:r>
                    <w:rPr>
                      <w:rFonts w:hint="eastAsia" w:ascii="Times New Roman" w:hAnsi="Times New Roman" w:cs="Times New Roman"/>
                      <w:kern w:val="0"/>
                      <w:szCs w:val="21"/>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b w:val="0"/>
                      <w:bCs w:val="0"/>
                      <w:szCs w:val="21"/>
                    </w:rPr>
                  </w:pP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rPr>
                  </w:pPr>
                  <w:r>
                    <w:rPr>
                      <w:rFonts w:hint="eastAsia" w:ascii="Times New Roman" w:hAnsi="Times New Roman" w:eastAsia="宋体" w:cs="Times New Roman"/>
                      <w:kern w:val="0"/>
                      <w:szCs w:val="21"/>
                      <w:lang w:val="en-US" w:eastAsia="zh-CN"/>
                    </w:rPr>
                    <w:t>K2+723~终点</w:t>
                  </w:r>
                </w:p>
              </w:tc>
              <w:tc>
                <w:tcPr>
                  <w:tcW w:w="386"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Cs w:val="21"/>
                    </w:rPr>
                  </w:pPr>
                  <w:r>
                    <w:rPr>
                      <w:rFonts w:hint="eastAsia" w:ascii="Times New Roman" w:hAnsi="Times New Roman" w:eastAsia="宋体" w:cs="Times New Roman"/>
                      <w:kern w:val="0"/>
                      <w:szCs w:val="21"/>
                      <w:lang w:val="en-US" w:eastAsia="zh-CN"/>
                    </w:rPr>
                    <w:t>5~200m</w:t>
                  </w:r>
                </w:p>
              </w:tc>
              <w:tc>
                <w:tcPr>
                  <w:tcW w:w="2270" w:type="dxa"/>
                  <w:vMerge w:val="restart"/>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塌垭村集中居住区，约600人</w:t>
                  </w:r>
                </w:p>
              </w:tc>
              <w:tc>
                <w:tcPr>
                  <w:tcW w:w="1105" w:type="dxa"/>
                  <w:vMerge w:val="restart"/>
                  <w:vAlign w:val="center"/>
                </w:tcPr>
                <w:p>
                  <w:pPr>
                    <w:adjustRightInd w:val="0"/>
                    <w:snapToGrid w:val="0"/>
                    <w:jc w:val="center"/>
                    <w:rPr>
                      <w:rFonts w:hint="default" w:ascii="Times New Roman" w:hAnsi="Times New Roman" w:cs="Times New Roman"/>
                      <w:kern w:val="0"/>
                      <w:szCs w:val="21"/>
                      <w:lang w:val="en-US"/>
                    </w:rPr>
                  </w:pPr>
                  <w:r>
                    <w:rPr>
                      <w:rFonts w:hint="eastAsia" w:ascii="Times New Roman" w:hAnsi="Times New Roman" w:cs="Times New Roman"/>
                      <w:kern w:val="0"/>
                      <w:szCs w:val="21"/>
                      <w:lang w:val="en-US" w:eastAsia="zh-CN"/>
                    </w:rPr>
                    <w:t>侧对、正对、背对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b w:val="0"/>
                      <w:bCs w:val="0"/>
                      <w:szCs w:val="21"/>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Merge w:val="continue"/>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p>
              </w:tc>
              <w:tc>
                <w:tcPr>
                  <w:tcW w:w="1105" w:type="dxa"/>
                  <w:vMerge w:val="continue"/>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eastAsia" w:ascii="Times New Roman" w:hAnsi="Times New Roman" w:eastAsia="宋体" w:cs="Times New Roman"/>
                      <w:b w:val="0"/>
                      <w:bCs w:val="0"/>
                      <w:szCs w:val="21"/>
                      <w:lang w:val="en-US" w:eastAsia="zh-CN"/>
                    </w:rPr>
                  </w:pPr>
                  <w:r>
                    <w:rPr>
                      <w:rFonts w:hint="eastAsia" w:ascii="Times New Roman" w:hAnsi="Times New Roman" w:eastAsia="宋体" w:cs="Times New Roman"/>
                      <w:b w:val="0"/>
                      <w:bCs w:val="0"/>
                      <w:szCs w:val="21"/>
                      <w:lang w:val="en-US" w:eastAsia="zh-CN"/>
                    </w:rPr>
                    <w:t>左干管</w:t>
                  </w:r>
                </w:p>
              </w:tc>
              <w:tc>
                <w:tcPr>
                  <w:tcW w:w="1218" w:type="dxa"/>
                  <w:vMerge w:val="restart"/>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K0+873~终点</w:t>
                  </w:r>
                </w:p>
              </w:tc>
              <w:tc>
                <w:tcPr>
                  <w:tcW w:w="386"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Merge w:val="restart"/>
                  <w:vAlign w:val="center"/>
                </w:tcPr>
                <w:p>
                  <w:pPr>
                    <w:adjustRightInd w:val="0"/>
                    <w:snapToGrid w:val="0"/>
                    <w:jc w:val="center"/>
                    <w:rPr>
                      <w:rFonts w:hint="eastAsia" w:ascii="Times New Roman" w:hAnsi="Times New Roman" w:cs="Times New Roman"/>
                      <w:kern w:val="0"/>
                      <w:szCs w:val="21"/>
                    </w:rPr>
                  </w:pPr>
                  <w:r>
                    <w:rPr>
                      <w:rFonts w:hint="eastAsia" w:ascii="Times New Roman" w:hAnsi="Times New Roman" w:cs="Times New Roman"/>
                      <w:kern w:val="0"/>
                      <w:sz w:val="21"/>
                      <w:szCs w:val="21"/>
                      <w:lang w:val="en-US" w:eastAsia="zh-CN" w:bidi="ar-SA"/>
                    </w:rPr>
                    <w:t>铁尖村集中居住区，约500人</w:t>
                  </w:r>
                </w:p>
              </w:tc>
              <w:tc>
                <w:tcPr>
                  <w:tcW w:w="1105" w:type="dxa"/>
                  <w:vMerge w:val="restart"/>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侧对、正对、背对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b w:val="0"/>
                      <w:bCs w:val="0"/>
                      <w:szCs w:val="21"/>
                    </w:rPr>
                  </w:pPr>
                </w:p>
              </w:tc>
              <w:tc>
                <w:tcPr>
                  <w:tcW w:w="1218" w:type="dxa"/>
                  <w:vMerge w:val="continue"/>
                  <w:vAlign w:val="center"/>
                </w:tcPr>
                <w:p>
                  <w:pPr>
                    <w:adjustRightInd w:val="0"/>
                    <w:snapToGrid w:val="0"/>
                    <w:jc w:val="center"/>
                    <w:rPr>
                      <w:rFonts w:ascii="Times New Roman" w:hAnsi="Times New Roman" w:eastAsia="宋体" w:cs="Times New Roman"/>
                      <w:szCs w:val="21"/>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Merge w:val="continue"/>
                  <w:vAlign w:val="center"/>
                </w:tcPr>
                <w:p>
                  <w:pPr>
                    <w:adjustRightInd w:val="0"/>
                    <w:snapToGrid w:val="0"/>
                    <w:jc w:val="center"/>
                    <w:rPr>
                      <w:rFonts w:hint="eastAsia" w:ascii="Times New Roman" w:hAnsi="Times New Roman" w:cs="Times New Roman"/>
                      <w:kern w:val="0"/>
                      <w:szCs w:val="21"/>
                    </w:rPr>
                  </w:pPr>
                </w:p>
              </w:tc>
              <w:tc>
                <w:tcPr>
                  <w:tcW w:w="1105" w:type="dxa"/>
                  <w:vMerge w:val="continue"/>
                  <w:vAlign w:val="center"/>
                </w:tcPr>
                <w:p>
                  <w:pPr>
                    <w:adjustRightInd w:val="0"/>
                    <w:snapToGrid w:val="0"/>
                    <w:jc w:val="center"/>
                    <w:rPr>
                      <w:rFonts w:hint="eastAsia" w:ascii="Times New Roman" w:hAnsi="Times New Roman" w:cs="Times New Roman"/>
                      <w:kern w:val="0"/>
                      <w:szCs w:val="21"/>
                    </w:rPr>
                  </w:pP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5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阴洞岩水库灌区</w:t>
                  </w:r>
                </w:p>
              </w:tc>
              <w:tc>
                <w:tcPr>
                  <w:tcW w:w="1279" w:type="dxa"/>
                  <w:gridSpan w:val="2"/>
                  <w:vAlign w:val="center"/>
                </w:tcPr>
                <w:p>
                  <w:pPr>
                    <w:adjustRightInd w:val="0"/>
                    <w:snapToGrid w:val="0"/>
                    <w:jc w:val="center"/>
                    <w:rPr>
                      <w:rFonts w:hint="default" w:ascii="Times New Roman" w:hAnsi="Times New Roman" w:eastAsia="宋体" w:cs="Times New Roman"/>
                      <w:b w:val="0"/>
                      <w:bCs w:val="0"/>
                      <w:szCs w:val="21"/>
                      <w:lang w:val="en-US" w:eastAsia="zh-CN"/>
                    </w:rPr>
                  </w:pPr>
                  <w:r>
                    <w:rPr>
                      <w:rFonts w:hint="eastAsia" w:ascii="Times New Roman" w:hAnsi="Times New Roman" w:eastAsia="宋体" w:cs="Times New Roman"/>
                      <w:b w:val="0"/>
                      <w:bCs w:val="0"/>
                      <w:szCs w:val="21"/>
                      <w:lang w:val="en-US" w:eastAsia="zh-CN"/>
                    </w:rPr>
                    <w:t>右干渠</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K0+027~K0+090</w:t>
                  </w:r>
                </w:p>
              </w:tc>
              <w:tc>
                <w:tcPr>
                  <w:tcW w:w="386"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default" w:ascii="Times New Roman" w:hAnsi="Times New Roman" w:eastAsia="宋体" w:cs="Times New Roman"/>
                      <w:b w:val="0"/>
                      <w:bCs w:val="0"/>
                      <w:szCs w:val="21"/>
                      <w:lang w:val="en-US" w:eastAsia="zh-CN"/>
                    </w:rPr>
                  </w:pPr>
                  <w:r>
                    <w:rPr>
                      <w:rFonts w:hint="eastAsia" w:ascii="Times New Roman" w:hAnsi="Times New Roman" w:eastAsia="宋体" w:cs="Times New Roman"/>
                      <w:b w:val="0"/>
                      <w:bCs w:val="0"/>
                      <w:szCs w:val="21"/>
                      <w:lang w:val="en-US" w:eastAsia="zh-CN"/>
                    </w:rPr>
                    <w:t>右一支渠</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起点~K0+255</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28~200m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12户24人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侧</w:t>
                  </w:r>
                  <w:r>
                    <w:rPr>
                      <w:rFonts w:hint="eastAsia" w:ascii="Times New Roman" w:hAnsi="Times New Roman" w:cs="Times New Roman"/>
                      <w:kern w:val="0"/>
                      <w:szCs w:val="21"/>
                    </w:rPr>
                    <w:t>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b w:val="0"/>
                      <w:bCs w:val="0"/>
                      <w:szCs w:val="21"/>
                      <w:lang w:val="en-US" w:eastAsia="zh-CN"/>
                    </w:rPr>
                  </w:pPr>
                  <w:r>
                    <w:rPr>
                      <w:rFonts w:hint="eastAsia" w:ascii="Times New Roman" w:hAnsi="Times New Roman" w:eastAsia="宋体" w:cs="Times New Roman"/>
                      <w:b w:val="0"/>
                      <w:bCs w:val="0"/>
                      <w:szCs w:val="21"/>
                      <w:lang w:val="en-US" w:eastAsia="zh-CN"/>
                    </w:rPr>
                    <w:t>右二支渠</w:t>
                  </w: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rPr>
                  </w:pPr>
                  <w:r>
                    <w:rPr>
                      <w:rFonts w:hint="eastAsia" w:ascii="Times New Roman" w:hAnsi="Times New Roman" w:eastAsia="宋体" w:cs="Times New Roman"/>
                      <w:b w:val="0"/>
                      <w:bCs w:val="0"/>
                      <w:szCs w:val="21"/>
                      <w:lang w:val="en-US" w:eastAsia="zh-CN"/>
                    </w:rPr>
                    <w:t>K0+174~K0+562</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31户62人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b w:val="0"/>
                      <w:bCs w:val="0"/>
                      <w:szCs w:val="21"/>
                    </w:rPr>
                  </w:pPr>
                </w:p>
              </w:tc>
              <w:tc>
                <w:tcPr>
                  <w:tcW w:w="1218" w:type="dxa"/>
                  <w:vMerge w:val="continue"/>
                  <w:vAlign w:val="center"/>
                </w:tcPr>
                <w:p>
                  <w:pPr>
                    <w:adjustRightInd w:val="0"/>
                    <w:snapToGrid w:val="0"/>
                    <w:jc w:val="center"/>
                    <w:rPr>
                      <w:rFonts w:ascii="Times New Roman" w:hAnsi="Times New Roman" w:eastAsia="宋体" w:cs="Times New Roman"/>
                      <w:kern w:val="0"/>
                      <w:szCs w:val="21"/>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7~200m</w:t>
                  </w:r>
                </w:p>
              </w:tc>
              <w:tc>
                <w:tcPr>
                  <w:tcW w:w="2270"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2户4人</w:t>
                  </w:r>
                </w:p>
              </w:tc>
              <w:tc>
                <w:tcPr>
                  <w:tcW w:w="1105"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3"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restart"/>
                  <w:vAlign w:val="center"/>
                </w:tcPr>
                <w:p>
                  <w:pPr>
                    <w:adjustRightInd w:val="0"/>
                    <w:snapToGrid w:val="0"/>
                    <w:jc w:val="center"/>
                    <w:rPr>
                      <w:rFonts w:hint="default" w:ascii="Times New Roman" w:hAnsi="Times New Roman" w:eastAsia="宋体" w:cs="Times New Roman"/>
                      <w:b w:val="0"/>
                      <w:bCs w:val="0"/>
                      <w:szCs w:val="21"/>
                      <w:lang w:val="en-US" w:eastAsia="zh-CN"/>
                    </w:rPr>
                  </w:pPr>
                  <w:r>
                    <w:rPr>
                      <w:rFonts w:hint="eastAsia" w:ascii="Times New Roman" w:hAnsi="Times New Roman" w:eastAsia="宋体" w:cs="Times New Roman"/>
                      <w:b w:val="0"/>
                      <w:bCs w:val="0"/>
                      <w:szCs w:val="21"/>
                      <w:lang w:val="en-US" w:eastAsia="zh-CN"/>
                    </w:rPr>
                    <w:t>右3-1支渠</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K0+140~K0+269</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8~200m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3户6人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b w:val="0"/>
                      <w:bCs w:val="0"/>
                      <w:szCs w:val="21"/>
                    </w:rPr>
                  </w:pPr>
                </w:p>
              </w:tc>
              <w:tc>
                <w:tcPr>
                  <w:tcW w:w="1218" w:type="dxa"/>
                  <w:vMerge w:val="restart"/>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K0+636~K0+727</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左</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5~200m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21户42人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r>
                    <w:rPr>
                      <w:rFonts w:hint="eastAsia" w:ascii="Times New Roman" w:hAnsi="Times New Roman" w:cs="Times New Roman"/>
                      <w:kern w:val="0"/>
                      <w:szCs w:val="21"/>
                      <w:lang w:eastAsia="zh-CN"/>
                    </w:rPr>
                    <w:t>、</w:t>
                  </w:r>
                  <w:r>
                    <w:rPr>
                      <w:rFonts w:hint="eastAsia" w:ascii="Times New Roman" w:hAnsi="Times New Roman" w:cs="Times New Roman"/>
                      <w:kern w:val="0"/>
                      <w:szCs w:val="21"/>
                      <w:lang w:val="en-US" w:eastAsia="zh-CN"/>
                    </w:rPr>
                    <w:t>侧对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1"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b w:val="0"/>
                      <w:bCs w:val="0"/>
                      <w:szCs w:val="21"/>
                    </w:rPr>
                  </w:pPr>
                </w:p>
              </w:tc>
              <w:tc>
                <w:tcPr>
                  <w:tcW w:w="1218" w:type="dxa"/>
                  <w:vMerge w:val="continue"/>
                  <w:vAlign w:val="center"/>
                </w:tcPr>
                <w:p>
                  <w:pPr>
                    <w:adjustRightInd w:val="0"/>
                    <w:snapToGrid w:val="0"/>
                    <w:jc w:val="center"/>
                    <w:rPr>
                      <w:rFonts w:hint="eastAsia" w:ascii="Times New Roman" w:hAnsi="Times New Roman" w:eastAsia="宋体" w:cs="Times New Roman"/>
                      <w:kern w:val="0"/>
                      <w:szCs w:val="21"/>
                      <w:lang w:val="en-US" w:eastAsia="zh-CN"/>
                    </w:rPr>
                  </w:pP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1户2人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rPr>
                    <w:t>正对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Merge w:val="continue"/>
                  <w:vAlign w:val="center"/>
                </w:tcPr>
                <w:p>
                  <w:pPr>
                    <w:adjustRightInd w:val="0"/>
                    <w:snapToGrid w:val="0"/>
                    <w:jc w:val="center"/>
                    <w:rPr>
                      <w:rFonts w:ascii="Times New Roman" w:hAnsi="Times New Roman" w:eastAsia="宋体" w:cs="Times New Roman"/>
                      <w:b w:val="0"/>
                      <w:bCs w:val="0"/>
                      <w:szCs w:val="21"/>
                    </w:rPr>
                  </w:pP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终点</w:t>
                  </w:r>
                </w:p>
              </w:tc>
              <w:tc>
                <w:tcPr>
                  <w:tcW w:w="386"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西</w:t>
                  </w:r>
                </w:p>
              </w:tc>
              <w:tc>
                <w:tcPr>
                  <w:tcW w:w="871"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8~200m</w:t>
                  </w:r>
                </w:p>
              </w:tc>
              <w:tc>
                <w:tcPr>
                  <w:tcW w:w="2270" w:type="dxa"/>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6户12人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 w:val="21"/>
                      <w:szCs w:val="21"/>
                      <w:lang w:val="en-US" w:eastAsia="zh-CN" w:bidi="ar-SA"/>
                    </w:rPr>
                    <w:t>侧对、背对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6" w:hRule="atLeast"/>
                <w:jc w:val="center"/>
              </w:trPr>
              <w:tc>
                <w:tcPr>
                  <w:tcW w:w="958" w:type="dxa"/>
                  <w:vMerge w:val="continue"/>
                  <w:vAlign w:val="center"/>
                </w:tcPr>
                <w:p>
                  <w:pPr>
                    <w:adjustRightInd w:val="0"/>
                    <w:snapToGrid w:val="0"/>
                    <w:jc w:val="center"/>
                    <w:rPr>
                      <w:rFonts w:ascii="Times New Roman" w:hAnsi="Times New Roman" w:eastAsia="宋体" w:cs="Times New Roman"/>
                      <w:kern w:val="0"/>
                      <w:szCs w:val="21"/>
                    </w:rPr>
                  </w:pPr>
                </w:p>
              </w:tc>
              <w:tc>
                <w:tcPr>
                  <w:tcW w:w="1279" w:type="dxa"/>
                  <w:gridSpan w:val="2"/>
                  <w:vAlign w:val="center"/>
                </w:tcPr>
                <w:p>
                  <w:pPr>
                    <w:adjustRightInd w:val="0"/>
                    <w:snapToGrid w:val="0"/>
                    <w:jc w:val="center"/>
                    <w:rPr>
                      <w:rFonts w:hint="eastAsia" w:ascii="Times New Roman" w:hAnsi="Times New Roman" w:cs="Times New Roman" w:eastAsiaTheme="minorEastAsia"/>
                      <w:b w:val="0"/>
                      <w:bCs w:val="0"/>
                      <w:snapToGrid/>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szCs w:val="21"/>
                      <w:lang w:val="en-US" w:eastAsia="zh-CN"/>
                    </w:rPr>
                    <w:t>右3-2支渠</w:t>
                  </w:r>
                </w:p>
              </w:tc>
              <w:tc>
                <w:tcPr>
                  <w:tcW w:w="1218" w:type="dxa"/>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K0+148~K0+248</w:t>
                  </w:r>
                </w:p>
              </w:tc>
              <w:tc>
                <w:tcPr>
                  <w:tcW w:w="386" w:type="dxa"/>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右</w:t>
                  </w:r>
                </w:p>
              </w:tc>
              <w:tc>
                <w:tcPr>
                  <w:tcW w:w="871" w:type="dxa"/>
                  <w:vAlign w:val="center"/>
                </w:tcPr>
                <w:p>
                  <w:pPr>
                    <w:adjustRightInd w:val="0"/>
                    <w:snapToGrid w:val="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Cs w:val="21"/>
                      <w:lang w:val="en-US" w:eastAsia="zh-CN"/>
                    </w:rPr>
                    <w:t>3~200m</w:t>
                  </w:r>
                </w:p>
              </w:tc>
              <w:tc>
                <w:tcPr>
                  <w:tcW w:w="2270" w:type="dxa"/>
                  <w:vAlign w:val="center"/>
                </w:tcPr>
                <w:p>
                  <w:pPr>
                    <w:adjustRightInd w:val="0"/>
                    <w:snapToGrid w:val="0"/>
                    <w:jc w:val="center"/>
                    <w:rPr>
                      <w:rFonts w:hint="eastAsia"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5户10人</w:t>
                  </w:r>
                </w:p>
              </w:tc>
              <w:tc>
                <w:tcPr>
                  <w:tcW w:w="1105" w:type="dxa"/>
                  <w:vAlign w:val="center"/>
                </w:tcPr>
                <w:p>
                  <w:pPr>
                    <w:adjustRightInd w:val="0"/>
                    <w:snapToGrid w:val="0"/>
                    <w:jc w:val="center"/>
                    <w:rPr>
                      <w:rFonts w:hint="default" w:ascii="Times New Roman" w:hAnsi="Times New Roman" w:cs="Times New Roman" w:eastAsiaTheme="minorEastAsia"/>
                      <w:kern w:val="0"/>
                      <w:sz w:val="21"/>
                      <w:szCs w:val="21"/>
                      <w:lang w:val="en-US" w:eastAsia="zh-CN" w:bidi="ar-SA"/>
                    </w:rPr>
                  </w:pPr>
                  <w:r>
                    <w:rPr>
                      <w:rFonts w:hint="eastAsia" w:ascii="Times New Roman" w:hAnsi="Times New Roman" w:cs="Times New Roman"/>
                      <w:kern w:val="0"/>
                      <w:szCs w:val="21"/>
                      <w:lang w:val="en-US" w:eastAsia="zh-CN"/>
                    </w:rPr>
                    <w:t>背</w:t>
                  </w:r>
                  <w:r>
                    <w:rPr>
                      <w:rFonts w:hint="eastAsia" w:ascii="Times New Roman" w:hAnsi="Times New Roman" w:cs="Times New Roman"/>
                      <w:kern w:val="0"/>
                      <w:szCs w:val="21"/>
                    </w:rPr>
                    <w:t>对</w:t>
                  </w:r>
                </w:p>
              </w:tc>
              <w:tc>
                <w:tcPr>
                  <w:tcW w:w="1211" w:type="dxa"/>
                  <w:vMerge w:val="continue"/>
                  <w:vAlign w:val="center"/>
                </w:tcPr>
                <w:p>
                  <w:pPr>
                    <w:adjustRightInd w:val="0"/>
                    <w:snapToGrid w:val="0"/>
                    <w:jc w:val="center"/>
                    <w:rPr>
                      <w:rFonts w:ascii="Times New Roman" w:hAnsi="Times New Roman" w:cs="Times New Roman"/>
                      <w:kern w:val="0"/>
                      <w:szCs w:val="21"/>
                    </w:rPr>
                  </w:pPr>
                </w:p>
              </w:tc>
            </w:tr>
          </w:tbl>
          <w:p>
            <w:pPr>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3、大气环境保护目标</w:t>
            </w:r>
          </w:p>
          <w:p>
            <w:pPr>
              <w:adjustRightInd w:val="0"/>
              <w:snapToGrid w:val="0"/>
              <w:spacing w:line="360" w:lineRule="auto"/>
              <w:ind w:firstLine="480" w:firstLineChars="200"/>
              <w:rPr>
                <w:rFonts w:ascii="Times New Roman" w:hAnsi="Times New Roman" w:eastAsia="宋体" w:cs="Times New Roman"/>
                <w:b/>
                <w:szCs w:val="21"/>
              </w:rPr>
            </w:pPr>
            <w:r>
              <w:rPr>
                <w:rFonts w:ascii="Times New Roman" w:hAnsi="Times New Roman" w:cs="Times New Roman"/>
                <w:sz w:val="24"/>
                <w:szCs w:val="24"/>
              </w:rPr>
              <w:t>区域大气环境保护目标主要为</w:t>
            </w:r>
            <w:r>
              <w:rPr>
                <w:rFonts w:hint="eastAsia" w:ascii="Times New Roman" w:hAnsi="Times New Roman" w:cs="Times New Roman"/>
                <w:sz w:val="24"/>
                <w:szCs w:val="24"/>
                <w:lang w:val="en-US" w:eastAsia="zh-CN"/>
              </w:rPr>
              <w:t>各灌区范围居</w:t>
            </w:r>
            <w:r>
              <w:rPr>
                <w:rFonts w:ascii="Times New Roman" w:hAnsi="Times New Roman" w:cs="Times New Roman"/>
                <w:sz w:val="24"/>
                <w:szCs w:val="24"/>
              </w:rPr>
              <w:t>住区，含</w:t>
            </w:r>
            <w:r>
              <w:rPr>
                <w:rFonts w:hint="eastAsia" w:ascii="Times New Roman" w:hAnsi="Times New Roman" w:cs="Times New Roman"/>
                <w:sz w:val="24"/>
                <w:szCs w:val="24"/>
                <w:lang w:val="en-US" w:eastAsia="zh-CN"/>
              </w:rPr>
              <w:t>学校</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医疗</w:t>
            </w:r>
            <w:r>
              <w:rPr>
                <w:rFonts w:ascii="Times New Roman" w:hAnsi="Times New Roman" w:cs="Times New Roman"/>
                <w:sz w:val="24"/>
                <w:szCs w:val="24"/>
              </w:rPr>
              <w:t>设施</w:t>
            </w:r>
            <w:r>
              <w:rPr>
                <w:rFonts w:hint="eastAsia" w:ascii="Times New Roman" w:hAnsi="Times New Roman" w:cs="Times New Roman"/>
                <w:sz w:val="24"/>
                <w:szCs w:val="24"/>
                <w:lang w:val="en-US" w:eastAsia="zh-CN"/>
              </w:rPr>
              <w:t>等</w:t>
            </w:r>
            <w:r>
              <w:rPr>
                <w:rFonts w:ascii="Times New Roman" w:hAnsi="Times New Roman" w:cs="Times New Roman"/>
                <w:sz w:val="24"/>
                <w:szCs w:val="24"/>
              </w:rPr>
              <w:t>，执行《环境空气质量标准》（GB3095-2012）二类区标准。</w:t>
            </w:r>
          </w:p>
          <w:p>
            <w:pPr>
              <w:jc w:val="center"/>
              <w:rPr>
                <w:rFonts w:ascii="Times New Roman" w:hAnsi="Times New Roman" w:eastAsia="宋体" w:cs="Times New Roman"/>
                <w:b/>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表3</w:t>
            </w:r>
            <w:r>
              <w:rPr>
                <w:rFonts w:hint="eastAsia" w:ascii="Times New Roman" w:hAnsi="Times New Roman" w:eastAsia="宋体" w:cs="Times New Roman"/>
                <w:b/>
                <w:color w:val="000000" w:themeColor="text1"/>
                <w:szCs w:val="21"/>
                <w14:textFill>
                  <w14:solidFill>
                    <w14:schemeClr w14:val="tx1"/>
                  </w14:solidFill>
                </w14:textFill>
              </w:rPr>
              <w:t>-1</w:t>
            </w:r>
            <w:r>
              <w:rPr>
                <w:rFonts w:hint="eastAsia" w:ascii="Times New Roman" w:hAnsi="Times New Roman" w:eastAsia="宋体" w:cs="Times New Roman"/>
                <w:b/>
                <w:color w:val="000000" w:themeColor="text1"/>
                <w:szCs w:val="21"/>
                <w:lang w:val="en-US" w:eastAsia="zh-CN"/>
                <w14:textFill>
                  <w14:solidFill>
                    <w14:schemeClr w14:val="tx1"/>
                  </w14:solidFill>
                </w14:textFill>
              </w:rPr>
              <w:t>5</w:t>
            </w:r>
            <w:r>
              <w:rPr>
                <w:rFonts w:ascii="Times New Roman" w:hAnsi="Times New Roman" w:eastAsia="宋体" w:cs="Times New Roman"/>
                <w:b/>
                <w:color w:val="000000" w:themeColor="text1"/>
                <w:szCs w:val="21"/>
                <w14:textFill>
                  <w14:solidFill>
                    <w14:schemeClr w14:val="tx1"/>
                  </w14:solidFill>
                </w14:textFill>
              </w:rPr>
              <w:t xml:space="preserve">  </w:t>
            </w:r>
            <w:r>
              <w:rPr>
                <w:rFonts w:hint="eastAsia" w:ascii="Times New Roman" w:hAnsi="Times New Roman" w:eastAsia="宋体" w:cs="Times New Roman"/>
                <w:b/>
                <w:color w:val="000000" w:themeColor="text1"/>
                <w:szCs w:val="21"/>
                <w:lang w:val="en-US" w:eastAsia="zh-CN"/>
                <w14:textFill>
                  <w14:solidFill>
                    <w14:schemeClr w14:val="tx1"/>
                  </w14:solidFill>
                </w14:textFill>
              </w:rPr>
              <w:t>主要</w:t>
            </w:r>
            <w:r>
              <w:rPr>
                <w:rFonts w:hint="eastAsia" w:ascii="Times New Roman" w:hAnsi="Times New Roman" w:eastAsia="宋体" w:cs="Times New Roman"/>
                <w:b/>
                <w:color w:val="000000" w:themeColor="text1"/>
                <w:szCs w:val="21"/>
                <w14:textFill>
                  <w14:solidFill>
                    <w14:schemeClr w14:val="tx1"/>
                  </w14:solidFill>
                </w14:textFill>
              </w:rPr>
              <w:t>大气</w:t>
            </w:r>
            <w:r>
              <w:rPr>
                <w:rFonts w:ascii="Times New Roman" w:hAnsi="Times New Roman" w:eastAsia="宋体" w:cs="Times New Roman"/>
                <w:b/>
                <w:color w:val="000000" w:themeColor="text1"/>
                <w:szCs w:val="21"/>
                <w14:textFill>
                  <w14:solidFill>
                    <w14:schemeClr w14:val="tx1"/>
                  </w14:solidFill>
                </w14:textFill>
              </w:rPr>
              <w:t>环境保护目标一览表</w:t>
            </w:r>
          </w:p>
          <w:tbl>
            <w:tblPr>
              <w:tblStyle w:val="26"/>
              <w:tblW w:w="9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57"/>
              <w:gridCol w:w="1709"/>
              <w:gridCol w:w="1572"/>
              <w:gridCol w:w="1726"/>
              <w:gridCol w:w="1555"/>
              <w:gridCol w:w="13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4" w:hRule="atLeast"/>
                <w:jc w:val="center"/>
              </w:trPr>
              <w:tc>
                <w:tcPr>
                  <w:tcW w:w="1357" w:type="dxa"/>
                  <w:vAlign w:val="center"/>
                </w:tcPr>
                <w:p>
                  <w:pPr>
                    <w:adjustRightInd w:val="0"/>
                    <w:snapToGrid w:val="0"/>
                    <w:jc w:val="center"/>
                    <w:rPr>
                      <w:rFonts w:hint="eastAsia" w:ascii="Times New Roman" w:hAnsi="Times New Roman" w:cs="Times New Roman" w:eastAsiaTheme="minorEastAsia"/>
                      <w:b/>
                      <w:bCs/>
                      <w:color w:val="000000" w:themeColor="text1"/>
                      <w:kern w:val="0"/>
                      <w:szCs w:val="21"/>
                      <w:lang w:eastAsia="zh-CN"/>
                      <w14:textFill>
                        <w14:solidFill>
                          <w14:schemeClr w14:val="tx1"/>
                        </w14:solidFill>
                      </w14:textFill>
                    </w:rPr>
                  </w:pPr>
                  <w:r>
                    <w:rPr>
                      <w:rFonts w:hint="eastAsia" w:ascii="Times New Roman" w:hAnsi="Times New Roman" w:cs="Times New Roman"/>
                      <w:b/>
                      <w:bCs/>
                      <w:color w:val="000000" w:themeColor="text1"/>
                      <w:kern w:val="0"/>
                      <w:szCs w:val="21"/>
                      <w:lang w:val="en-US" w:eastAsia="zh-CN"/>
                      <w14:textFill>
                        <w14:solidFill>
                          <w14:schemeClr w14:val="tx1"/>
                        </w14:solidFill>
                      </w14:textFill>
                    </w:rPr>
                    <w:t>渠段</w:t>
                  </w:r>
                </w:p>
              </w:tc>
              <w:tc>
                <w:tcPr>
                  <w:tcW w:w="1709" w:type="dxa"/>
                  <w:vAlign w:val="center"/>
                </w:tcPr>
                <w:p>
                  <w:pPr>
                    <w:adjustRightInd w:val="0"/>
                    <w:snapToGrid w:val="0"/>
                    <w:jc w:val="center"/>
                    <w:rPr>
                      <w:rFonts w:ascii="Times New Roman" w:hAnsi="Times New Roman" w:cs="Times New Roman"/>
                      <w:b/>
                      <w:bCs/>
                      <w:color w:val="000000" w:themeColor="text1"/>
                      <w:kern w:val="0"/>
                      <w:szCs w:val="21"/>
                      <w14:textFill>
                        <w14:solidFill>
                          <w14:schemeClr w14:val="tx1"/>
                        </w14:solidFill>
                      </w14:textFill>
                    </w:rPr>
                  </w:pPr>
                  <w:r>
                    <w:rPr>
                      <w:rFonts w:hint="eastAsia" w:ascii="Times New Roman" w:hAnsi="Times New Roman" w:cs="Times New Roman"/>
                      <w:b/>
                      <w:bCs/>
                      <w:color w:val="000000" w:themeColor="text1"/>
                      <w:kern w:val="0"/>
                      <w:szCs w:val="21"/>
                      <w:lang w:val="en-US" w:eastAsia="zh-CN"/>
                      <w14:textFill>
                        <w14:solidFill>
                          <w14:schemeClr w14:val="tx1"/>
                        </w14:solidFill>
                      </w14:textFill>
                    </w:rPr>
                    <w:t>渠道名称</w:t>
                  </w:r>
                </w:p>
              </w:tc>
              <w:tc>
                <w:tcPr>
                  <w:tcW w:w="1572" w:type="dxa"/>
                  <w:vAlign w:val="center"/>
                </w:tcPr>
                <w:p>
                  <w:pPr>
                    <w:adjustRightInd w:val="0"/>
                    <w:snapToGrid w:val="0"/>
                    <w:jc w:val="center"/>
                    <w:rPr>
                      <w:rFonts w:ascii="Times New Roman" w:hAnsi="Times New Roman" w:cs="Times New Roman"/>
                      <w:b/>
                      <w:bCs/>
                      <w:color w:val="000000" w:themeColor="text1"/>
                      <w:kern w:val="0"/>
                      <w:szCs w:val="21"/>
                      <w14:textFill>
                        <w14:solidFill>
                          <w14:schemeClr w14:val="tx1"/>
                        </w14:solidFill>
                      </w14:textFill>
                    </w:rPr>
                  </w:pPr>
                  <w:r>
                    <w:rPr>
                      <w:rFonts w:hint="eastAsia" w:ascii="Times New Roman" w:hAnsi="Times New Roman" w:cs="Times New Roman"/>
                      <w:b/>
                      <w:bCs/>
                      <w:color w:val="000000" w:themeColor="text1"/>
                      <w:kern w:val="0"/>
                      <w:szCs w:val="21"/>
                      <w:lang w:val="en-US" w:eastAsia="zh-CN"/>
                      <w14:textFill>
                        <w14:solidFill>
                          <w14:schemeClr w14:val="tx1"/>
                        </w14:solidFill>
                      </w14:textFill>
                    </w:rPr>
                    <w:t>距离红线最近</w:t>
                  </w:r>
                  <w:r>
                    <w:rPr>
                      <w:rFonts w:ascii="Times New Roman" w:hAnsi="Times New Roman" w:cs="Times New Roman"/>
                      <w:b/>
                      <w:bCs/>
                      <w:color w:val="000000" w:themeColor="text1"/>
                      <w:kern w:val="0"/>
                      <w:szCs w:val="21"/>
                      <w14:textFill>
                        <w14:solidFill>
                          <w14:schemeClr w14:val="tx1"/>
                        </w14:solidFill>
                      </w14:textFill>
                    </w:rPr>
                    <w:t>距离/m</w:t>
                  </w:r>
                </w:p>
              </w:tc>
              <w:tc>
                <w:tcPr>
                  <w:tcW w:w="1726" w:type="dxa"/>
                  <w:vAlign w:val="center"/>
                </w:tcPr>
                <w:p>
                  <w:pPr>
                    <w:adjustRightInd w:val="0"/>
                    <w:snapToGrid w:val="0"/>
                    <w:jc w:val="center"/>
                    <w:rPr>
                      <w:rFonts w:ascii="Times New Roman" w:hAnsi="Times New Roman" w:cs="Times New Roman"/>
                      <w:b/>
                      <w:bCs/>
                      <w:color w:val="000000" w:themeColor="text1"/>
                      <w:kern w:val="0"/>
                      <w:szCs w:val="21"/>
                      <w14:textFill>
                        <w14:solidFill>
                          <w14:schemeClr w14:val="tx1"/>
                        </w14:solidFill>
                      </w14:textFill>
                    </w:rPr>
                  </w:pPr>
                  <w:r>
                    <w:rPr>
                      <w:rFonts w:ascii="Times New Roman" w:hAnsi="Times New Roman" w:cs="Times New Roman"/>
                      <w:b/>
                      <w:bCs/>
                      <w:color w:val="000000" w:themeColor="text1"/>
                      <w:kern w:val="0"/>
                      <w:szCs w:val="21"/>
                      <w14:textFill>
                        <w14:solidFill>
                          <w14:schemeClr w14:val="tx1"/>
                        </w14:solidFill>
                      </w14:textFill>
                    </w:rPr>
                    <w:t>保护对象</w:t>
                  </w:r>
                </w:p>
              </w:tc>
              <w:tc>
                <w:tcPr>
                  <w:tcW w:w="1555" w:type="dxa"/>
                  <w:vAlign w:val="center"/>
                </w:tcPr>
                <w:p>
                  <w:pPr>
                    <w:adjustRightInd w:val="0"/>
                    <w:snapToGrid w:val="0"/>
                    <w:jc w:val="center"/>
                    <w:rPr>
                      <w:rFonts w:ascii="Times New Roman" w:hAnsi="Times New Roman" w:cs="Times New Roman"/>
                      <w:b/>
                      <w:bCs/>
                      <w:color w:val="000000" w:themeColor="text1"/>
                      <w:kern w:val="0"/>
                      <w:szCs w:val="21"/>
                      <w14:textFill>
                        <w14:solidFill>
                          <w14:schemeClr w14:val="tx1"/>
                        </w14:solidFill>
                      </w14:textFill>
                    </w:rPr>
                  </w:pPr>
                  <w:r>
                    <w:rPr>
                      <w:rFonts w:hint="eastAsia" w:ascii="Times New Roman" w:hAnsi="Times New Roman" w:cs="Times New Roman"/>
                      <w:b/>
                      <w:bCs/>
                      <w:color w:val="000000" w:themeColor="text1"/>
                      <w:kern w:val="0"/>
                      <w:szCs w:val="21"/>
                      <w14:textFill>
                        <w14:solidFill>
                          <w14:schemeClr w14:val="tx1"/>
                        </w14:solidFill>
                      </w14:textFill>
                    </w:rPr>
                    <w:t>保护对象规模</w:t>
                  </w:r>
                </w:p>
              </w:tc>
              <w:tc>
                <w:tcPr>
                  <w:tcW w:w="1358" w:type="dxa"/>
                  <w:vAlign w:val="center"/>
                </w:tcPr>
                <w:p>
                  <w:pPr>
                    <w:adjustRightInd w:val="0"/>
                    <w:snapToGrid w:val="0"/>
                    <w:jc w:val="center"/>
                    <w:rPr>
                      <w:rFonts w:ascii="Times New Roman" w:hAnsi="Times New Roman" w:eastAsia="宋体" w:cs="Times New Roman"/>
                      <w:b/>
                      <w:bCs/>
                      <w:color w:val="000000" w:themeColor="text1"/>
                      <w:kern w:val="0"/>
                      <w:szCs w:val="21"/>
                      <w14:textFill>
                        <w14:solidFill>
                          <w14:schemeClr w14:val="tx1"/>
                        </w14:solidFill>
                      </w14:textFill>
                    </w:rPr>
                  </w:pPr>
                  <w:r>
                    <w:rPr>
                      <w:rFonts w:hint="eastAsia" w:ascii="Times New Roman" w:hAnsi="Times New Roman" w:cs="Times New Roman"/>
                      <w:b/>
                      <w:bCs/>
                      <w:color w:val="000000" w:themeColor="text1"/>
                      <w:kern w:val="0"/>
                      <w:szCs w:val="21"/>
                      <w14:textFill>
                        <w14:solidFill>
                          <w14:schemeClr w14:val="tx1"/>
                        </w14:solidFill>
                      </w14:textFill>
                    </w:rPr>
                    <w:t>大气</w:t>
                  </w:r>
                  <w:r>
                    <w:rPr>
                      <w:rFonts w:ascii="Times New Roman" w:hAnsi="Times New Roman" w:cs="Times New Roman"/>
                      <w:b/>
                      <w:bCs/>
                      <w:color w:val="000000" w:themeColor="text1"/>
                      <w:kern w:val="0"/>
                      <w:szCs w:val="21"/>
                      <w14:textFill>
                        <w14:solidFill>
                          <w14:schemeClr w14:val="tx1"/>
                        </w14:solidFill>
                      </w14:textFill>
                    </w:rPr>
                    <w:t>功能区划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4" w:hRule="atLeast"/>
                <w:jc w:val="center"/>
              </w:trPr>
              <w:tc>
                <w:tcPr>
                  <w:tcW w:w="1357" w:type="dxa"/>
                  <w:vAlign w:val="center"/>
                </w:tcPr>
                <w:p>
                  <w:pPr>
                    <w:adjustRightInd w:val="0"/>
                    <w:snapToGri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观音岩水库灌区</w:t>
                  </w:r>
                </w:p>
              </w:tc>
              <w:tc>
                <w:tcPr>
                  <w:tcW w:w="1709" w:type="dxa"/>
                  <w:vAlign w:val="center"/>
                </w:tcPr>
                <w:p>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右支渠</w:t>
                  </w:r>
                </w:p>
              </w:tc>
              <w:tc>
                <w:tcPr>
                  <w:tcW w:w="1572" w:type="dxa"/>
                  <w:vAlign w:val="center"/>
                </w:tcPr>
                <w:p>
                  <w:pPr>
                    <w:adjustRightInd w:val="0"/>
                    <w:snapToGri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5</w:t>
                  </w:r>
                </w:p>
              </w:tc>
              <w:tc>
                <w:tcPr>
                  <w:tcW w:w="1726" w:type="dxa"/>
                  <w:vAlign w:val="center"/>
                </w:tcPr>
                <w:p>
                  <w:pPr>
                    <w:adjustRightInd w:val="0"/>
                    <w:snapToGri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大成镇场镇集中商住区</w:t>
                  </w:r>
                </w:p>
              </w:tc>
              <w:tc>
                <w:tcPr>
                  <w:tcW w:w="1555" w:type="dxa"/>
                  <w:vAlign w:val="center"/>
                </w:tcPr>
                <w:p>
                  <w:pPr>
                    <w:adjustRightInd w:val="0"/>
                    <w:snapToGrid w:val="0"/>
                    <w:jc w:val="center"/>
                    <w:rPr>
                      <w:rFonts w:hint="default" w:ascii="Times New Roman" w:hAnsi="Times New Roman" w:eastAsia="宋体" w:cs="Times New Roman"/>
                      <w:color w:val="000000" w:themeColor="text1"/>
                      <w:kern w:val="0"/>
                      <w:szCs w:val="21"/>
                      <w:lang w:val="en-US"/>
                      <w14:textFill>
                        <w14:solidFill>
                          <w14:schemeClr w14:val="tx1"/>
                        </w14:solidFill>
                      </w14:textFill>
                    </w:rPr>
                  </w:pPr>
                  <w:r>
                    <w:rPr>
                      <w:rFonts w:hint="eastAsia" w:ascii="Times New Roman" w:hAnsi="Times New Roman" w:eastAsia="宋体" w:cs="Times New Roman"/>
                      <w:color w:val="000000" w:themeColor="text1"/>
                      <w:kern w:val="0"/>
                      <w:szCs w:val="21"/>
                      <w14:textFill>
                        <w14:solidFill>
                          <w14:schemeClr w14:val="tx1"/>
                        </w14:solidFill>
                      </w14:textFill>
                    </w:rPr>
                    <w:t>居民</w:t>
                  </w:r>
                  <w:r>
                    <w:rPr>
                      <w:rFonts w:hint="eastAsia" w:ascii="Times New Roman" w:hAnsi="Times New Roman" w:eastAsia="宋体" w:cs="Times New Roman"/>
                      <w:color w:val="000000" w:themeColor="text1"/>
                      <w:kern w:val="0"/>
                      <w:szCs w:val="21"/>
                      <w:lang w:eastAsia="zh-CN"/>
                      <w14:textFill>
                        <w14:solidFill>
                          <w14:schemeClr w14:val="tx1"/>
                        </w14:solidFill>
                      </w14:textFill>
                    </w:rPr>
                    <w:t>、</w:t>
                  </w: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学校、医院，约2000人</w:t>
                  </w:r>
                </w:p>
              </w:tc>
              <w:tc>
                <w:tcPr>
                  <w:tcW w:w="1358" w:type="dxa"/>
                  <w:vMerge w:val="restart"/>
                  <w:vAlign w:val="center"/>
                </w:tcPr>
                <w:p>
                  <w:pPr>
                    <w:adjustRightInd w:val="0"/>
                    <w:snapToGrid w:val="0"/>
                    <w:jc w:val="center"/>
                    <w:rPr>
                      <w:rFonts w:ascii="Times New Roman" w:hAnsi="Times New Roman" w:cs="Times New Roman"/>
                      <w:color w:val="000000" w:themeColor="text1"/>
                      <w:kern w:val="0"/>
                      <w:szCs w:val="21"/>
                      <w14:textFill>
                        <w14:solidFill>
                          <w14:schemeClr w14:val="tx1"/>
                        </w14:solidFill>
                      </w14:textFill>
                    </w:rPr>
                  </w:pPr>
                  <w:r>
                    <w:rPr>
                      <w:rFonts w:hint="eastAsia" w:ascii="Times New Roman" w:hAnsi="Times New Roman" w:cs="Times New Roman"/>
                      <w:color w:val="000000" w:themeColor="text1"/>
                      <w:kern w:val="0"/>
                      <w:szCs w:val="21"/>
                      <w14:textFill>
                        <w14:solidFill>
                          <w14:schemeClr w14:val="tx1"/>
                        </w14:solidFill>
                      </w14:textFill>
                    </w:rPr>
                    <w:t>《环境空气质量标准》（GB3095-2012）二类区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jc w:val="center"/>
              </w:trPr>
              <w:tc>
                <w:tcPr>
                  <w:tcW w:w="1357" w:type="dxa"/>
                  <w:vAlign w:val="center"/>
                </w:tcPr>
                <w:p>
                  <w:pPr>
                    <w:adjustRightInd w:val="0"/>
                    <w:snapToGrid w:val="0"/>
                    <w:jc w:val="center"/>
                    <w:rPr>
                      <w:rFonts w:hint="default"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小沟河水库灌区</w:t>
                  </w:r>
                </w:p>
              </w:tc>
              <w:tc>
                <w:tcPr>
                  <w:tcW w:w="1709" w:type="dxa"/>
                  <w:vAlign w:val="center"/>
                </w:tcPr>
                <w:p>
                  <w:pPr>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二-二支渠</w:t>
                  </w:r>
                </w:p>
              </w:tc>
              <w:tc>
                <w:tcPr>
                  <w:tcW w:w="1572" w:type="dxa"/>
                  <w:vAlign w:val="center"/>
                </w:tcPr>
                <w:p>
                  <w:pPr>
                    <w:adjustRightInd w:val="0"/>
                    <w:snapToGrid w:val="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3</w:t>
                  </w:r>
                </w:p>
              </w:tc>
              <w:tc>
                <w:tcPr>
                  <w:tcW w:w="1726" w:type="dxa"/>
                  <w:vAlign w:val="center"/>
                </w:tcPr>
                <w:p>
                  <w:pPr>
                    <w:adjustRightInd w:val="0"/>
                    <w:snapToGrid w:val="0"/>
                    <w:jc w:val="center"/>
                    <w:rPr>
                      <w:rFonts w:hint="eastAsia" w:ascii="Times New Roman" w:hAnsi="Times New Roman" w:eastAsia="宋体" w:cs="Times New Roman"/>
                      <w:color w:val="000000" w:themeColor="text1"/>
                      <w:kern w:val="0"/>
                      <w:szCs w:val="21"/>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方斗村集中商住区</w:t>
                  </w:r>
                </w:p>
              </w:tc>
              <w:tc>
                <w:tcPr>
                  <w:tcW w:w="1555" w:type="dxa"/>
                  <w:vAlign w:val="center"/>
                </w:tcPr>
                <w:p>
                  <w:pPr>
                    <w:adjustRightInd w:val="0"/>
                    <w:snapToGrid w:val="0"/>
                    <w:jc w:val="cente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Cs w:val="21"/>
                      <w14:textFill>
                        <w14:solidFill>
                          <w14:schemeClr w14:val="tx1"/>
                        </w14:solidFill>
                      </w14:textFill>
                    </w:rPr>
                    <w:t>居民</w:t>
                  </w:r>
                  <w:r>
                    <w:rPr>
                      <w:rFonts w:hint="eastAsia" w:ascii="Times New Roman" w:hAnsi="Times New Roman" w:eastAsia="宋体" w:cs="Times New Roman"/>
                      <w:color w:val="000000" w:themeColor="text1"/>
                      <w:kern w:val="0"/>
                      <w:szCs w:val="21"/>
                      <w:lang w:eastAsia="zh-CN"/>
                      <w14:textFill>
                        <w14:solidFill>
                          <w14:schemeClr w14:val="tx1"/>
                        </w14:solidFill>
                      </w14:textFill>
                    </w:rPr>
                    <w:t>、</w:t>
                  </w:r>
                  <w:r>
                    <w:rPr>
                      <w:rFonts w:hint="eastAsia" w:ascii="Times New Roman" w:hAnsi="Times New Roman" w:eastAsia="宋体" w:cs="Times New Roman"/>
                      <w:color w:val="000000" w:themeColor="text1"/>
                      <w:kern w:val="0"/>
                      <w:szCs w:val="21"/>
                      <w:lang w:val="en-US" w:eastAsia="zh-CN"/>
                      <w14:textFill>
                        <w14:solidFill>
                          <w14:schemeClr w14:val="tx1"/>
                        </w14:solidFill>
                      </w14:textFill>
                    </w:rPr>
                    <w:t>学校、医院，约1500人</w:t>
                  </w:r>
                </w:p>
              </w:tc>
              <w:tc>
                <w:tcPr>
                  <w:tcW w:w="1358" w:type="dxa"/>
                  <w:vMerge w:val="continue"/>
                  <w:vAlign w:val="center"/>
                </w:tcPr>
                <w:p>
                  <w:pPr>
                    <w:adjustRightInd w:val="0"/>
                    <w:snapToGrid w:val="0"/>
                    <w:jc w:val="center"/>
                    <w:rPr>
                      <w:rFonts w:ascii="Times New Roman" w:hAnsi="Times New Roman" w:cs="Times New Roman"/>
                      <w:color w:val="000000" w:themeColor="text1"/>
                      <w:kern w:val="0"/>
                      <w:szCs w:val="21"/>
                      <w14:textFill>
                        <w14:solidFill>
                          <w14:schemeClr w14:val="tx1"/>
                        </w14:solidFill>
                      </w14:textFill>
                    </w:rPr>
                  </w:pPr>
                </w:p>
              </w:tc>
            </w:tr>
          </w:tbl>
          <w:p>
            <w:pPr>
              <w:adjustRightInd w:val="0"/>
              <w:snapToGrid w:val="0"/>
              <w:spacing w:line="360" w:lineRule="auto"/>
              <w:ind w:firstLine="480" w:firstLineChars="200"/>
              <w:rPr>
                <w:rFonts w:ascii="Times New Roman" w:hAnsi="Times New Roman" w:eastAsia="宋体" w:cs="Times New Roman"/>
                <w:b/>
                <w:szCs w:val="21"/>
              </w:rPr>
            </w:pPr>
            <w:r>
              <w:rPr>
                <w:rFonts w:ascii="Times New Roman" w:hAnsi="Times New Roman" w:cs="Times New Roman"/>
                <w:sz w:val="24"/>
                <w:szCs w:val="24"/>
              </w:rPr>
              <w:t>4、生态保护目标</w:t>
            </w:r>
          </w:p>
          <w:p>
            <w:pPr>
              <w:jc w:val="center"/>
              <w:rPr>
                <w:rFonts w:ascii="Times New Roman" w:hAnsi="Times New Roman" w:eastAsia="宋体" w:cs="Times New Roman"/>
                <w:b/>
                <w:szCs w:val="21"/>
              </w:rPr>
            </w:pPr>
            <w:r>
              <w:rPr>
                <w:rFonts w:ascii="Times New Roman" w:hAnsi="Times New Roman" w:eastAsia="宋体" w:cs="Times New Roman"/>
                <w:b/>
                <w:szCs w:val="21"/>
              </w:rPr>
              <w:t>表3-</w:t>
            </w:r>
            <w:r>
              <w:rPr>
                <w:rFonts w:hint="eastAsia" w:ascii="Times New Roman" w:hAnsi="Times New Roman" w:eastAsia="宋体" w:cs="Times New Roman"/>
                <w:b/>
                <w:szCs w:val="21"/>
              </w:rPr>
              <w:t>1</w:t>
            </w:r>
            <w:r>
              <w:rPr>
                <w:rFonts w:hint="eastAsia" w:ascii="Times New Roman" w:hAnsi="Times New Roman" w:eastAsia="宋体" w:cs="Times New Roman"/>
                <w:b/>
                <w:szCs w:val="21"/>
                <w:lang w:val="en-US" w:eastAsia="zh-CN"/>
              </w:rPr>
              <w:t>6</w:t>
            </w:r>
            <w:r>
              <w:rPr>
                <w:rFonts w:ascii="Times New Roman" w:hAnsi="Times New Roman" w:eastAsia="宋体" w:cs="Times New Roman"/>
                <w:b/>
                <w:szCs w:val="21"/>
              </w:rPr>
              <w:t xml:space="preserve">  生态保护目标一览表</w:t>
            </w:r>
          </w:p>
          <w:tbl>
            <w:tblPr>
              <w:tblStyle w:val="26"/>
              <w:tblW w:w="92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12"/>
              <w:gridCol w:w="1405"/>
              <w:gridCol w:w="4389"/>
              <w:gridCol w:w="1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512" w:type="dxa"/>
                  <w:vAlign w:val="center"/>
                </w:tcPr>
                <w:p>
                  <w:pPr>
                    <w:jc w:val="center"/>
                    <w:rPr>
                      <w:rFonts w:ascii="Times New Roman" w:hAnsi="Times New Roman" w:cs="Times New Roman"/>
                      <w:b/>
                      <w:bCs/>
                      <w:szCs w:val="21"/>
                    </w:rPr>
                  </w:pPr>
                  <w:r>
                    <w:rPr>
                      <w:rFonts w:ascii="Times New Roman" w:hAnsi="Times New Roman" w:cs="Times New Roman"/>
                      <w:b/>
                      <w:bCs/>
                      <w:szCs w:val="21"/>
                    </w:rPr>
                    <w:t>敏感目标</w:t>
                  </w:r>
                </w:p>
              </w:tc>
              <w:tc>
                <w:tcPr>
                  <w:tcW w:w="1405" w:type="dxa"/>
                  <w:vAlign w:val="center"/>
                </w:tcPr>
                <w:p>
                  <w:pPr>
                    <w:jc w:val="center"/>
                    <w:rPr>
                      <w:rFonts w:ascii="Times New Roman" w:hAnsi="Times New Roman" w:cs="Times New Roman"/>
                      <w:b/>
                      <w:bCs/>
                      <w:szCs w:val="21"/>
                    </w:rPr>
                  </w:pPr>
                  <w:r>
                    <w:rPr>
                      <w:rFonts w:ascii="Times New Roman" w:hAnsi="Times New Roman" w:cs="Times New Roman"/>
                      <w:b/>
                      <w:bCs/>
                      <w:szCs w:val="21"/>
                    </w:rPr>
                    <w:t>位置</w:t>
                  </w:r>
                </w:p>
              </w:tc>
              <w:tc>
                <w:tcPr>
                  <w:tcW w:w="4389" w:type="dxa"/>
                  <w:vAlign w:val="center"/>
                </w:tcPr>
                <w:p>
                  <w:pPr>
                    <w:jc w:val="center"/>
                    <w:rPr>
                      <w:rFonts w:ascii="Times New Roman" w:hAnsi="Times New Roman" w:cs="Times New Roman"/>
                      <w:b/>
                      <w:bCs/>
                      <w:szCs w:val="21"/>
                    </w:rPr>
                  </w:pPr>
                  <w:r>
                    <w:rPr>
                      <w:rFonts w:ascii="Times New Roman" w:hAnsi="Times New Roman" w:cs="Times New Roman"/>
                      <w:b/>
                      <w:bCs/>
                      <w:szCs w:val="21"/>
                    </w:rPr>
                    <w:t>工程可能污染或破坏行为</w:t>
                  </w:r>
                </w:p>
              </w:tc>
              <w:tc>
                <w:tcPr>
                  <w:tcW w:w="1992" w:type="dxa"/>
                  <w:vAlign w:val="center"/>
                </w:tcPr>
                <w:p>
                  <w:pPr>
                    <w:jc w:val="center"/>
                    <w:rPr>
                      <w:rFonts w:ascii="Times New Roman" w:hAnsi="Times New Roman" w:cs="Times New Roman"/>
                      <w:b/>
                      <w:bCs/>
                      <w:szCs w:val="21"/>
                    </w:rPr>
                  </w:pPr>
                  <w:r>
                    <w:rPr>
                      <w:rFonts w:ascii="Times New Roman" w:hAnsi="Times New Roman" w:cs="Times New Roman"/>
                      <w:b/>
                      <w:bCs/>
                      <w:szCs w:val="21"/>
                    </w:rPr>
                    <w:t>详细情况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512" w:type="dxa"/>
                  <w:vAlign w:val="center"/>
                </w:tcPr>
                <w:p>
                  <w:pPr>
                    <w:jc w:val="center"/>
                    <w:rPr>
                      <w:rFonts w:ascii="Times New Roman" w:hAnsi="Times New Roman" w:cs="Times New Roman"/>
                      <w:szCs w:val="21"/>
                    </w:rPr>
                  </w:pPr>
                  <w:r>
                    <w:rPr>
                      <w:rFonts w:ascii="Times New Roman" w:hAnsi="Times New Roman" w:cs="Times New Roman"/>
                      <w:szCs w:val="21"/>
                    </w:rPr>
                    <w:t>水土保持</w:t>
                  </w:r>
                </w:p>
              </w:tc>
              <w:tc>
                <w:tcPr>
                  <w:tcW w:w="1405" w:type="dxa"/>
                  <w:vMerge w:val="restart"/>
                  <w:vAlign w:val="center"/>
                </w:tcPr>
                <w:p>
                  <w:pPr>
                    <w:jc w:val="center"/>
                    <w:rPr>
                      <w:rFonts w:ascii="Times New Roman" w:hAnsi="Times New Roman" w:cs="Times New Roman"/>
                      <w:szCs w:val="21"/>
                    </w:rPr>
                  </w:pPr>
                  <w:r>
                    <w:rPr>
                      <w:rFonts w:ascii="Times New Roman" w:hAnsi="Times New Roman" w:cs="Times New Roman"/>
                      <w:szCs w:val="21"/>
                    </w:rPr>
                    <w:t>项目区及周边</w:t>
                  </w:r>
                </w:p>
              </w:tc>
              <w:tc>
                <w:tcPr>
                  <w:tcW w:w="4389" w:type="dxa"/>
                  <w:vAlign w:val="center"/>
                </w:tcPr>
                <w:p>
                  <w:pPr>
                    <w:jc w:val="center"/>
                    <w:rPr>
                      <w:rFonts w:ascii="Times New Roman" w:hAnsi="Times New Roman" w:cs="Times New Roman"/>
                      <w:szCs w:val="21"/>
                    </w:rPr>
                  </w:pPr>
                  <w:r>
                    <w:rPr>
                      <w:rFonts w:ascii="Times New Roman" w:hAnsi="Times New Roman" w:cs="Times New Roman"/>
                      <w:szCs w:val="21"/>
                    </w:rPr>
                    <w:t>项目区永久占地和临时占地</w:t>
                  </w:r>
                </w:p>
              </w:tc>
              <w:tc>
                <w:tcPr>
                  <w:tcW w:w="1992" w:type="dxa"/>
                  <w:vAlign w:val="center"/>
                </w:tcPr>
                <w:p>
                  <w:pPr>
                    <w:jc w:val="center"/>
                    <w:rPr>
                      <w:rFonts w:ascii="Times New Roman" w:hAnsi="Times New Roman" w:cs="Times New Roman"/>
                      <w:szCs w:val="21"/>
                    </w:rPr>
                  </w:pPr>
                  <w:r>
                    <w:rPr>
                      <w:rFonts w:ascii="Times New Roman" w:hAnsi="Times New Roman" w:cs="Times New Roman"/>
                      <w:szCs w:val="21"/>
                    </w:rPr>
                    <w:t>重点为施工影响区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1512" w:type="dxa"/>
                  <w:vAlign w:val="center"/>
                </w:tcPr>
                <w:p>
                  <w:pPr>
                    <w:jc w:val="center"/>
                    <w:rPr>
                      <w:rFonts w:ascii="Times New Roman" w:hAnsi="Times New Roman" w:cs="Times New Roman"/>
                      <w:szCs w:val="21"/>
                    </w:rPr>
                  </w:pPr>
                  <w:r>
                    <w:rPr>
                      <w:rFonts w:ascii="Times New Roman" w:hAnsi="Times New Roman" w:cs="Times New Roman"/>
                      <w:szCs w:val="21"/>
                    </w:rPr>
                    <w:t>植被保护</w:t>
                  </w:r>
                </w:p>
              </w:tc>
              <w:tc>
                <w:tcPr>
                  <w:tcW w:w="1405" w:type="dxa"/>
                  <w:vMerge w:val="continue"/>
                  <w:vAlign w:val="center"/>
                </w:tcPr>
                <w:p>
                  <w:pPr>
                    <w:widowControl/>
                    <w:jc w:val="left"/>
                    <w:rPr>
                      <w:rFonts w:ascii="Times New Roman" w:hAnsi="Times New Roman" w:cs="Times New Roman"/>
                      <w:szCs w:val="21"/>
                    </w:rPr>
                  </w:pPr>
                </w:p>
              </w:tc>
              <w:tc>
                <w:tcPr>
                  <w:tcW w:w="4389" w:type="dxa"/>
                  <w:vAlign w:val="center"/>
                </w:tcPr>
                <w:p>
                  <w:pPr>
                    <w:jc w:val="center"/>
                    <w:rPr>
                      <w:rFonts w:ascii="Times New Roman" w:hAnsi="Times New Roman" w:cs="Times New Roman"/>
                      <w:szCs w:val="21"/>
                    </w:rPr>
                  </w:pPr>
                  <w:r>
                    <w:rPr>
                      <w:rFonts w:ascii="Times New Roman" w:hAnsi="Times New Roman" w:cs="Times New Roman"/>
                      <w:szCs w:val="21"/>
                    </w:rPr>
                    <w:t>项目区永久或临时占地</w:t>
                  </w:r>
                  <w:r>
                    <w:rPr>
                      <w:rFonts w:hint="eastAsia" w:ascii="Times New Roman" w:hAnsi="Times New Roman" w:cs="Times New Roman"/>
                      <w:szCs w:val="21"/>
                    </w:rPr>
                    <w:t>破坏生境</w:t>
                  </w:r>
                  <w:r>
                    <w:rPr>
                      <w:rFonts w:ascii="Times New Roman" w:hAnsi="Times New Roman" w:cs="Times New Roman"/>
                      <w:szCs w:val="21"/>
                    </w:rPr>
                    <w:t>、人为践踏</w:t>
                  </w:r>
                </w:p>
              </w:tc>
              <w:tc>
                <w:tcPr>
                  <w:tcW w:w="1992" w:type="dxa"/>
                  <w:vAlign w:val="center"/>
                </w:tcPr>
                <w:p>
                  <w:pPr>
                    <w:jc w:val="center"/>
                    <w:rPr>
                      <w:rFonts w:ascii="Times New Roman" w:hAnsi="Times New Roman" w:cs="Times New Roman"/>
                      <w:szCs w:val="21"/>
                    </w:rPr>
                  </w:pPr>
                  <w:r>
                    <w:rPr>
                      <w:rFonts w:ascii="Times New Roman" w:hAnsi="Times New Roman" w:cs="Times New Roman"/>
                      <w:szCs w:val="21"/>
                    </w:rPr>
                    <w:t>重点为施工影响区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2" w:hRule="atLeast"/>
              </w:trPr>
              <w:tc>
                <w:tcPr>
                  <w:tcW w:w="1512" w:type="dxa"/>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陆生动物保护</w:t>
                  </w:r>
                </w:p>
              </w:tc>
              <w:tc>
                <w:tcPr>
                  <w:tcW w:w="1405" w:type="dxa"/>
                  <w:vMerge w:val="continue"/>
                  <w:vAlign w:val="center"/>
                </w:tcPr>
                <w:p>
                  <w:pPr>
                    <w:widowControl/>
                    <w:jc w:val="left"/>
                    <w:rPr>
                      <w:rFonts w:ascii="Times New Roman" w:hAnsi="Times New Roman" w:cs="Times New Roman"/>
                      <w:color w:val="000000" w:themeColor="text1"/>
                      <w:szCs w:val="21"/>
                      <w14:textFill>
                        <w14:solidFill>
                          <w14:schemeClr w14:val="tx1"/>
                        </w14:solidFill>
                      </w14:textFill>
                    </w:rPr>
                  </w:pPr>
                </w:p>
              </w:tc>
              <w:tc>
                <w:tcPr>
                  <w:tcW w:w="4389" w:type="dxa"/>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项目区永久或临时占地</w:t>
                  </w:r>
                  <w:r>
                    <w:rPr>
                      <w:rFonts w:hint="eastAsia" w:ascii="Times New Roman" w:hAnsi="Times New Roman" w:cs="Times New Roman"/>
                      <w:color w:val="000000" w:themeColor="text1"/>
                      <w:szCs w:val="21"/>
                      <w14:textFill>
                        <w14:solidFill>
                          <w14:schemeClr w14:val="tx1"/>
                        </w14:solidFill>
                      </w14:textFill>
                    </w:rPr>
                    <w:t>破坏生境</w:t>
                  </w:r>
                  <w:r>
                    <w:rPr>
                      <w:rFonts w:ascii="Times New Roman" w:hAnsi="Times New Roman" w:cs="Times New Roman"/>
                      <w:color w:val="000000" w:themeColor="text1"/>
                      <w:szCs w:val="21"/>
                      <w14:textFill>
                        <w14:solidFill>
                          <w14:schemeClr w14:val="tx1"/>
                        </w14:solidFill>
                      </w14:textFill>
                    </w:rPr>
                    <w:t>、人为</w:t>
                  </w:r>
                  <w:r>
                    <w:rPr>
                      <w:rFonts w:hint="eastAsia" w:ascii="Times New Roman" w:hAnsi="Times New Roman" w:cs="Times New Roman"/>
                      <w:color w:val="000000" w:themeColor="text1"/>
                      <w:szCs w:val="21"/>
                      <w14:textFill>
                        <w14:solidFill>
                          <w14:schemeClr w14:val="tx1"/>
                        </w14:solidFill>
                      </w14:textFill>
                    </w:rPr>
                    <w:t>捕杀</w:t>
                  </w:r>
                </w:p>
              </w:tc>
              <w:tc>
                <w:tcPr>
                  <w:tcW w:w="1992" w:type="dxa"/>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重点为施工影响区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2" w:hRule="atLeast"/>
              </w:trPr>
              <w:tc>
                <w:tcPr>
                  <w:tcW w:w="1512" w:type="dxa"/>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水生动物保护</w:t>
                  </w:r>
                </w:p>
              </w:tc>
              <w:tc>
                <w:tcPr>
                  <w:tcW w:w="1405" w:type="dxa"/>
                  <w:vMerge w:val="continue"/>
                  <w:vAlign w:val="center"/>
                </w:tcPr>
                <w:p>
                  <w:pPr>
                    <w:widowControl/>
                    <w:jc w:val="left"/>
                    <w:rPr>
                      <w:rFonts w:ascii="Times New Roman" w:hAnsi="Times New Roman" w:cs="Times New Roman"/>
                      <w:color w:val="000000" w:themeColor="text1"/>
                      <w:szCs w:val="21"/>
                      <w14:textFill>
                        <w14:solidFill>
                          <w14:schemeClr w14:val="tx1"/>
                        </w14:solidFill>
                      </w14:textFill>
                    </w:rPr>
                  </w:pPr>
                </w:p>
              </w:tc>
              <w:tc>
                <w:tcPr>
                  <w:tcW w:w="4389" w:type="dxa"/>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施工期各类污染物排河入库、人为下水捕杀</w:t>
                  </w:r>
                </w:p>
              </w:tc>
              <w:tc>
                <w:tcPr>
                  <w:tcW w:w="1992" w:type="dxa"/>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重点为施工影响区</w:t>
                  </w:r>
                </w:p>
              </w:tc>
            </w:tr>
          </w:tbl>
          <w:p>
            <w:pPr>
              <w:adjustRightInd w:val="0"/>
              <w:snapToGrid w:val="0"/>
              <w:spacing w:line="360" w:lineRule="auto"/>
              <w:rPr>
                <w:rFonts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dxa"/>
            <w:vAlign w:val="center"/>
          </w:tcPr>
          <w:p>
            <w:pPr>
              <w:autoSpaceDE w:val="0"/>
              <w:autoSpaceDN w:val="0"/>
              <w:adjustRightInd w:val="0"/>
              <w:snapToGrid w:val="0"/>
              <w:spacing w:line="360" w:lineRule="auto"/>
              <w:jc w:val="center"/>
              <w:rPr>
                <w:rFonts w:ascii="Times New Roman" w:hAnsi="Times New Roman" w:cs="Times New Roman"/>
                <w:kern w:val="0"/>
                <w:szCs w:val="21"/>
              </w:rPr>
            </w:pPr>
            <w:r>
              <w:rPr>
                <w:rFonts w:ascii="Times New Roman" w:hAnsi="Times New Roman" w:cs="Times New Roman"/>
                <w:kern w:val="0"/>
                <w:szCs w:val="21"/>
              </w:rPr>
              <w:t>评价标准</w:t>
            </w:r>
          </w:p>
        </w:tc>
        <w:tc>
          <w:tcPr>
            <w:tcW w:w="9524" w:type="dxa"/>
            <w:vAlign w:val="center"/>
          </w:tcPr>
          <w:p>
            <w:pPr>
              <w:autoSpaceDE w:val="0"/>
              <w:autoSpaceDN w:val="0"/>
              <w:adjustRightInd w:val="0"/>
              <w:snapToGrid w:val="0"/>
              <w:spacing w:line="360" w:lineRule="auto"/>
              <w:rPr>
                <w:rFonts w:ascii="Times New Roman" w:hAnsi="Times New Roman" w:cs="Times New Roman"/>
                <w:b/>
                <w:sz w:val="24"/>
                <w:szCs w:val="24"/>
              </w:rPr>
            </w:pPr>
            <w:r>
              <w:rPr>
                <w:rFonts w:ascii="Times New Roman" w:hAnsi="Times New Roman" w:cs="Times New Roman"/>
                <w:b/>
                <w:sz w:val="24"/>
                <w:szCs w:val="24"/>
              </w:rPr>
              <w:t>一、环境质量标准</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1、环境空气质量</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环境空气质量执行《环境空气质量标准》（GB3095-2012）中的二级标准。</w:t>
            </w:r>
          </w:p>
          <w:p>
            <w:pPr>
              <w:jc w:val="center"/>
              <w:rPr>
                <w:rFonts w:ascii="Times New Roman" w:hAnsi="Times New Roman" w:eastAsia="宋体" w:cs="Times New Roman"/>
                <w:b/>
                <w:szCs w:val="21"/>
              </w:rPr>
            </w:pPr>
            <w:r>
              <w:rPr>
                <w:rFonts w:ascii="Times New Roman" w:hAnsi="Times New Roman" w:eastAsia="宋体" w:cs="Times New Roman"/>
                <w:b/>
                <w:szCs w:val="21"/>
              </w:rPr>
              <w:t>表3-</w:t>
            </w:r>
            <w:r>
              <w:rPr>
                <w:rFonts w:hint="eastAsia" w:ascii="Times New Roman" w:hAnsi="Times New Roman" w:eastAsia="宋体" w:cs="Times New Roman"/>
                <w:b/>
                <w:szCs w:val="21"/>
              </w:rPr>
              <w:t>1</w:t>
            </w:r>
            <w:r>
              <w:rPr>
                <w:rFonts w:hint="eastAsia" w:ascii="Times New Roman" w:hAnsi="Times New Roman" w:eastAsia="宋体" w:cs="Times New Roman"/>
                <w:b/>
                <w:szCs w:val="21"/>
                <w:lang w:val="en-US" w:eastAsia="zh-CN"/>
              </w:rPr>
              <w:t>7</w:t>
            </w:r>
            <w:r>
              <w:rPr>
                <w:rFonts w:ascii="Times New Roman" w:hAnsi="Times New Roman" w:eastAsia="宋体" w:cs="Times New Roman"/>
                <w:b/>
                <w:szCs w:val="21"/>
              </w:rPr>
              <w:t xml:space="preserve">  环境空气质量标准</w:t>
            </w:r>
          </w:p>
          <w:tbl>
            <w:tblPr>
              <w:tblStyle w:val="26"/>
              <w:tblW w:w="92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2987"/>
              <w:gridCol w:w="1259"/>
              <w:gridCol w:w="1343"/>
              <w:gridCol w:w="2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 w:hRule="atLeast"/>
              </w:trPr>
              <w:tc>
                <w:tcPr>
                  <w:tcW w:w="1290" w:type="dxa"/>
                  <w:vMerge w:val="restart"/>
                  <w:vAlign w:val="center"/>
                </w:tcPr>
                <w:p>
                  <w:pPr>
                    <w:jc w:val="center"/>
                    <w:rPr>
                      <w:rFonts w:ascii="Times New Roman" w:hAnsi="Times New Roman" w:cs="Times New Roman"/>
                      <w:szCs w:val="21"/>
                    </w:rPr>
                  </w:pPr>
                  <w:r>
                    <w:rPr>
                      <w:rFonts w:ascii="Times New Roman" w:hAnsi="Times New Roman" w:cs="Times New Roman"/>
                      <w:szCs w:val="21"/>
                    </w:rPr>
                    <w:t>污染物名称</w:t>
                  </w:r>
                </w:p>
              </w:tc>
              <w:tc>
                <w:tcPr>
                  <w:tcW w:w="2987" w:type="dxa"/>
                  <w:vMerge w:val="restart"/>
                  <w:vAlign w:val="center"/>
                </w:tcPr>
                <w:p>
                  <w:pPr>
                    <w:jc w:val="center"/>
                    <w:rPr>
                      <w:rFonts w:ascii="Times New Roman" w:hAnsi="Times New Roman" w:cs="Times New Roman"/>
                      <w:szCs w:val="21"/>
                    </w:rPr>
                  </w:pPr>
                  <w:r>
                    <w:rPr>
                      <w:rFonts w:ascii="Times New Roman" w:hAnsi="Times New Roman" w:cs="Times New Roman"/>
                      <w:szCs w:val="21"/>
                    </w:rPr>
                    <w:t>取值时间</w:t>
                  </w:r>
                </w:p>
              </w:tc>
              <w:tc>
                <w:tcPr>
                  <w:tcW w:w="2602" w:type="dxa"/>
                  <w:gridSpan w:val="2"/>
                  <w:vAlign w:val="center"/>
                </w:tcPr>
                <w:p>
                  <w:pPr>
                    <w:jc w:val="center"/>
                    <w:rPr>
                      <w:rFonts w:ascii="Times New Roman" w:hAnsi="Times New Roman" w:cs="Times New Roman"/>
                      <w:szCs w:val="21"/>
                    </w:rPr>
                  </w:pPr>
                  <w:r>
                    <w:rPr>
                      <w:rFonts w:ascii="Times New Roman" w:hAnsi="Times New Roman" w:cs="Times New Roman"/>
                      <w:szCs w:val="21"/>
                    </w:rPr>
                    <w:t>标准值</w:t>
                  </w:r>
                </w:p>
              </w:tc>
              <w:tc>
                <w:tcPr>
                  <w:tcW w:w="2419" w:type="dxa"/>
                  <w:vMerge w:val="restart"/>
                  <w:vAlign w:val="center"/>
                </w:tcPr>
                <w:p>
                  <w:pPr>
                    <w:jc w:val="center"/>
                    <w:rPr>
                      <w:rFonts w:ascii="Times New Roman" w:hAnsi="Times New Roman" w:cs="Times New Roman"/>
                      <w:szCs w:val="21"/>
                    </w:rPr>
                  </w:pPr>
                  <w:r>
                    <w:rPr>
                      <w:rFonts w:ascii="Times New Roman" w:hAnsi="Times New Roman" w:cs="Times New Roman"/>
                      <w:szCs w:val="21"/>
                    </w:rPr>
                    <w:t>标准号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 w:hRule="atLeast"/>
              </w:trPr>
              <w:tc>
                <w:tcPr>
                  <w:tcW w:w="1290" w:type="dxa"/>
                  <w:vMerge w:val="continue"/>
                  <w:vAlign w:val="center"/>
                </w:tcPr>
                <w:p>
                  <w:pPr>
                    <w:jc w:val="center"/>
                    <w:rPr>
                      <w:rFonts w:ascii="Times New Roman" w:hAnsi="Times New Roman" w:cs="Times New Roman"/>
                      <w:szCs w:val="21"/>
                    </w:rPr>
                  </w:pPr>
                </w:p>
              </w:tc>
              <w:tc>
                <w:tcPr>
                  <w:tcW w:w="2987" w:type="dxa"/>
                  <w:vMerge w:val="continue"/>
                  <w:vAlign w:val="center"/>
                </w:tcPr>
                <w:p>
                  <w:pPr>
                    <w:jc w:val="center"/>
                    <w:rPr>
                      <w:rFonts w:ascii="Times New Roman" w:hAnsi="Times New Roman" w:cs="Times New Roman"/>
                      <w:szCs w:val="21"/>
                    </w:rPr>
                  </w:pP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（mg/m</w:t>
                  </w:r>
                  <w:r>
                    <w:rPr>
                      <w:rFonts w:ascii="Times New Roman" w:hAnsi="Times New Roman" w:cs="Times New Roman"/>
                      <w:szCs w:val="21"/>
                      <w:vertAlign w:val="superscript"/>
                    </w:rPr>
                    <w:t>3</w:t>
                  </w: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（µg/m</w:t>
                  </w:r>
                  <w:r>
                    <w:rPr>
                      <w:rFonts w:ascii="Times New Roman" w:hAnsi="Times New Roman" w:cs="Times New Roman"/>
                      <w:szCs w:val="21"/>
                      <w:vertAlign w:val="superscript"/>
                    </w:rPr>
                    <w:t>3</w:t>
                  </w:r>
                  <w:r>
                    <w:rPr>
                      <w:rFonts w:ascii="Times New Roman" w:hAnsi="Times New Roman" w:cs="Times New Roman"/>
                      <w:szCs w:val="21"/>
                    </w:rPr>
                    <w:t>）</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restart"/>
                  <w:vAlign w:val="center"/>
                </w:tcPr>
                <w:p>
                  <w:pPr>
                    <w:jc w:val="center"/>
                    <w:rPr>
                      <w:rFonts w:ascii="Times New Roman" w:hAnsi="Times New Roman" w:cs="Times New Roman"/>
                      <w:szCs w:val="21"/>
                    </w:rPr>
                  </w:pPr>
                  <w:r>
                    <w:rPr>
                      <w:rFonts w:ascii="Times New Roman" w:hAnsi="Times New Roman" w:cs="Times New Roman"/>
                      <w:szCs w:val="21"/>
                    </w:rPr>
                    <w:t>SO</w:t>
                  </w:r>
                  <w:r>
                    <w:rPr>
                      <w:rFonts w:ascii="Times New Roman" w:hAnsi="Times New Roman" w:cs="Times New Roman"/>
                      <w:szCs w:val="21"/>
                      <w:vertAlign w:val="subscript"/>
                    </w:rPr>
                    <w:t>2</w:t>
                  </w: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年平均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60</w:t>
                  </w:r>
                </w:p>
              </w:tc>
              <w:tc>
                <w:tcPr>
                  <w:tcW w:w="2419" w:type="dxa"/>
                  <w:vMerge w:val="restart"/>
                  <w:vAlign w:val="center"/>
                </w:tcPr>
                <w:p>
                  <w:pPr>
                    <w:jc w:val="center"/>
                    <w:rPr>
                      <w:rFonts w:ascii="Times New Roman" w:hAnsi="Times New Roman" w:cs="Times New Roman"/>
                      <w:szCs w:val="21"/>
                    </w:rPr>
                  </w:pPr>
                  <w:r>
                    <w:rPr>
                      <w:rFonts w:ascii="Times New Roman" w:hAnsi="Times New Roman" w:cs="Times New Roman"/>
                      <w:szCs w:val="21"/>
                    </w:rPr>
                    <w:t>《环境空气质量标准》（3095-2012）二级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continue"/>
                  <w:vAlign w:val="center"/>
                </w:tcPr>
                <w:p>
                  <w:pPr>
                    <w:jc w:val="center"/>
                    <w:rPr>
                      <w:rFonts w:ascii="Times New Roman" w:hAnsi="Times New Roman" w:cs="Times New Roman"/>
                      <w:szCs w:val="21"/>
                    </w:rPr>
                  </w:pP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1小时平均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500</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continue"/>
                  <w:vAlign w:val="center"/>
                </w:tcPr>
                <w:p>
                  <w:pPr>
                    <w:jc w:val="center"/>
                    <w:rPr>
                      <w:rFonts w:ascii="Times New Roman" w:hAnsi="Times New Roman" w:cs="Times New Roman"/>
                      <w:szCs w:val="21"/>
                    </w:rPr>
                  </w:pP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24小时平均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150</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restart"/>
                  <w:vAlign w:val="center"/>
                </w:tcPr>
                <w:p>
                  <w:pPr>
                    <w:jc w:val="center"/>
                    <w:rPr>
                      <w:rFonts w:ascii="Times New Roman" w:hAnsi="Times New Roman" w:cs="Times New Roman"/>
                      <w:szCs w:val="21"/>
                    </w:rPr>
                  </w:pPr>
                  <w:r>
                    <w:rPr>
                      <w:rFonts w:ascii="Times New Roman" w:hAnsi="Times New Roman" w:cs="Times New Roman"/>
                      <w:szCs w:val="21"/>
                    </w:rPr>
                    <w:t>NO</w:t>
                  </w:r>
                  <w:r>
                    <w:rPr>
                      <w:rFonts w:ascii="Times New Roman" w:hAnsi="Times New Roman" w:cs="Times New Roman"/>
                      <w:szCs w:val="21"/>
                      <w:vertAlign w:val="subscript"/>
                    </w:rPr>
                    <w:t>2</w:t>
                  </w: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年平均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40</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continue"/>
                  <w:vAlign w:val="center"/>
                </w:tcPr>
                <w:p>
                  <w:pPr>
                    <w:jc w:val="center"/>
                    <w:rPr>
                      <w:rFonts w:ascii="Times New Roman" w:hAnsi="Times New Roman" w:cs="Times New Roman"/>
                      <w:szCs w:val="21"/>
                    </w:rPr>
                  </w:pP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1小时平均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200</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continue"/>
                  <w:vAlign w:val="center"/>
                </w:tcPr>
                <w:p>
                  <w:pPr>
                    <w:jc w:val="center"/>
                    <w:rPr>
                      <w:rFonts w:ascii="Times New Roman" w:hAnsi="Times New Roman" w:cs="Times New Roman"/>
                      <w:szCs w:val="21"/>
                    </w:rPr>
                  </w:pP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24小时平均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80</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restart"/>
                  <w:vAlign w:val="center"/>
                </w:tcPr>
                <w:p>
                  <w:pPr>
                    <w:jc w:val="center"/>
                    <w:rPr>
                      <w:rFonts w:ascii="Times New Roman" w:hAnsi="Times New Roman" w:cs="Times New Roman"/>
                      <w:szCs w:val="21"/>
                    </w:rPr>
                  </w:pPr>
                  <w:r>
                    <w:rPr>
                      <w:rFonts w:ascii="Times New Roman" w:hAnsi="Times New Roman" w:cs="Times New Roman"/>
                      <w:szCs w:val="21"/>
                    </w:rPr>
                    <w:t>CO</w:t>
                  </w: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24小时平均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4</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continue"/>
                  <w:vAlign w:val="center"/>
                </w:tcPr>
                <w:p>
                  <w:pPr>
                    <w:jc w:val="center"/>
                    <w:rPr>
                      <w:rFonts w:ascii="Times New Roman" w:hAnsi="Times New Roman" w:cs="Times New Roman"/>
                      <w:szCs w:val="21"/>
                    </w:rPr>
                  </w:pP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1小时平均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10</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restart"/>
                  <w:vAlign w:val="center"/>
                </w:tcPr>
                <w:p>
                  <w:pPr>
                    <w:jc w:val="center"/>
                    <w:rPr>
                      <w:rFonts w:ascii="Times New Roman" w:hAnsi="Times New Roman" w:cs="Times New Roman"/>
                      <w:szCs w:val="21"/>
                    </w:rPr>
                  </w:pPr>
                  <w:r>
                    <w:rPr>
                      <w:rFonts w:ascii="Times New Roman" w:hAnsi="Times New Roman" w:cs="Times New Roman"/>
                      <w:szCs w:val="21"/>
                    </w:rPr>
                    <w:t>O</w:t>
                  </w:r>
                  <w:r>
                    <w:rPr>
                      <w:rFonts w:ascii="Times New Roman" w:hAnsi="Times New Roman" w:cs="Times New Roman"/>
                      <w:szCs w:val="21"/>
                      <w:vertAlign w:val="subscript"/>
                    </w:rPr>
                    <w:t>3</w:t>
                  </w: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日最大8小时平均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160</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continue"/>
                  <w:vAlign w:val="center"/>
                </w:tcPr>
                <w:p>
                  <w:pPr>
                    <w:jc w:val="center"/>
                    <w:rPr>
                      <w:rFonts w:ascii="Times New Roman" w:hAnsi="Times New Roman" w:cs="Times New Roman"/>
                      <w:szCs w:val="21"/>
                    </w:rPr>
                  </w:pP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1小时平均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200</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restart"/>
                  <w:vAlign w:val="center"/>
                </w:tcPr>
                <w:p>
                  <w:pPr>
                    <w:jc w:val="center"/>
                    <w:rPr>
                      <w:rFonts w:ascii="Times New Roman" w:hAnsi="Times New Roman" w:cs="Times New Roman"/>
                      <w:szCs w:val="21"/>
                    </w:rPr>
                  </w:pPr>
                  <w:r>
                    <w:rPr>
                      <w:rFonts w:ascii="Times New Roman" w:hAnsi="Times New Roman" w:cs="Times New Roman"/>
                      <w:szCs w:val="21"/>
                    </w:rPr>
                    <w:t>PM</w:t>
                  </w:r>
                  <w:r>
                    <w:rPr>
                      <w:rFonts w:ascii="Times New Roman" w:hAnsi="Times New Roman" w:cs="Times New Roman"/>
                      <w:szCs w:val="21"/>
                      <w:vertAlign w:val="subscript"/>
                    </w:rPr>
                    <w:t>2.5</w:t>
                  </w: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年平均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35</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continue"/>
                  <w:vAlign w:val="center"/>
                </w:tcPr>
                <w:p>
                  <w:pPr>
                    <w:jc w:val="center"/>
                    <w:rPr>
                      <w:rFonts w:ascii="Times New Roman" w:hAnsi="Times New Roman" w:cs="Times New Roman"/>
                      <w:szCs w:val="21"/>
                    </w:rPr>
                  </w:pP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24小时平均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75</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restart"/>
                  <w:vAlign w:val="center"/>
                </w:tcPr>
                <w:p>
                  <w:pPr>
                    <w:jc w:val="center"/>
                    <w:rPr>
                      <w:rFonts w:ascii="Times New Roman" w:hAnsi="Times New Roman" w:cs="Times New Roman"/>
                      <w:szCs w:val="21"/>
                    </w:rPr>
                  </w:pPr>
                  <w:r>
                    <w:rPr>
                      <w:rFonts w:ascii="Times New Roman" w:hAnsi="Times New Roman" w:cs="Times New Roman"/>
                      <w:szCs w:val="21"/>
                    </w:rPr>
                    <w:t>PM</w:t>
                  </w:r>
                  <w:r>
                    <w:rPr>
                      <w:rFonts w:ascii="Times New Roman" w:hAnsi="Times New Roman" w:cs="Times New Roman"/>
                      <w:szCs w:val="21"/>
                      <w:vertAlign w:val="subscript"/>
                    </w:rPr>
                    <w:t>10</w:t>
                  </w: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年平均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70</w:t>
                  </w:r>
                </w:p>
              </w:tc>
              <w:tc>
                <w:tcPr>
                  <w:tcW w:w="2419" w:type="dxa"/>
                  <w:vMerge w:val="continue"/>
                  <w:vAlign w:val="center"/>
                </w:tcPr>
                <w:p>
                  <w:pPr>
                    <w:jc w:val="center"/>
                    <w:rPr>
                      <w:rFonts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0" w:type="dxa"/>
                  <w:vMerge w:val="continue"/>
                  <w:vAlign w:val="center"/>
                </w:tcPr>
                <w:p>
                  <w:pPr>
                    <w:jc w:val="center"/>
                    <w:rPr>
                      <w:rFonts w:ascii="Times New Roman" w:hAnsi="Times New Roman" w:cs="Times New Roman"/>
                      <w:szCs w:val="21"/>
                    </w:rPr>
                  </w:pPr>
                </w:p>
              </w:tc>
              <w:tc>
                <w:tcPr>
                  <w:tcW w:w="2987" w:type="dxa"/>
                  <w:vAlign w:val="center"/>
                </w:tcPr>
                <w:p>
                  <w:pPr>
                    <w:jc w:val="center"/>
                    <w:rPr>
                      <w:rFonts w:ascii="Times New Roman" w:hAnsi="Times New Roman" w:cs="Times New Roman"/>
                      <w:szCs w:val="21"/>
                    </w:rPr>
                  </w:pPr>
                  <w:r>
                    <w:rPr>
                      <w:rFonts w:ascii="Times New Roman" w:hAnsi="Times New Roman" w:cs="Times New Roman"/>
                      <w:szCs w:val="21"/>
                    </w:rPr>
                    <w:t>24小时平均</w:t>
                  </w:r>
                </w:p>
              </w:tc>
              <w:tc>
                <w:tcPr>
                  <w:tcW w:w="1259" w:type="dxa"/>
                  <w:vAlign w:val="center"/>
                </w:tcPr>
                <w:p>
                  <w:pPr>
                    <w:jc w:val="center"/>
                    <w:rPr>
                      <w:rFonts w:ascii="Times New Roman" w:hAnsi="Times New Roman" w:cs="Times New Roman"/>
                      <w:szCs w:val="21"/>
                    </w:rPr>
                  </w:pPr>
                  <w:r>
                    <w:rPr>
                      <w:rFonts w:ascii="Times New Roman" w:hAnsi="Times New Roman" w:cs="Times New Roman"/>
                      <w:szCs w:val="21"/>
                    </w:rPr>
                    <w:t>/</w:t>
                  </w:r>
                </w:p>
              </w:tc>
              <w:tc>
                <w:tcPr>
                  <w:tcW w:w="1343" w:type="dxa"/>
                  <w:vAlign w:val="center"/>
                </w:tcPr>
                <w:p>
                  <w:pPr>
                    <w:jc w:val="center"/>
                    <w:rPr>
                      <w:rFonts w:ascii="Times New Roman" w:hAnsi="Times New Roman" w:cs="Times New Roman"/>
                      <w:szCs w:val="21"/>
                    </w:rPr>
                  </w:pPr>
                  <w:r>
                    <w:rPr>
                      <w:rFonts w:ascii="Times New Roman" w:hAnsi="Times New Roman" w:cs="Times New Roman"/>
                      <w:szCs w:val="21"/>
                    </w:rPr>
                    <w:t>150</w:t>
                  </w:r>
                </w:p>
              </w:tc>
              <w:tc>
                <w:tcPr>
                  <w:tcW w:w="2419" w:type="dxa"/>
                  <w:vMerge w:val="continue"/>
                  <w:vAlign w:val="center"/>
                </w:tcPr>
                <w:p>
                  <w:pPr>
                    <w:jc w:val="center"/>
                    <w:rPr>
                      <w:rFonts w:ascii="Times New Roman" w:hAnsi="Times New Roman" w:cs="Times New Roman"/>
                      <w:szCs w:val="21"/>
                    </w:rPr>
                  </w:pPr>
                </w:p>
              </w:tc>
            </w:tr>
          </w:tbl>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2、地表水环境质量</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sz w:val="24"/>
                <w:szCs w:val="24"/>
                <w:lang w:val="en-US" w:eastAsia="zh-CN"/>
              </w:rPr>
            </w:pPr>
            <w:r>
              <w:rPr>
                <w:rFonts w:ascii="Times New Roman" w:hAnsi="Times New Roman" w:cs="Times New Roman"/>
                <w:sz w:val="24"/>
                <w:szCs w:val="24"/>
              </w:rPr>
              <w:t>本项目涉及水体为</w:t>
            </w:r>
            <w:r>
              <w:rPr>
                <w:rFonts w:hint="eastAsia" w:ascii="Times New Roman" w:hAnsi="Times New Roman" w:cs="Times New Roman"/>
                <w:sz w:val="24"/>
                <w:szCs w:val="24"/>
                <w:lang w:val="en-US" w:eastAsia="zh-CN"/>
              </w:rPr>
              <w:t>各灌区输水渠道、管道</w:t>
            </w:r>
            <w:r>
              <w:rPr>
                <w:rFonts w:ascii="Times New Roman" w:hAnsi="Times New Roman" w:cs="Times New Roman"/>
                <w:sz w:val="24"/>
                <w:szCs w:val="24"/>
              </w:rPr>
              <w:t>，水质执行国家《地表水环境质量标准》（GB3838-2002）中Ⅲ类水域标准</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传输末端进入农用地时同时满足</w:t>
            </w:r>
            <w:r>
              <w:rPr>
                <w:rFonts w:hint="eastAsia" w:ascii="Times New Roman" w:hAnsi="Times New Roman" w:eastAsia="宋体" w:cs="Times New Roman"/>
                <w:sz w:val="24"/>
                <w:szCs w:val="24"/>
                <w:lang w:val="en-US" w:eastAsia="zh-CN"/>
              </w:rPr>
              <w:t>《农田灌溉水质标准》（GB5084-2021）相关标准。</w:t>
            </w:r>
          </w:p>
          <w:p>
            <w:pPr>
              <w:jc w:val="center"/>
              <w:rPr>
                <w:rFonts w:ascii="Times New Roman" w:hAnsi="Times New Roman" w:eastAsia="宋体" w:cs="Times New Roman"/>
                <w:b/>
                <w:szCs w:val="21"/>
              </w:rPr>
            </w:pPr>
            <w:r>
              <w:rPr>
                <w:rFonts w:ascii="Times New Roman" w:hAnsi="Times New Roman" w:eastAsia="宋体" w:cs="Times New Roman"/>
                <w:b/>
                <w:szCs w:val="21"/>
              </w:rPr>
              <w:t>表3-1</w:t>
            </w:r>
            <w:r>
              <w:rPr>
                <w:rFonts w:hint="eastAsia" w:ascii="Times New Roman" w:hAnsi="Times New Roman" w:eastAsia="宋体" w:cs="Times New Roman"/>
                <w:b/>
                <w:szCs w:val="21"/>
                <w:lang w:val="en-US" w:eastAsia="zh-CN"/>
              </w:rPr>
              <w:t>8</w:t>
            </w:r>
            <w:r>
              <w:rPr>
                <w:rFonts w:ascii="Times New Roman" w:hAnsi="Times New Roman" w:eastAsia="宋体" w:cs="Times New Roman"/>
                <w:b/>
                <w:szCs w:val="21"/>
              </w:rPr>
              <w:t xml:space="preserve">  地表水环境质量标准  单位：mg/L ，pH无量纲</w:t>
            </w:r>
          </w:p>
          <w:tbl>
            <w:tblPr>
              <w:tblStyle w:val="26"/>
              <w:tblW w:w="9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939"/>
              <w:gridCol w:w="1170"/>
              <w:gridCol w:w="1403"/>
              <w:gridCol w:w="1403"/>
              <w:gridCol w:w="1409"/>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450" w:type="dxa"/>
                  <w:vAlign w:val="center"/>
                </w:tcPr>
                <w:p>
                  <w:pPr>
                    <w:pStyle w:val="42"/>
                    <w:jc w:val="center"/>
                    <w:rPr>
                      <w:rFonts w:hAnsi="Times New Roman" w:eastAsiaTheme="minorEastAsia"/>
                      <w:color w:val="auto"/>
                    </w:rPr>
                  </w:pPr>
                  <w:r>
                    <w:rPr>
                      <w:rFonts w:hAnsi="Times New Roman" w:eastAsiaTheme="minorEastAsia"/>
                      <w:color w:val="auto"/>
                    </w:rPr>
                    <w:t>指标</w:t>
                  </w:r>
                </w:p>
              </w:tc>
              <w:tc>
                <w:tcPr>
                  <w:tcW w:w="939" w:type="dxa"/>
                  <w:vAlign w:val="center"/>
                </w:tcPr>
                <w:p>
                  <w:pPr>
                    <w:pStyle w:val="42"/>
                    <w:jc w:val="center"/>
                    <w:rPr>
                      <w:rFonts w:hAnsi="Times New Roman" w:eastAsiaTheme="minorEastAsia"/>
                      <w:color w:val="auto"/>
                    </w:rPr>
                  </w:pPr>
                  <w:r>
                    <w:rPr>
                      <w:rFonts w:hAnsi="Times New Roman" w:eastAsiaTheme="minorEastAsia"/>
                      <w:color w:val="auto"/>
                    </w:rPr>
                    <w:t>pH</w:t>
                  </w:r>
                </w:p>
              </w:tc>
              <w:tc>
                <w:tcPr>
                  <w:tcW w:w="1170" w:type="dxa"/>
                  <w:vAlign w:val="center"/>
                </w:tcPr>
                <w:p>
                  <w:pPr>
                    <w:pStyle w:val="42"/>
                    <w:jc w:val="center"/>
                    <w:rPr>
                      <w:rFonts w:hAnsi="Times New Roman" w:eastAsiaTheme="minorEastAsia"/>
                      <w:color w:val="auto"/>
                    </w:rPr>
                  </w:pPr>
                  <w:r>
                    <w:rPr>
                      <w:rFonts w:hAnsi="Times New Roman" w:eastAsiaTheme="minorEastAsia"/>
                      <w:color w:val="auto"/>
                    </w:rPr>
                    <w:t>COD</w:t>
                  </w:r>
                </w:p>
              </w:tc>
              <w:tc>
                <w:tcPr>
                  <w:tcW w:w="1403" w:type="dxa"/>
                  <w:vAlign w:val="center"/>
                </w:tcPr>
                <w:p>
                  <w:pPr>
                    <w:pStyle w:val="42"/>
                    <w:jc w:val="center"/>
                    <w:rPr>
                      <w:rFonts w:hAnsi="Times New Roman" w:eastAsiaTheme="minorEastAsia"/>
                      <w:color w:val="auto"/>
                    </w:rPr>
                  </w:pPr>
                  <w:r>
                    <w:rPr>
                      <w:rFonts w:hAnsi="Times New Roman" w:eastAsiaTheme="minorEastAsia"/>
                      <w:color w:val="auto"/>
                    </w:rPr>
                    <w:t>氨氮</w:t>
                  </w:r>
                </w:p>
              </w:tc>
              <w:tc>
                <w:tcPr>
                  <w:tcW w:w="1403" w:type="dxa"/>
                  <w:vAlign w:val="center"/>
                </w:tcPr>
                <w:p>
                  <w:pPr>
                    <w:pStyle w:val="42"/>
                    <w:jc w:val="center"/>
                    <w:rPr>
                      <w:rFonts w:hAnsi="Times New Roman" w:eastAsiaTheme="minorEastAsia"/>
                      <w:color w:val="auto"/>
                    </w:rPr>
                  </w:pPr>
                  <w:r>
                    <w:rPr>
                      <w:rFonts w:hAnsi="Times New Roman" w:eastAsiaTheme="minorEastAsia"/>
                      <w:color w:val="auto"/>
                    </w:rPr>
                    <w:t>BOD</w:t>
                  </w:r>
                  <w:r>
                    <w:rPr>
                      <w:rFonts w:hAnsi="Times New Roman" w:eastAsiaTheme="minorEastAsia"/>
                      <w:color w:val="auto"/>
                      <w:vertAlign w:val="subscript"/>
                    </w:rPr>
                    <w:t>5</w:t>
                  </w:r>
                </w:p>
              </w:tc>
              <w:tc>
                <w:tcPr>
                  <w:tcW w:w="1409" w:type="dxa"/>
                  <w:vAlign w:val="center"/>
                </w:tcPr>
                <w:p>
                  <w:pPr>
                    <w:pStyle w:val="42"/>
                    <w:jc w:val="center"/>
                    <w:rPr>
                      <w:rFonts w:hAnsi="Times New Roman" w:eastAsiaTheme="minorEastAsia"/>
                      <w:color w:val="auto"/>
                    </w:rPr>
                  </w:pPr>
                  <w:r>
                    <w:rPr>
                      <w:rFonts w:hAnsi="Times New Roman" w:eastAsiaTheme="minorEastAsia"/>
                      <w:color w:val="auto"/>
                    </w:rPr>
                    <w:t>总磷</w:t>
                  </w:r>
                </w:p>
              </w:tc>
              <w:tc>
                <w:tcPr>
                  <w:tcW w:w="1403" w:type="dxa"/>
                  <w:vAlign w:val="center"/>
                </w:tcPr>
                <w:p>
                  <w:pPr>
                    <w:pStyle w:val="42"/>
                    <w:jc w:val="center"/>
                    <w:rPr>
                      <w:rFonts w:hAnsi="Times New Roman" w:eastAsiaTheme="minorEastAsia"/>
                      <w:color w:val="auto"/>
                    </w:rPr>
                  </w:pPr>
                  <w:r>
                    <w:rPr>
                      <w:rFonts w:hAnsi="Times New Roman" w:eastAsiaTheme="minorEastAsia"/>
                      <w:color w:val="auto"/>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450" w:type="dxa"/>
                  <w:vAlign w:val="center"/>
                </w:tcPr>
                <w:p>
                  <w:pPr>
                    <w:pStyle w:val="42"/>
                    <w:jc w:val="center"/>
                    <w:rPr>
                      <w:rFonts w:hAnsi="Times New Roman" w:eastAsiaTheme="minorEastAsia"/>
                      <w:color w:val="auto"/>
                    </w:rPr>
                  </w:pPr>
                  <w:r>
                    <w:rPr>
                      <w:rFonts w:hAnsi="Times New Roman" w:eastAsiaTheme="minorEastAsia"/>
                      <w:color w:val="auto"/>
                    </w:rPr>
                    <w:t>标准值</w:t>
                  </w:r>
                </w:p>
              </w:tc>
              <w:tc>
                <w:tcPr>
                  <w:tcW w:w="939" w:type="dxa"/>
                  <w:vAlign w:val="center"/>
                </w:tcPr>
                <w:p>
                  <w:pPr>
                    <w:pStyle w:val="42"/>
                    <w:jc w:val="center"/>
                    <w:rPr>
                      <w:rFonts w:hAnsi="Times New Roman" w:eastAsiaTheme="minorEastAsia"/>
                      <w:color w:val="auto"/>
                    </w:rPr>
                  </w:pPr>
                  <w:r>
                    <w:rPr>
                      <w:rFonts w:hAnsi="Times New Roman" w:eastAsiaTheme="minorEastAsia"/>
                      <w:color w:val="auto"/>
                    </w:rPr>
                    <w:t>6~9</w:t>
                  </w:r>
                </w:p>
              </w:tc>
              <w:tc>
                <w:tcPr>
                  <w:tcW w:w="1170" w:type="dxa"/>
                  <w:vAlign w:val="center"/>
                </w:tcPr>
                <w:p>
                  <w:pPr>
                    <w:pStyle w:val="42"/>
                    <w:jc w:val="center"/>
                    <w:rPr>
                      <w:rFonts w:hAnsi="Times New Roman" w:eastAsiaTheme="minorEastAsia"/>
                      <w:color w:val="auto"/>
                    </w:rPr>
                  </w:pPr>
                  <w:r>
                    <w:rPr>
                      <w:rFonts w:hAnsi="Times New Roman" w:eastAsiaTheme="minorEastAsia"/>
                      <w:color w:val="auto"/>
                    </w:rPr>
                    <w:t>20</w:t>
                  </w:r>
                </w:p>
              </w:tc>
              <w:tc>
                <w:tcPr>
                  <w:tcW w:w="1403" w:type="dxa"/>
                  <w:vAlign w:val="center"/>
                </w:tcPr>
                <w:p>
                  <w:pPr>
                    <w:pStyle w:val="42"/>
                    <w:jc w:val="center"/>
                    <w:rPr>
                      <w:rFonts w:hAnsi="Times New Roman" w:eastAsiaTheme="minorEastAsia"/>
                      <w:color w:val="auto"/>
                    </w:rPr>
                  </w:pPr>
                  <w:r>
                    <w:rPr>
                      <w:rFonts w:hAnsi="Times New Roman" w:eastAsiaTheme="minorEastAsia"/>
                      <w:color w:val="auto"/>
                    </w:rPr>
                    <w:t>1.0</w:t>
                  </w:r>
                </w:p>
              </w:tc>
              <w:tc>
                <w:tcPr>
                  <w:tcW w:w="1403" w:type="dxa"/>
                  <w:vAlign w:val="center"/>
                </w:tcPr>
                <w:p>
                  <w:pPr>
                    <w:pStyle w:val="42"/>
                    <w:jc w:val="center"/>
                    <w:rPr>
                      <w:rFonts w:hAnsi="Times New Roman" w:eastAsiaTheme="minorEastAsia"/>
                      <w:color w:val="auto"/>
                    </w:rPr>
                  </w:pPr>
                  <w:r>
                    <w:rPr>
                      <w:rFonts w:hAnsi="Times New Roman" w:eastAsiaTheme="minorEastAsia"/>
                      <w:color w:val="auto"/>
                    </w:rPr>
                    <w:t>4.0</w:t>
                  </w:r>
                </w:p>
              </w:tc>
              <w:tc>
                <w:tcPr>
                  <w:tcW w:w="1409" w:type="dxa"/>
                  <w:vAlign w:val="center"/>
                </w:tcPr>
                <w:p>
                  <w:pPr>
                    <w:pStyle w:val="42"/>
                    <w:jc w:val="center"/>
                    <w:rPr>
                      <w:rFonts w:hAnsi="Times New Roman" w:eastAsiaTheme="minorEastAsia"/>
                      <w:color w:val="auto"/>
                    </w:rPr>
                  </w:pPr>
                  <w:r>
                    <w:rPr>
                      <w:rFonts w:hAnsi="Times New Roman" w:eastAsiaTheme="minorEastAsia"/>
                      <w:color w:val="auto"/>
                    </w:rPr>
                    <w:t>0.2</w:t>
                  </w:r>
                </w:p>
              </w:tc>
              <w:tc>
                <w:tcPr>
                  <w:tcW w:w="1403" w:type="dxa"/>
                  <w:vAlign w:val="center"/>
                </w:tcPr>
                <w:p>
                  <w:pPr>
                    <w:pStyle w:val="42"/>
                    <w:jc w:val="center"/>
                    <w:rPr>
                      <w:rFonts w:hAnsi="Times New Roman" w:eastAsiaTheme="minorEastAsia"/>
                      <w:color w:val="auto"/>
                    </w:rPr>
                  </w:pPr>
                  <w:r>
                    <w:rPr>
                      <w:rFonts w:hAnsi="Times New Roman" w:eastAsiaTheme="minorEastAsia"/>
                      <w:color w:val="auto"/>
                    </w:rPr>
                    <w:t>0.05</w:t>
                  </w:r>
                </w:p>
              </w:tc>
            </w:tr>
          </w:tbl>
          <w:p>
            <w:pPr>
              <w:autoSpaceDE w:val="0"/>
              <w:autoSpaceDN w:val="0"/>
              <w:adjustRightInd w:val="0"/>
              <w:snapToGrid w:val="0"/>
              <w:spacing w:line="360" w:lineRule="auto"/>
              <w:ind w:firstLine="480" w:firstLineChars="200"/>
              <w:rPr>
                <w:rFonts w:ascii="Times New Roman" w:hAnsi="Times New Roman" w:cs="Times New Roman"/>
                <w:sz w:val="24"/>
                <w:szCs w:val="24"/>
              </w:rPr>
            </w:pP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3、声环境</w:t>
            </w:r>
          </w:p>
          <w:p>
            <w:pPr>
              <w:autoSpaceDE w:val="0"/>
              <w:autoSpaceDN w:val="0"/>
              <w:adjustRightInd w:val="0"/>
              <w:snapToGrid w:val="0"/>
              <w:spacing w:line="360" w:lineRule="auto"/>
              <w:ind w:firstLine="480" w:firstLineChars="200"/>
              <w:rPr>
                <w:rFonts w:ascii="Times New Roman" w:hAnsi="Times New Roman" w:eastAsia="宋体" w:cs="Times New Roman"/>
                <w:b/>
                <w:szCs w:val="21"/>
              </w:rPr>
            </w:pPr>
            <w:r>
              <w:rPr>
                <w:rFonts w:ascii="Times New Roman" w:hAnsi="Times New Roman" w:cs="Times New Roman"/>
                <w:sz w:val="24"/>
                <w:szCs w:val="24"/>
              </w:rPr>
              <w:t>环境噪声执行《声环境质量标准》（GB3096-2008）中2类标准。</w:t>
            </w:r>
          </w:p>
          <w:p>
            <w:pPr>
              <w:jc w:val="center"/>
              <w:rPr>
                <w:rFonts w:ascii="Times New Roman" w:hAnsi="Times New Roman" w:eastAsia="宋体" w:cs="Times New Roman"/>
                <w:b/>
                <w:szCs w:val="21"/>
              </w:rPr>
            </w:pPr>
            <w:r>
              <w:rPr>
                <w:rFonts w:ascii="Times New Roman" w:hAnsi="Times New Roman" w:eastAsia="宋体" w:cs="Times New Roman"/>
                <w:b/>
                <w:szCs w:val="21"/>
              </w:rPr>
              <w:t>表3-1</w:t>
            </w:r>
            <w:r>
              <w:rPr>
                <w:rFonts w:hint="eastAsia" w:ascii="Times New Roman" w:hAnsi="Times New Roman" w:eastAsia="宋体" w:cs="Times New Roman"/>
                <w:b/>
                <w:szCs w:val="21"/>
                <w:lang w:val="en-US" w:eastAsia="zh-CN"/>
              </w:rPr>
              <w:t>9</w:t>
            </w:r>
            <w:r>
              <w:rPr>
                <w:rFonts w:ascii="Times New Roman" w:hAnsi="Times New Roman" w:eastAsia="宋体" w:cs="Times New Roman"/>
                <w:b/>
                <w:szCs w:val="21"/>
              </w:rPr>
              <w:t xml:space="preserve">  声环境质量标准     单位：dB（A）</w:t>
            </w:r>
          </w:p>
          <w:tbl>
            <w:tblPr>
              <w:tblStyle w:val="26"/>
              <w:tblW w:w="9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3"/>
              <w:gridCol w:w="2548"/>
              <w:gridCol w:w="3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473" w:type="dxa"/>
                  <w:vAlign w:val="center"/>
                </w:tcPr>
                <w:p>
                  <w:pPr>
                    <w:pStyle w:val="42"/>
                    <w:jc w:val="center"/>
                    <w:rPr>
                      <w:rFonts w:hAnsi="Times New Roman" w:eastAsiaTheme="minorEastAsia"/>
                      <w:color w:val="auto"/>
                    </w:rPr>
                  </w:pPr>
                  <w:r>
                    <w:rPr>
                      <w:rFonts w:hAnsi="Times New Roman" w:eastAsiaTheme="minorEastAsia"/>
                      <w:color w:val="auto"/>
                    </w:rPr>
                    <w:t>类别</w:t>
                  </w:r>
                </w:p>
              </w:tc>
              <w:tc>
                <w:tcPr>
                  <w:tcW w:w="2548" w:type="dxa"/>
                  <w:vAlign w:val="center"/>
                </w:tcPr>
                <w:p>
                  <w:pPr>
                    <w:pStyle w:val="42"/>
                    <w:jc w:val="center"/>
                    <w:rPr>
                      <w:rFonts w:hAnsi="Times New Roman" w:eastAsiaTheme="minorEastAsia"/>
                      <w:color w:val="auto"/>
                    </w:rPr>
                  </w:pPr>
                  <w:r>
                    <w:rPr>
                      <w:rFonts w:hAnsi="Times New Roman" w:eastAsiaTheme="minorEastAsia"/>
                      <w:color w:val="auto"/>
                    </w:rPr>
                    <w:t>昼间</w:t>
                  </w:r>
                </w:p>
              </w:tc>
              <w:tc>
                <w:tcPr>
                  <w:tcW w:w="3277" w:type="dxa"/>
                  <w:vAlign w:val="center"/>
                </w:tcPr>
                <w:p>
                  <w:pPr>
                    <w:pStyle w:val="42"/>
                    <w:jc w:val="center"/>
                    <w:rPr>
                      <w:rFonts w:hAnsi="Times New Roman" w:eastAsiaTheme="minorEastAsia"/>
                      <w:color w:val="auto"/>
                    </w:rPr>
                  </w:pPr>
                  <w:r>
                    <w:rPr>
                      <w:rFonts w:hAnsi="Times New Roman" w:eastAsiaTheme="minorEastAsia"/>
                      <w:color w:va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3473" w:type="dxa"/>
                  <w:vAlign w:val="center"/>
                </w:tcPr>
                <w:p>
                  <w:pPr>
                    <w:pStyle w:val="42"/>
                    <w:jc w:val="center"/>
                    <w:rPr>
                      <w:rFonts w:hAnsi="Times New Roman" w:eastAsiaTheme="minorEastAsia"/>
                      <w:color w:val="auto"/>
                    </w:rPr>
                  </w:pPr>
                  <w:r>
                    <w:rPr>
                      <w:rFonts w:hAnsi="Times New Roman" w:eastAsiaTheme="minorEastAsia"/>
                      <w:color w:val="auto"/>
                    </w:rPr>
                    <w:t>2类</w:t>
                  </w:r>
                </w:p>
              </w:tc>
              <w:tc>
                <w:tcPr>
                  <w:tcW w:w="2548" w:type="dxa"/>
                  <w:vAlign w:val="center"/>
                </w:tcPr>
                <w:p>
                  <w:pPr>
                    <w:pStyle w:val="42"/>
                    <w:jc w:val="center"/>
                    <w:rPr>
                      <w:rFonts w:hAnsi="Times New Roman" w:eastAsiaTheme="minorEastAsia"/>
                      <w:color w:val="auto"/>
                    </w:rPr>
                  </w:pPr>
                  <w:r>
                    <w:rPr>
                      <w:rFonts w:hAnsi="Times New Roman" w:eastAsiaTheme="minorEastAsia"/>
                      <w:color w:val="auto"/>
                    </w:rPr>
                    <w:t>60</w:t>
                  </w:r>
                </w:p>
              </w:tc>
              <w:tc>
                <w:tcPr>
                  <w:tcW w:w="3277" w:type="dxa"/>
                  <w:vAlign w:val="center"/>
                </w:tcPr>
                <w:p>
                  <w:pPr>
                    <w:pStyle w:val="42"/>
                    <w:jc w:val="center"/>
                    <w:rPr>
                      <w:rFonts w:hAnsi="Times New Roman" w:eastAsiaTheme="minorEastAsia"/>
                      <w:color w:val="auto"/>
                    </w:rPr>
                  </w:pPr>
                  <w:r>
                    <w:rPr>
                      <w:rFonts w:hAnsi="Times New Roman" w:eastAsiaTheme="minorEastAsia"/>
                      <w:color w:val="auto"/>
                    </w:rPr>
                    <w:t>50</w:t>
                  </w:r>
                </w:p>
              </w:tc>
            </w:tr>
          </w:tbl>
          <w:p>
            <w:pPr>
              <w:autoSpaceDE w:val="0"/>
              <w:autoSpaceDN w:val="0"/>
              <w:adjustRightInd w:val="0"/>
              <w:snapToGrid w:val="0"/>
              <w:spacing w:line="360" w:lineRule="auto"/>
              <w:ind w:firstLine="480" w:firstLineChars="200"/>
              <w:rPr>
                <w:rFonts w:hint="eastAsia" w:ascii="Times New Roman" w:hAnsi="Times New Roman" w:cs="Times New Roman"/>
                <w:b w:val="0"/>
                <w:bCs/>
                <w:kern w:val="0"/>
                <w:sz w:val="24"/>
                <w:szCs w:val="24"/>
                <w:lang w:val="en-US" w:eastAsia="zh-CN"/>
              </w:rPr>
            </w:pP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kern w:val="0"/>
                <w:sz w:val="24"/>
                <w:szCs w:val="24"/>
                <w:lang w:val="en-US" w:eastAsia="zh-CN"/>
              </w:rPr>
            </w:pPr>
            <w:r>
              <w:rPr>
                <w:rFonts w:hint="eastAsia" w:ascii="Times New Roman" w:hAnsi="Times New Roman" w:cs="Times New Roman"/>
                <w:b w:val="0"/>
                <w:bCs/>
                <w:kern w:val="0"/>
                <w:sz w:val="24"/>
                <w:szCs w:val="24"/>
                <w:lang w:val="en-US" w:eastAsia="zh-CN"/>
              </w:rPr>
              <w:t>4、渠道底泥环境</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kern w:val="0"/>
                <w:sz w:val="24"/>
                <w:szCs w:val="24"/>
                <w:lang w:val="en-US" w:eastAsia="zh-CN"/>
              </w:rPr>
            </w:pPr>
            <w:r>
              <w:rPr>
                <w:rFonts w:hint="eastAsia" w:ascii="Times New Roman" w:hAnsi="Times New Roman" w:cs="Times New Roman"/>
                <w:b w:val="0"/>
                <w:bCs/>
                <w:kern w:val="0"/>
                <w:sz w:val="24"/>
                <w:szCs w:val="24"/>
                <w:lang w:val="en-US" w:eastAsia="zh-CN"/>
              </w:rPr>
              <w:t>本项目渠道底泥参考执行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《土壤环境质量 农用地土壤污染风险管控标准（试行》）（GB 15618-2018）表1农用地、水旱轮作相关限值（取严）。</w:t>
            </w:r>
          </w:p>
          <w:p>
            <w:pPr>
              <w:jc w:val="center"/>
              <w:rPr>
                <w:rFonts w:ascii="Times New Roman" w:hAnsi="Times New Roman" w:eastAsia="宋体" w:cs="Times New Roman"/>
                <w:b/>
                <w:szCs w:val="21"/>
              </w:rPr>
            </w:pPr>
            <w:r>
              <w:rPr>
                <w:rFonts w:ascii="Times New Roman" w:hAnsi="Times New Roman" w:eastAsia="宋体" w:cs="Times New Roman"/>
                <w:b/>
                <w:szCs w:val="21"/>
              </w:rPr>
              <w:t>表3-</w:t>
            </w:r>
            <w:r>
              <w:rPr>
                <w:rFonts w:hint="eastAsia" w:ascii="Times New Roman" w:hAnsi="Times New Roman" w:eastAsia="宋体" w:cs="Times New Roman"/>
                <w:b/>
                <w:szCs w:val="21"/>
                <w:lang w:val="en-US" w:eastAsia="zh-CN"/>
              </w:rPr>
              <w:t>20</w:t>
            </w:r>
            <w:r>
              <w:rPr>
                <w:rFonts w:ascii="Times New Roman" w:hAnsi="Times New Roman" w:eastAsia="宋体" w:cs="Times New Roman"/>
                <w:b/>
                <w:szCs w:val="21"/>
              </w:rPr>
              <w:t xml:space="preserve">  </w:t>
            </w:r>
            <w:r>
              <w:rPr>
                <w:rFonts w:hint="eastAsia" w:ascii="Times New Roman" w:hAnsi="Times New Roman" w:eastAsia="宋体" w:cs="Times New Roman"/>
                <w:b/>
                <w:szCs w:val="21"/>
                <w:lang w:val="en-US" w:eastAsia="zh-CN"/>
              </w:rPr>
              <w:t>土壤</w:t>
            </w:r>
            <w:r>
              <w:rPr>
                <w:rFonts w:ascii="Times New Roman" w:hAnsi="Times New Roman" w:eastAsia="宋体" w:cs="Times New Roman"/>
                <w:b/>
                <w:szCs w:val="21"/>
              </w:rPr>
              <w:t>环境质量标准  单位：mg/</w:t>
            </w:r>
            <w:r>
              <w:rPr>
                <w:rFonts w:hint="eastAsia" w:ascii="Times New Roman" w:hAnsi="Times New Roman" w:eastAsia="宋体" w:cs="Times New Roman"/>
                <w:b/>
                <w:szCs w:val="21"/>
                <w:lang w:val="en-US" w:eastAsia="zh-CN"/>
              </w:rPr>
              <w:t>kg</w:t>
            </w:r>
            <w:r>
              <w:rPr>
                <w:rFonts w:ascii="Times New Roman" w:hAnsi="Times New Roman" w:eastAsia="宋体" w:cs="Times New Roman"/>
                <w:b/>
                <w:szCs w:val="21"/>
              </w:rPr>
              <w:t>，pH无量纲</w:t>
            </w:r>
          </w:p>
          <w:tbl>
            <w:tblPr>
              <w:tblStyle w:val="26"/>
              <w:tblW w:w="9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939"/>
              <w:gridCol w:w="848"/>
              <w:gridCol w:w="848"/>
              <w:gridCol w:w="848"/>
              <w:gridCol w:w="848"/>
              <w:gridCol w:w="848"/>
              <w:gridCol w:w="848"/>
              <w:gridCol w:w="848"/>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1450" w:type="dxa"/>
                  <w:vAlign w:val="center"/>
                </w:tcPr>
                <w:p>
                  <w:pPr>
                    <w:pStyle w:val="42"/>
                    <w:jc w:val="center"/>
                    <w:rPr>
                      <w:rFonts w:hAnsi="Times New Roman" w:eastAsiaTheme="minorEastAsia"/>
                      <w:color w:val="auto"/>
                    </w:rPr>
                  </w:pPr>
                  <w:r>
                    <w:rPr>
                      <w:rFonts w:hAnsi="Times New Roman" w:eastAsiaTheme="minorEastAsia"/>
                      <w:color w:val="auto"/>
                    </w:rPr>
                    <w:t>指标</w:t>
                  </w:r>
                </w:p>
              </w:tc>
              <w:tc>
                <w:tcPr>
                  <w:tcW w:w="939" w:type="dxa"/>
                  <w:vAlign w:val="center"/>
                </w:tcPr>
                <w:p>
                  <w:pPr>
                    <w:pStyle w:val="42"/>
                    <w:jc w:val="center"/>
                    <w:rPr>
                      <w:rFonts w:hAnsi="Times New Roman" w:eastAsiaTheme="minorEastAsia"/>
                      <w:color w:val="auto"/>
                    </w:rPr>
                  </w:pPr>
                  <w:r>
                    <w:rPr>
                      <w:rFonts w:hAnsi="Times New Roman" w:eastAsiaTheme="minorEastAsia"/>
                      <w:color w:val="auto"/>
                    </w:rPr>
                    <w:t>pH</w:t>
                  </w:r>
                </w:p>
              </w:tc>
              <w:tc>
                <w:tcPr>
                  <w:tcW w:w="848" w:type="dxa"/>
                  <w:vAlign w:val="center"/>
                </w:tcPr>
                <w:p>
                  <w:pPr>
                    <w:pStyle w:val="42"/>
                    <w:jc w:val="center"/>
                    <w:rPr>
                      <w:rFonts w:hint="eastAsia" w:hAnsi="Times New Roman" w:eastAsiaTheme="minorEastAsia"/>
                      <w:color w:val="auto"/>
                      <w:lang w:val="en-US" w:eastAsia="zh-CN"/>
                    </w:rPr>
                  </w:pPr>
                  <w:r>
                    <w:rPr>
                      <w:rFonts w:hint="eastAsia" w:hAnsi="Times New Roman" w:eastAsiaTheme="minorEastAsia"/>
                      <w:color w:val="auto"/>
                      <w:lang w:val="en-US" w:eastAsia="zh-CN"/>
                    </w:rPr>
                    <w:t>铬</w:t>
                  </w:r>
                </w:p>
              </w:tc>
              <w:tc>
                <w:tcPr>
                  <w:tcW w:w="848" w:type="dxa"/>
                  <w:vAlign w:val="center"/>
                </w:tcPr>
                <w:p>
                  <w:pPr>
                    <w:pStyle w:val="42"/>
                    <w:jc w:val="center"/>
                    <w:rPr>
                      <w:rFonts w:hint="eastAsia" w:hAnsi="Times New Roman" w:eastAsiaTheme="minorEastAsia"/>
                      <w:color w:val="auto"/>
                      <w:lang w:val="en-US" w:eastAsia="zh-CN"/>
                    </w:rPr>
                  </w:pPr>
                  <w:r>
                    <w:rPr>
                      <w:rFonts w:hint="eastAsia" w:hAnsi="Times New Roman" w:eastAsiaTheme="minorEastAsia"/>
                      <w:color w:val="auto"/>
                      <w:lang w:val="en-US" w:eastAsia="zh-CN"/>
                    </w:rPr>
                    <w:t>汞</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铜</w:t>
                  </w:r>
                </w:p>
              </w:tc>
              <w:tc>
                <w:tcPr>
                  <w:tcW w:w="848" w:type="dxa"/>
                  <w:vAlign w:val="center"/>
                </w:tcPr>
                <w:p>
                  <w:pPr>
                    <w:pStyle w:val="42"/>
                    <w:jc w:val="center"/>
                    <w:rPr>
                      <w:rFonts w:hint="eastAsia" w:hAnsi="Times New Roman" w:eastAsiaTheme="minorEastAsia"/>
                      <w:color w:val="auto"/>
                      <w:lang w:val="en-US" w:eastAsia="zh-CN"/>
                    </w:rPr>
                  </w:pPr>
                  <w:r>
                    <w:rPr>
                      <w:rFonts w:hint="eastAsia" w:hAnsi="Times New Roman" w:eastAsiaTheme="minorEastAsia"/>
                      <w:color w:val="auto"/>
                      <w:lang w:val="en-US" w:eastAsia="zh-CN"/>
                    </w:rPr>
                    <w:t>砷</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锌</w:t>
                  </w:r>
                </w:p>
              </w:tc>
              <w:tc>
                <w:tcPr>
                  <w:tcW w:w="848" w:type="dxa"/>
                  <w:vAlign w:val="center"/>
                </w:tcPr>
                <w:p>
                  <w:pPr>
                    <w:pStyle w:val="42"/>
                    <w:jc w:val="center"/>
                    <w:rPr>
                      <w:rFonts w:hint="eastAsia" w:hAnsi="Times New Roman" w:eastAsiaTheme="minorEastAsia"/>
                      <w:color w:val="auto"/>
                      <w:lang w:val="en-US" w:eastAsia="zh-CN"/>
                    </w:rPr>
                  </w:pPr>
                  <w:r>
                    <w:rPr>
                      <w:rFonts w:hint="eastAsia" w:hAnsi="Times New Roman" w:eastAsiaTheme="minorEastAsia"/>
                      <w:color w:val="auto"/>
                      <w:lang w:val="en-US" w:eastAsia="zh-CN"/>
                    </w:rPr>
                    <w:t>铅</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镍</w:t>
                  </w:r>
                </w:p>
              </w:tc>
              <w:tc>
                <w:tcPr>
                  <w:tcW w:w="852" w:type="dxa"/>
                  <w:vAlign w:val="center"/>
                </w:tcPr>
                <w:p>
                  <w:pPr>
                    <w:pStyle w:val="42"/>
                    <w:jc w:val="center"/>
                    <w:rPr>
                      <w:rFonts w:hint="eastAsia" w:hAnsi="Times New Roman" w:eastAsiaTheme="minorEastAsia"/>
                      <w:color w:val="auto"/>
                      <w:lang w:val="en-US" w:eastAsia="zh-CN"/>
                    </w:rPr>
                  </w:pPr>
                  <w:r>
                    <w:rPr>
                      <w:rFonts w:hint="eastAsia" w:hAnsi="Times New Roman" w:eastAsiaTheme="minorEastAsia"/>
                      <w:color w:val="auto"/>
                      <w:lang w:val="en-US" w:eastAsia="zh-CN"/>
                    </w:rPr>
                    <w:t>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1450" w:type="dxa"/>
                  <w:vMerge w:val="restart"/>
                  <w:vAlign w:val="center"/>
                </w:tcPr>
                <w:p>
                  <w:pPr>
                    <w:pStyle w:val="42"/>
                    <w:jc w:val="center"/>
                    <w:rPr>
                      <w:rFonts w:hAnsi="Times New Roman" w:eastAsiaTheme="minorEastAsia"/>
                      <w:color w:val="auto"/>
                    </w:rPr>
                  </w:pPr>
                  <w:r>
                    <w:rPr>
                      <w:rFonts w:hint="eastAsia" w:hAnsi="Times New Roman" w:eastAsiaTheme="minorEastAsia"/>
                      <w:color w:val="auto"/>
                      <w:lang w:val="en-US" w:eastAsia="zh-CN"/>
                    </w:rPr>
                    <w:t>筛选</w:t>
                  </w:r>
                  <w:r>
                    <w:rPr>
                      <w:rFonts w:hAnsi="Times New Roman" w:eastAsiaTheme="minorEastAsia"/>
                      <w:color w:val="auto"/>
                    </w:rPr>
                    <w:t>值</w:t>
                  </w:r>
                </w:p>
              </w:tc>
              <w:tc>
                <w:tcPr>
                  <w:tcW w:w="939"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＞7.5</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250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100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20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300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170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190</w:t>
                  </w:r>
                </w:p>
              </w:tc>
              <w:tc>
                <w:tcPr>
                  <w:tcW w:w="852"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450" w:type="dxa"/>
                  <w:vMerge w:val="continue"/>
                  <w:vAlign w:val="center"/>
                </w:tcPr>
                <w:p>
                  <w:pPr>
                    <w:pStyle w:val="42"/>
                    <w:jc w:val="center"/>
                    <w:rPr>
                      <w:rFonts w:hint="eastAsia" w:hAnsi="Times New Roman" w:eastAsiaTheme="minorEastAsia"/>
                      <w:color w:val="auto"/>
                      <w:lang w:val="en-US" w:eastAsia="zh-CN"/>
                    </w:rPr>
                  </w:pPr>
                </w:p>
              </w:tc>
              <w:tc>
                <w:tcPr>
                  <w:tcW w:w="939"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6.5~7.5</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200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0.6</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100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25</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250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120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100</w:t>
                  </w:r>
                </w:p>
              </w:tc>
              <w:tc>
                <w:tcPr>
                  <w:tcW w:w="852"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450" w:type="dxa"/>
                  <w:vMerge w:val="continue"/>
                  <w:vAlign w:val="center"/>
                </w:tcPr>
                <w:p>
                  <w:pPr>
                    <w:pStyle w:val="42"/>
                    <w:jc w:val="center"/>
                    <w:rPr>
                      <w:rFonts w:hint="eastAsia" w:hAnsi="Times New Roman" w:eastAsiaTheme="minorEastAsia"/>
                      <w:color w:val="auto"/>
                      <w:lang w:val="en-US" w:eastAsia="zh-CN"/>
                    </w:rPr>
                  </w:pPr>
                </w:p>
              </w:tc>
              <w:tc>
                <w:tcPr>
                  <w:tcW w:w="939"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5.5~6.5</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150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0.5</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50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30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200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90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70</w:t>
                  </w:r>
                </w:p>
              </w:tc>
              <w:tc>
                <w:tcPr>
                  <w:tcW w:w="852"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450" w:type="dxa"/>
                  <w:vMerge w:val="continue"/>
                  <w:vAlign w:val="center"/>
                </w:tcPr>
                <w:p>
                  <w:pPr>
                    <w:pStyle w:val="42"/>
                    <w:jc w:val="center"/>
                    <w:rPr>
                      <w:rFonts w:hint="eastAsia" w:hAnsi="Times New Roman" w:eastAsiaTheme="minorEastAsia"/>
                      <w:color w:val="auto"/>
                      <w:lang w:val="en-US" w:eastAsia="zh-CN"/>
                    </w:rPr>
                  </w:pPr>
                </w:p>
              </w:tc>
              <w:tc>
                <w:tcPr>
                  <w:tcW w:w="939"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≤5.5</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150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0.5</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50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30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200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70</w:t>
                  </w:r>
                </w:p>
              </w:tc>
              <w:tc>
                <w:tcPr>
                  <w:tcW w:w="848"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60</w:t>
                  </w:r>
                </w:p>
              </w:tc>
              <w:tc>
                <w:tcPr>
                  <w:tcW w:w="852" w:type="dxa"/>
                  <w:vAlign w:val="center"/>
                </w:tcPr>
                <w:p>
                  <w:pPr>
                    <w:pStyle w:val="42"/>
                    <w:jc w:val="center"/>
                    <w:rPr>
                      <w:rFonts w:hint="default" w:hAnsi="Times New Roman" w:eastAsiaTheme="minorEastAsia"/>
                      <w:color w:val="auto"/>
                      <w:lang w:val="en-US" w:eastAsia="zh-CN"/>
                    </w:rPr>
                  </w:pPr>
                  <w:r>
                    <w:rPr>
                      <w:rFonts w:hint="eastAsia" w:hAnsi="Times New Roman" w:eastAsiaTheme="minorEastAsia"/>
                      <w:color w:val="auto"/>
                      <w:lang w:val="en-US" w:eastAsia="zh-CN"/>
                    </w:rPr>
                    <w:t>0.3</w:t>
                  </w:r>
                </w:p>
              </w:tc>
            </w:tr>
          </w:tbl>
          <w:p>
            <w:pPr>
              <w:autoSpaceDE w:val="0"/>
              <w:autoSpaceDN w:val="0"/>
              <w:adjustRightInd w:val="0"/>
              <w:snapToGrid w:val="0"/>
              <w:spacing w:line="360" w:lineRule="auto"/>
              <w:rPr>
                <w:rFonts w:ascii="Times New Roman" w:hAnsi="Times New Roman" w:cs="Times New Roman"/>
                <w:b/>
                <w:kern w:val="0"/>
                <w:sz w:val="24"/>
                <w:szCs w:val="24"/>
              </w:rPr>
            </w:pPr>
          </w:p>
          <w:p>
            <w:pPr>
              <w:autoSpaceDE w:val="0"/>
              <w:autoSpaceDN w:val="0"/>
              <w:adjustRightInd w:val="0"/>
              <w:snapToGrid w:val="0"/>
              <w:spacing w:line="360" w:lineRule="auto"/>
              <w:rPr>
                <w:rFonts w:ascii="Times New Roman" w:hAnsi="Times New Roman" w:cs="Times New Roman"/>
                <w:b/>
                <w:sz w:val="24"/>
                <w:szCs w:val="24"/>
              </w:rPr>
            </w:pPr>
            <w:r>
              <w:rPr>
                <w:rFonts w:ascii="Times New Roman" w:hAnsi="Times New Roman" w:cs="Times New Roman"/>
                <w:b/>
                <w:kern w:val="0"/>
                <w:sz w:val="24"/>
                <w:szCs w:val="24"/>
              </w:rPr>
              <w:t>二、</w:t>
            </w:r>
            <w:r>
              <w:rPr>
                <w:rFonts w:ascii="Times New Roman" w:hAnsi="Times New Roman" w:cs="Times New Roman"/>
                <w:b/>
                <w:sz w:val="24"/>
                <w:szCs w:val="24"/>
              </w:rPr>
              <w:t>污染物排放标准</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1、废气</w:t>
            </w:r>
          </w:p>
          <w:p>
            <w:pPr>
              <w:autoSpaceDE w:val="0"/>
              <w:autoSpaceDN w:val="0"/>
              <w:adjustRightInd w:val="0"/>
              <w:snapToGrid w:val="0"/>
              <w:spacing w:line="360" w:lineRule="auto"/>
              <w:ind w:firstLine="480" w:firstLineChars="200"/>
              <w:rPr>
                <w:rFonts w:ascii="Times New Roman" w:hAnsi="Times New Roman" w:eastAsia="宋体" w:cs="Times New Roman"/>
                <w:b/>
                <w:szCs w:val="21"/>
              </w:rPr>
            </w:pPr>
            <w:r>
              <w:rPr>
                <w:rFonts w:ascii="Times New Roman" w:hAnsi="Times New Roman" w:cs="Times New Roman"/>
                <w:sz w:val="24"/>
                <w:szCs w:val="24"/>
              </w:rPr>
              <w:t>施工期扬尘执行《四川省施工场地扬尘排放标准》（DB51/2682-2020）表1标准限值</w:t>
            </w:r>
            <w:r>
              <w:rPr>
                <w:rFonts w:hint="eastAsia" w:ascii="Times New Roman" w:hAnsi="Times New Roman" w:cs="Times New Roman"/>
                <w:sz w:val="24"/>
                <w:szCs w:val="24"/>
                <w:lang w:eastAsia="zh-CN"/>
              </w:rPr>
              <w:t>；</w:t>
            </w:r>
            <w:r>
              <w:rPr>
                <w:rFonts w:ascii="Times New Roman" w:hAnsi="Times New Roman" w:cs="Times New Roman"/>
                <w:sz w:val="24"/>
                <w:szCs w:val="24"/>
              </w:rPr>
              <w:t>营运期本项目不属于产生</w:t>
            </w:r>
            <w:r>
              <w:rPr>
                <w:rFonts w:hint="eastAsia" w:ascii="Times New Roman" w:hAnsi="Times New Roman" w:cs="Times New Roman"/>
                <w:sz w:val="24"/>
                <w:szCs w:val="24"/>
              </w:rPr>
              <w:t>废气</w:t>
            </w:r>
            <w:r>
              <w:rPr>
                <w:rFonts w:ascii="Times New Roman" w:hAnsi="Times New Roman" w:cs="Times New Roman"/>
                <w:sz w:val="24"/>
                <w:szCs w:val="24"/>
              </w:rPr>
              <w:t>行业类别。</w:t>
            </w:r>
          </w:p>
          <w:p>
            <w:pPr>
              <w:jc w:val="center"/>
              <w:rPr>
                <w:rFonts w:ascii="Times New Roman" w:hAnsi="Times New Roman" w:eastAsia="宋体" w:cs="Times New Roman"/>
                <w:b/>
                <w:szCs w:val="21"/>
              </w:rPr>
            </w:pPr>
            <w:r>
              <w:rPr>
                <w:rFonts w:ascii="Times New Roman" w:hAnsi="Times New Roman" w:eastAsia="宋体" w:cs="Times New Roman"/>
                <w:b/>
                <w:szCs w:val="21"/>
              </w:rPr>
              <w:t>表3-</w:t>
            </w:r>
            <w:r>
              <w:rPr>
                <w:rFonts w:hint="eastAsia" w:ascii="Times New Roman" w:hAnsi="Times New Roman" w:eastAsia="宋体" w:cs="Times New Roman"/>
                <w:b/>
                <w:szCs w:val="21"/>
                <w:lang w:val="en-US" w:eastAsia="zh-CN"/>
              </w:rPr>
              <w:t>21</w:t>
            </w:r>
            <w:r>
              <w:rPr>
                <w:rFonts w:ascii="Times New Roman" w:hAnsi="Times New Roman" w:eastAsia="宋体" w:cs="Times New Roman"/>
                <w:b/>
                <w:szCs w:val="21"/>
              </w:rPr>
              <w:t xml:space="preserve">  四川省施工场地扬尘排放标准</w:t>
            </w:r>
          </w:p>
          <w:tbl>
            <w:tblPr>
              <w:tblStyle w:val="26"/>
              <w:tblW w:w="9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1785"/>
              <w:gridCol w:w="2205"/>
              <w:gridCol w:w="4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shd w:val="clear" w:color="auto" w:fill="auto"/>
                  <w:vAlign w:val="center"/>
                </w:tcPr>
                <w:p>
                  <w:pPr>
                    <w:pStyle w:val="42"/>
                    <w:jc w:val="center"/>
                    <w:rPr>
                      <w:rFonts w:hAnsi="Times New Roman" w:eastAsiaTheme="minorEastAsia"/>
                      <w:color w:val="auto"/>
                    </w:rPr>
                  </w:pPr>
                  <w:r>
                    <w:rPr>
                      <w:rFonts w:hAnsi="Times New Roman" w:eastAsiaTheme="minorEastAsia"/>
                      <w:color w:val="auto"/>
                    </w:rPr>
                    <w:t>污染物名称</w:t>
                  </w:r>
                </w:p>
              </w:tc>
              <w:tc>
                <w:tcPr>
                  <w:tcW w:w="1785" w:type="dxa"/>
                  <w:vAlign w:val="center"/>
                </w:tcPr>
                <w:p>
                  <w:pPr>
                    <w:pStyle w:val="42"/>
                    <w:jc w:val="center"/>
                    <w:rPr>
                      <w:rFonts w:hAnsi="Times New Roman" w:eastAsiaTheme="minorEastAsia"/>
                      <w:color w:val="auto"/>
                    </w:rPr>
                  </w:pPr>
                  <w:r>
                    <w:rPr>
                      <w:rFonts w:hAnsi="Times New Roman" w:eastAsiaTheme="minorEastAsia"/>
                      <w:color w:val="auto"/>
                    </w:rPr>
                    <w:t>施工阶段</w:t>
                  </w:r>
                </w:p>
              </w:tc>
              <w:tc>
                <w:tcPr>
                  <w:tcW w:w="2205" w:type="dxa"/>
                  <w:shd w:val="clear" w:color="auto" w:fill="auto"/>
                  <w:vAlign w:val="center"/>
                </w:tcPr>
                <w:p>
                  <w:pPr>
                    <w:pStyle w:val="42"/>
                    <w:jc w:val="center"/>
                    <w:rPr>
                      <w:rFonts w:hAnsi="Times New Roman" w:eastAsiaTheme="minorEastAsia"/>
                      <w:color w:val="auto"/>
                    </w:rPr>
                  </w:pPr>
                  <w:r>
                    <w:rPr>
                      <w:rFonts w:hAnsi="Times New Roman" w:eastAsiaTheme="minorEastAsia"/>
                      <w:color w:val="auto"/>
                    </w:rPr>
                    <w:t>监控点污染物排放限值</w:t>
                  </w:r>
                </w:p>
              </w:tc>
              <w:tc>
                <w:tcPr>
                  <w:tcW w:w="4032" w:type="dxa"/>
                  <w:shd w:val="clear" w:color="auto" w:fill="auto"/>
                  <w:vAlign w:val="center"/>
                </w:tcPr>
                <w:p>
                  <w:pPr>
                    <w:jc w:val="center"/>
                    <w:rPr>
                      <w:rFonts w:ascii="Times New Roman" w:hAnsi="Times New Roman" w:cs="Times New Roman"/>
                      <w:szCs w:val="21"/>
                    </w:rPr>
                  </w:pPr>
                  <w:r>
                    <w:rPr>
                      <w:rFonts w:ascii="Times New Roman" w:hAnsi="Times New Roman" w:cs="Times New Roman"/>
                      <w:szCs w:val="21"/>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 w:hRule="atLeast"/>
                <w:jc w:val="center"/>
              </w:trPr>
              <w:tc>
                <w:tcPr>
                  <w:tcW w:w="1276" w:type="dxa"/>
                  <w:vMerge w:val="restart"/>
                  <w:shd w:val="clear" w:color="auto" w:fill="auto"/>
                  <w:vAlign w:val="center"/>
                </w:tcPr>
                <w:p>
                  <w:pPr>
                    <w:pStyle w:val="42"/>
                    <w:jc w:val="center"/>
                    <w:rPr>
                      <w:rFonts w:hAnsi="Times New Roman" w:eastAsiaTheme="minorEastAsia"/>
                      <w:color w:val="auto"/>
                    </w:rPr>
                  </w:pPr>
                  <w:r>
                    <w:rPr>
                      <w:rFonts w:hAnsi="Times New Roman" w:eastAsiaTheme="minorEastAsia"/>
                      <w:color w:val="auto"/>
                    </w:rPr>
                    <w:t>总悬浮颗粒物TSP</w:t>
                  </w:r>
                </w:p>
              </w:tc>
              <w:tc>
                <w:tcPr>
                  <w:tcW w:w="1785" w:type="dxa"/>
                  <w:vAlign w:val="center"/>
                </w:tcPr>
                <w:p>
                  <w:pPr>
                    <w:pStyle w:val="42"/>
                    <w:jc w:val="center"/>
                    <w:rPr>
                      <w:rFonts w:hAnsi="Times New Roman" w:eastAsiaTheme="minorEastAsia"/>
                      <w:color w:val="auto"/>
                    </w:rPr>
                  </w:pPr>
                  <w:r>
                    <w:rPr>
                      <w:rFonts w:hAnsi="Times New Roman" w:eastAsiaTheme="minorEastAsia"/>
                      <w:color w:val="auto"/>
                    </w:rPr>
                    <w:t>拆除工程/土方开挖/土方回填阶段</w:t>
                  </w:r>
                </w:p>
              </w:tc>
              <w:tc>
                <w:tcPr>
                  <w:tcW w:w="2205" w:type="dxa"/>
                  <w:shd w:val="clear" w:color="auto" w:fill="auto"/>
                  <w:vAlign w:val="center"/>
                </w:tcPr>
                <w:p>
                  <w:pPr>
                    <w:pStyle w:val="42"/>
                    <w:jc w:val="center"/>
                    <w:rPr>
                      <w:rFonts w:hAnsi="Times New Roman" w:eastAsiaTheme="minorEastAsia"/>
                      <w:color w:val="auto"/>
                    </w:rPr>
                  </w:pPr>
                  <w:r>
                    <w:rPr>
                      <w:rFonts w:hAnsi="Times New Roman" w:eastAsiaTheme="minorEastAsia"/>
                      <w:color w:val="auto"/>
                    </w:rPr>
                    <w:t>0.6mg/m</w:t>
                  </w:r>
                  <w:r>
                    <w:rPr>
                      <w:rFonts w:hAnsi="Times New Roman" w:eastAsiaTheme="minorEastAsia"/>
                      <w:color w:val="auto"/>
                      <w:vertAlign w:val="superscript"/>
                    </w:rPr>
                    <w:t>3</w:t>
                  </w:r>
                </w:p>
              </w:tc>
              <w:tc>
                <w:tcPr>
                  <w:tcW w:w="4032" w:type="dxa"/>
                  <w:vMerge w:val="restart"/>
                  <w:shd w:val="clear" w:color="auto" w:fill="auto"/>
                  <w:vAlign w:val="center"/>
                </w:tcPr>
                <w:p>
                  <w:pPr>
                    <w:jc w:val="center"/>
                    <w:rPr>
                      <w:rFonts w:ascii="Times New Roman" w:hAnsi="Times New Roman" w:cs="Times New Roman"/>
                      <w:szCs w:val="21"/>
                    </w:rPr>
                  </w:pPr>
                  <w:r>
                    <w:rPr>
                      <w:rFonts w:ascii="Times New Roman" w:hAnsi="Times New Roman" w:cs="Times New Roman"/>
                      <w:szCs w:val="21"/>
                    </w:rPr>
                    <w:t>《四川省施工场地扬尘排放标准》（DB51/2682-2020）表1标准限值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6" w:type="dxa"/>
                  <w:vMerge w:val="continue"/>
                  <w:shd w:val="clear" w:color="auto" w:fill="auto"/>
                  <w:vAlign w:val="center"/>
                </w:tcPr>
                <w:p>
                  <w:pPr>
                    <w:pStyle w:val="42"/>
                    <w:jc w:val="center"/>
                    <w:rPr>
                      <w:rFonts w:hAnsi="Times New Roman" w:eastAsiaTheme="minorEastAsia"/>
                      <w:color w:val="auto"/>
                    </w:rPr>
                  </w:pPr>
                </w:p>
              </w:tc>
              <w:tc>
                <w:tcPr>
                  <w:tcW w:w="1785" w:type="dxa"/>
                  <w:vAlign w:val="center"/>
                </w:tcPr>
                <w:p>
                  <w:pPr>
                    <w:pStyle w:val="42"/>
                    <w:jc w:val="center"/>
                    <w:rPr>
                      <w:rFonts w:hAnsi="Times New Roman" w:eastAsiaTheme="minorEastAsia"/>
                      <w:color w:val="auto"/>
                    </w:rPr>
                  </w:pPr>
                  <w:r>
                    <w:rPr>
                      <w:rFonts w:hAnsi="Times New Roman" w:eastAsiaTheme="minorEastAsia"/>
                      <w:color w:val="auto"/>
                    </w:rPr>
                    <w:t>其他工程阶段</w:t>
                  </w:r>
                </w:p>
              </w:tc>
              <w:tc>
                <w:tcPr>
                  <w:tcW w:w="2205" w:type="dxa"/>
                  <w:shd w:val="clear" w:color="auto" w:fill="auto"/>
                  <w:vAlign w:val="center"/>
                </w:tcPr>
                <w:p>
                  <w:pPr>
                    <w:pStyle w:val="42"/>
                    <w:jc w:val="center"/>
                    <w:rPr>
                      <w:rFonts w:hAnsi="Times New Roman" w:eastAsiaTheme="minorEastAsia"/>
                      <w:color w:val="auto"/>
                    </w:rPr>
                  </w:pPr>
                  <w:r>
                    <w:rPr>
                      <w:rFonts w:hAnsi="Times New Roman" w:eastAsiaTheme="minorEastAsia"/>
                      <w:color w:val="auto"/>
                    </w:rPr>
                    <w:t>0.25 mg/m</w:t>
                  </w:r>
                  <w:r>
                    <w:rPr>
                      <w:rFonts w:hAnsi="Times New Roman" w:eastAsiaTheme="minorEastAsia"/>
                      <w:color w:val="auto"/>
                      <w:vertAlign w:val="superscript"/>
                    </w:rPr>
                    <w:t>3</w:t>
                  </w:r>
                </w:p>
              </w:tc>
              <w:tc>
                <w:tcPr>
                  <w:tcW w:w="4032" w:type="dxa"/>
                  <w:vMerge w:val="continue"/>
                  <w:shd w:val="clear" w:color="auto" w:fill="auto"/>
                  <w:vAlign w:val="center"/>
                </w:tcPr>
                <w:p>
                  <w:pPr>
                    <w:jc w:val="center"/>
                    <w:rPr>
                      <w:rFonts w:ascii="Times New Roman" w:hAnsi="Times New Roman" w:cs="Times New Roman"/>
                      <w:bCs/>
                      <w:szCs w:val="21"/>
                    </w:rPr>
                  </w:pPr>
                </w:p>
              </w:tc>
            </w:tr>
          </w:tbl>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2、废水</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项目施工期生产废水综合利用，不外排</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施工期生活污水</w:t>
            </w:r>
            <w:r>
              <w:rPr>
                <w:rFonts w:hint="eastAsia" w:ascii="Times New Roman" w:hAnsi="Times New Roman" w:cs="Times New Roman"/>
                <w:color w:val="000000" w:themeColor="text1"/>
                <w:sz w:val="24"/>
                <w:szCs w:val="24"/>
                <w:lang w:val="en-US" w:eastAsia="zh-CN"/>
                <w14:textFill>
                  <w14:solidFill>
                    <w14:schemeClr w14:val="tx1"/>
                  </w14:solidFill>
                </w14:textFill>
              </w:rPr>
              <w:t>依托周边居民既有污水处理设施处理后</w:t>
            </w:r>
            <w:r>
              <w:rPr>
                <w:rFonts w:hint="eastAsia" w:ascii="Times New Roman" w:hAnsi="Times New Roman" w:cs="Times New Roman"/>
                <w:color w:val="000000" w:themeColor="text1"/>
                <w:sz w:val="24"/>
                <w:szCs w:val="24"/>
                <w14:textFill>
                  <w14:solidFill>
                    <w14:schemeClr w14:val="tx1"/>
                  </w14:solidFill>
                </w14:textFill>
              </w:rPr>
              <w:t>用于周边</w:t>
            </w:r>
            <w:r>
              <w:rPr>
                <w:rFonts w:hint="eastAsia" w:ascii="Times New Roman" w:hAnsi="Times New Roman" w:cs="Times New Roman"/>
                <w:color w:val="000000" w:themeColor="text1"/>
                <w:sz w:val="24"/>
                <w:szCs w:val="24"/>
                <w:lang w:val="en-US" w:eastAsia="zh-CN"/>
                <w14:textFill>
                  <w14:solidFill>
                    <w14:schemeClr w14:val="tx1"/>
                  </w14:solidFill>
                </w14:textFill>
              </w:rPr>
              <w:t>耕地</w:t>
            </w:r>
            <w:r>
              <w:rPr>
                <w:rFonts w:hint="eastAsia" w:ascii="Times New Roman" w:hAnsi="Times New Roman" w:cs="Times New Roman"/>
                <w:color w:val="000000" w:themeColor="text1"/>
                <w:sz w:val="24"/>
                <w:szCs w:val="24"/>
                <w14:textFill>
                  <w14:solidFill>
                    <w14:schemeClr w14:val="tx1"/>
                  </w14:solidFill>
                </w14:textFill>
              </w:rPr>
              <w:t>农肥</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营运期项目无污水产生。</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3、噪声</w:t>
            </w:r>
          </w:p>
          <w:p>
            <w:pPr>
              <w:autoSpaceDE w:val="0"/>
              <w:autoSpaceDN w:val="0"/>
              <w:adjustRightInd w:val="0"/>
              <w:snapToGrid w:val="0"/>
              <w:spacing w:line="360" w:lineRule="auto"/>
              <w:ind w:firstLine="480" w:firstLineChars="200"/>
              <w:rPr>
                <w:rFonts w:ascii="Times New Roman" w:hAnsi="Times New Roman" w:eastAsia="宋体" w:cs="Times New Roman"/>
                <w:b/>
                <w:color w:val="000000" w:themeColor="text1"/>
                <w:szCs w:val="21"/>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施工期噪声执行《建筑施工场界环境噪声排放标准》（GB12523-2011）</w:t>
            </w:r>
            <w:r>
              <w:rPr>
                <w:rFonts w:hint="eastAsia" w:ascii="Times New Roman" w:hAnsi="Times New Roman" w:cs="Times New Roman"/>
                <w:color w:val="000000" w:themeColor="text1"/>
                <w:sz w:val="24"/>
                <w:szCs w:val="24"/>
                <w14:textFill>
                  <w14:solidFill>
                    <w14:schemeClr w14:val="tx1"/>
                  </w14:solidFill>
                </w14:textFill>
              </w:rPr>
              <w:t>；营运期</w:t>
            </w:r>
            <w:r>
              <w:rPr>
                <w:rFonts w:hint="eastAsia" w:ascii="Times New Roman" w:hAnsi="Times New Roman" w:cs="Times New Roman"/>
                <w:color w:val="000000" w:themeColor="text1"/>
                <w:sz w:val="24"/>
                <w:szCs w:val="24"/>
                <w:lang w:val="en-US" w:eastAsia="zh-CN"/>
                <w14:textFill>
                  <w14:solidFill>
                    <w14:schemeClr w14:val="tx1"/>
                  </w14:solidFill>
                </w14:textFill>
              </w:rPr>
              <w:t>项目各类闸门启闭噪声</w:t>
            </w:r>
            <w:r>
              <w:rPr>
                <w:rFonts w:hint="eastAsia" w:ascii="Times New Roman" w:hAnsi="Times New Roman" w:cs="Times New Roman"/>
                <w:color w:val="000000" w:themeColor="text1"/>
                <w:sz w:val="24"/>
                <w:szCs w:val="24"/>
                <w14:textFill>
                  <w14:solidFill>
                    <w14:schemeClr w14:val="tx1"/>
                  </w14:solidFill>
                </w14:textFill>
              </w:rPr>
              <w:t>执行《工业企业厂界环境噪声排放标准》2类声功能区标准。</w:t>
            </w:r>
          </w:p>
          <w:p>
            <w:pPr>
              <w:jc w:val="center"/>
              <w:rPr>
                <w:rFonts w:ascii="Times New Roman" w:hAnsi="Times New Roman" w:eastAsia="宋体" w:cs="Times New Roman"/>
                <w:b/>
                <w:color w:val="000000" w:themeColor="text1"/>
                <w:szCs w:val="21"/>
                <w14:textFill>
                  <w14:solidFill>
                    <w14:schemeClr w14:val="tx1"/>
                  </w14:solidFill>
                </w14:textFill>
              </w:rPr>
            </w:pPr>
            <w:r>
              <w:rPr>
                <w:rFonts w:ascii="Times New Roman" w:hAnsi="Times New Roman" w:eastAsia="宋体" w:cs="Times New Roman"/>
                <w:b/>
                <w:color w:val="000000" w:themeColor="text1"/>
                <w:szCs w:val="21"/>
                <w14:textFill>
                  <w14:solidFill>
                    <w14:schemeClr w14:val="tx1"/>
                  </w14:solidFill>
                </w14:textFill>
              </w:rPr>
              <w:t>表3-</w:t>
            </w:r>
            <w:r>
              <w:rPr>
                <w:rFonts w:hint="eastAsia" w:ascii="Times New Roman" w:hAnsi="Times New Roman" w:eastAsia="宋体" w:cs="Times New Roman"/>
                <w:b/>
                <w:color w:val="000000" w:themeColor="text1"/>
                <w:szCs w:val="21"/>
                <w:lang w:val="en-US" w:eastAsia="zh-CN"/>
                <w14:textFill>
                  <w14:solidFill>
                    <w14:schemeClr w14:val="tx1"/>
                  </w14:solidFill>
                </w14:textFill>
              </w:rPr>
              <w:t>22</w:t>
            </w:r>
            <w:r>
              <w:rPr>
                <w:rFonts w:ascii="Times New Roman" w:hAnsi="Times New Roman" w:eastAsia="宋体" w:cs="Times New Roman"/>
                <w:b/>
                <w:color w:val="000000" w:themeColor="text1"/>
                <w:szCs w:val="21"/>
                <w14:textFill>
                  <w14:solidFill>
                    <w14:schemeClr w14:val="tx1"/>
                  </w14:solidFill>
                </w14:textFill>
              </w:rPr>
              <w:t xml:space="preserve">  噪声排放标准     单位：dB（A）</w:t>
            </w:r>
          </w:p>
          <w:tbl>
            <w:tblPr>
              <w:tblStyle w:val="26"/>
              <w:tblW w:w="9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1"/>
              <w:gridCol w:w="2529"/>
              <w:gridCol w:w="1854"/>
              <w:gridCol w:w="2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2531" w:type="dxa"/>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时期</w:t>
                  </w:r>
                </w:p>
              </w:tc>
              <w:tc>
                <w:tcPr>
                  <w:tcW w:w="2529" w:type="dxa"/>
                  <w:vAlign w:val="center"/>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类别</w:t>
                  </w:r>
                </w:p>
              </w:tc>
              <w:tc>
                <w:tcPr>
                  <w:tcW w:w="1854" w:type="dxa"/>
                  <w:vAlign w:val="center"/>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昼间</w:t>
                  </w:r>
                </w:p>
              </w:tc>
              <w:tc>
                <w:tcPr>
                  <w:tcW w:w="2384" w:type="dxa"/>
                  <w:vAlign w:val="center"/>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2531" w:type="dxa"/>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施工期</w:t>
                  </w:r>
                </w:p>
              </w:tc>
              <w:tc>
                <w:tcPr>
                  <w:tcW w:w="2529" w:type="dxa"/>
                  <w:vAlign w:val="center"/>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限值</w:t>
                  </w:r>
                </w:p>
              </w:tc>
              <w:tc>
                <w:tcPr>
                  <w:tcW w:w="1854" w:type="dxa"/>
                  <w:vAlign w:val="center"/>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70</w:t>
                  </w:r>
                </w:p>
              </w:tc>
              <w:tc>
                <w:tcPr>
                  <w:tcW w:w="2384" w:type="dxa"/>
                  <w:vAlign w:val="center"/>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2531" w:type="dxa"/>
                </w:tcPr>
                <w:p>
                  <w:pPr>
                    <w:pStyle w:val="42"/>
                    <w:jc w:val="center"/>
                    <w:rPr>
                      <w:rFonts w:hAnsi="Times New Roman" w:eastAsiaTheme="minorEastAsia"/>
                      <w:color w:val="000000" w:themeColor="text1"/>
                      <w14:textFill>
                        <w14:solidFill>
                          <w14:schemeClr w14:val="tx1"/>
                        </w14:solidFill>
                      </w14:textFill>
                    </w:rPr>
                  </w:pPr>
                  <w:r>
                    <w:rPr>
                      <w:rFonts w:hint="eastAsia" w:hAnsi="Times New Roman" w:eastAsiaTheme="minorEastAsia"/>
                      <w:color w:val="000000" w:themeColor="text1"/>
                      <w14:textFill>
                        <w14:solidFill>
                          <w14:schemeClr w14:val="tx1"/>
                        </w14:solidFill>
                      </w14:textFill>
                    </w:rPr>
                    <w:t>运营期</w:t>
                  </w:r>
                </w:p>
              </w:tc>
              <w:tc>
                <w:tcPr>
                  <w:tcW w:w="2529" w:type="dxa"/>
                  <w:vAlign w:val="center"/>
                </w:tcPr>
                <w:p>
                  <w:pPr>
                    <w:pStyle w:val="42"/>
                    <w:jc w:val="center"/>
                    <w:rPr>
                      <w:rFonts w:hAnsi="Times New Roman" w:eastAsiaTheme="minorEastAsia"/>
                      <w:color w:val="000000" w:themeColor="text1"/>
                      <w14:textFill>
                        <w14:solidFill>
                          <w14:schemeClr w14:val="tx1"/>
                        </w14:solidFill>
                      </w14:textFill>
                    </w:rPr>
                  </w:pPr>
                  <w:r>
                    <w:rPr>
                      <w:rFonts w:hAnsi="Times New Roman" w:eastAsiaTheme="minorEastAsia"/>
                      <w:color w:val="000000" w:themeColor="text1"/>
                      <w14:textFill>
                        <w14:solidFill>
                          <w14:schemeClr w14:val="tx1"/>
                        </w14:solidFill>
                      </w14:textFill>
                    </w:rPr>
                    <w:t>限值</w:t>
                  </w:r>
                </w:p>
              </w:tc>
              <w:tc>
                <w:tcPr>
                  <w:tcW w:w="1854" w:type="dxa"/>
                  <w:vAlign w:val="center"/>
                </w:tcPr>
                <w:p>
                  <w:pPr>
                    <w:pStyle w:val="42"/>
                    <w:jc w:val="center"/>
                    <w:rPr>
                      <w:rFonts w:hAnsi="Times New Roman" w:eastAsiaTheme="minorEastAsia"/>
                      <w:color w:val="000000" w:themeColor="text1"/>
                      <w14:textFill>
                        <w14:solidFill>
                          <w14:schemeClr w14:val="tx1"/>
                        </w14:solidFill>
                      </w14:textFill>
                    </w:rPr>
                  </w:pPr>
                  <w:r>
                    <w:rPr>
                      <w:rFonts w:hint="eastAsia" w:hAnsi="Times New Roman" w:eastAsiaTheme="minorEastAsia"/>
                      <w:color w:val="000000" w:themeColor="text1"/>
                      <w14:textFill>
                        <w14:solidFill>
                          <w14:schemeClr w14:val="tx1"/>
                        </w14:solidFill>
                      </w14:textFill>
                    </w:rPr>
                    <w:t>60</w:t>
                  </w:r>
                </w:p>
              </w:tc>
              <w:tc>
                <w:tcPr>
                  <w:tcW w:w="2384" w:type="dxa"/>
                  <w:vAlign w:val="center"/>
                </w:tcPr>
                <w:p>
                  <w:pPr>
                    <w:pStyle w:val="42"/>
                    <w:jc w:val="center"/>
                    <w:rPr>
                      <w:rFonts w:hAnsi="Times New Roman" w:eastAsiaTheme="minorEastAsia"/>
                      <w:color w:val="000000" w:themeColor="text1"/>
                      <w14:textFill>
                        <w14:solidFill>
                          <w14:schemeClr w14:val="tx1"/>
                        </w14:solidFill>
                      </w14:textFill>
                    </w:rPr>
                  </w:pPr>
                  <w:r>
                    <w:rPr>
                      <w:rFonts w:hint="eastAsia" w:hAnsi="Times New Roman" w:eastAsiaTheme="minorEastAsia"/>
                      <w:color w:val="000000" w:themeColor="text1"/>
                      <w14:textFill>
                        <w14:solidFill>
                          <w14:schemeClr w14:val="tx1"/>
                        </w14:solidFill>
                      </w14:textFill>
                    </w:rPr>
                    <w:t>50</w:t>
                  </w:r>
                </w:p>
              </w:tc>
            </w:tr>
          </w:tbl>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4、固废</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本项目固体废弃物执行《</w:t>
            </w:r>
            <w:r>
              <w:rPr>
                <w:rFonts w:hint="eastAsia" w:ascii="Times New Roman" w:hAnsi="Times New Roman" w:cs="Times New Roman"/>
                <w:sz w:val="24"/>
                <w:szCs w:val="24"/>
                <w:lang w:eastAsia="zh-CN"/>
              </w:rPr>
              <w:t>中华人民共和国固体废物污染环境防治法</w:t>
            </w:r>
            <w:r>
              <w:rPr>
                <w:rFonts w:ascii="Times New Roman" w:hAnsi="Times New Roman" w:cs="Times New Roman"/>
                <w:sz w:val="24"/>
                <w:szCs w:val="24"/>
              </w:rPr>
              <w:t>》的相关规定及《一般工业固体废弃物贮存和填埋污染控制标准》（GB18599-2020）。</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5、生态</w:t>
            </w:r>
          </w:p>
          <w:p>
            <w:pPr>
              <w:autoSpaceDE w:val="0"/>
              <w:autoSpaceDN w:val="0"/>
              <w:adjustRightInd w:val="0"/>
              <w:snapToGrid w:val="0"/>
              <w:spacing w:line="360" w:lineRule="auto"/>
              <w:ind w:firstLine="480" w:firstLineChars="200"/>
              <w:rPr>
                <w:rFonts w:ascii="Times New Roman" w:hAnsi="Times New Roman" w:cs="Times New Roman"/>
                <w:kern w:val="0"/>
                <w:szCs w:val="21"/>
              </w:rPr>
            </w:pPr>
            <w:r>
              <w:rPr>
                <w:rFonts w:ascii="Times New Roman" w:hAnsi="Times New Roman" w:cs="Times New Roman"/>
                <w:sz w:val="24"/>
                <w:szCs w:val="24"/>
              </w:rPr>
              <w:t>以不破坏</w:t>
            </w:r>
            <w:r>
              <w:rPr>
                <w:rFonts w:hint="eastAsia" w:ascii="Times New Roman" w:hAnsi="Times New Roman" w:cs="Times New Roman"/>
                <w:sz w:val="24"/>
                <w:szCs w:val="24"/>
                <w:lang w:val="en-US" w:eastAsia="zh-CN"/>
              </w:rPr>
              <w:t>大小渠道、管道</w:t>
            </w:r>
            <w:r>
              <w:rPr>
                <w:rFonts w:hint="eastAsia" w:ascii="Times New Roman" w:hAnsi="Times New Roman" w:cs="Times New Roman"/>
                <w:sz w:val="24"/>
                <w:szCs w:val="24"/>
              </w:rPr>
              <w:t>水</w:t>
            </w:r>
            <w:r>
              <w:rPr>
                <w:rFonts w:ascii="Times New Roman" w:hAnsi="Times New Roman" w:cs="Times New Roman"/>
                <w:sz w:val="24"/>
                <w:szCs w:val="24"/>
              </w:rPr>
              <w:t>生生态环境及项目沿线生态系统的完整性为目标，水土流失以不增加现有土壤侵蚀强度为目标。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其他</w:t>
            </w:r>
          </w:p>
        </w:tc>
        <w:tc>
          <w:tcPr>
            <w:tcW w:w="9524" w:type="dxa"/>
            <w:vAlign w:val="center"/>
          </w:tcPr>
          <w:p>
            <w:pPr>
              <w:autoSpaceDE w:val="0"/>
              <w:autoSpaceDN w:val="0"/>
              <w:adjustRightInd w:val="0"/>
              <w:snapToGrid w:val="0"/>
              <w:spacing w:line="276" w:lineRule="auto"/>
              <w:ind w:firstLine="480" w:firstLineChars="200"/>
              <w:rPr>
                <w:rFonts w:ascii="Times New Roman" w:hAnsi="Times New Roman" w:cs="Times New Roman"/>
              </w:rPr>
            </w:pPr>
            <w:r>
              <w:rPr>
                <w:rFonts w:ascii="Times New Roman" w:hAnsi="Times New Roman" w:cs="Times New Roman"/>
                <w:sz w:val="24"/>
                <w:szCs w:val="24"/>
              </w:rPr>
              <w:t>本项目为</w:t>
            </w:r>
            <w:r>
              <w:rPr>
                <w:rFonts w:hint="eastAsia" w:ascii="Times New Roman" w:hAnsi="Times New Roman" w:cs="Times New Roman"/>
                <w:sz w:val="24"/>
                <w:szCs w:val="24"/>
                <w:lang w:val="en-US" w:eastAsia="zh-CN"/>
              </w:rPr>
              <w:t>灌区整治</w:t>
            </w:r>
            <w:r>
              <w:rPr>
                <w:rFonts w:ascii="Times New Roman" w:hAnsi="Times New Roman" w:cs="Times New Roman"/>
                <w:sz w:val="24"/>
                <w:szCs w:val="24"/>
              </w:rPr>
              <w:t>工程，为非污染生态项目，营运期不涉及总量控制指标。</w:t>
            </w:r>
          </w:p>
          <w:p>
            <w:pPr>
              <w:autoSpaceDE w:val="0"/>
              <w:autoSpaceDN w:val="0"/>
              <w:adjustRightInd w:val="0"/>
              <w:snapToGrid w:val="0"/>
              <w:spacing w:line="276" w:lineRule="auto"/>
              <w:ind w:firstLine="420" w:firstLineChars="200"/>
              <w:rPr>
                <w:rFonts w:ascii="Times New Roman" w:hAnsi="Times New Roman" w:cs="Times New Roman"/>
                <w:kern w:val="0"/>
                <w:szCs w:val="21"/>
              </w:rPr>
            </w:pPr>
          </w:p>
        </w:tc>
      </w:tr>
    </w:tbl>
    <w:p>
      <w:pPr>
        <w:adjustRightInd w:val="0"/>
        <w:snapToGrid w:val="0"/>
        <w:spacing w:line="288" w:lineRule="auto"/>
        <w:jc w:val="center"/>
        <w:rPr>
          <w:rFonts w:ascii="Times New Roman" w:hAnsi="Times New Roman" w:eastAsia="黑体" w:cs="Times New Roman"/>
          <w:sz w:val="30"/>
          <w:szCs w:val="30"/>
        </w:rPr>
        <w:sectPr>
          <w:pgSz w:w="11906" w:h="16838"/>
          <w:pgMar w:top="1440" w:right="1080" w:bottom="1440" w:left="1080" w:header="851" w:footer="992" w:gutter="0"/>
          <w:cols w:space="425" w:num="1"/>
          <w:docGrid w:type="lines" w:linePitch="312" w:charSpace="0"/>
        </w:sectPr>
      </w:pPr>
    </w:p>
    <w:p>
      <w:pPr>
        <w:pStyle w:val="22"/>
        <w:rPr>
          <w:rFonts w:ascii="Times New Roman" w:hAnsi="Times New Roman" w:cs="Times New Roman"/>
        </w:rPr>
      </w:pPr>
      <w:r>
        <w:rPr>
          <w:rFonts w:ascii="Times New Roman" w:hAnsi="Times New Roman" w:cs="Times New Roman"/>
        </w:rPr>
        <w:t>四、生态环境影响分析</w:t>
      </w:r>
    </w:p>
    <w:tbl>
      <w:tblPr>
        <w:tblStyle w:val="27"/>
        <w:tblW w:w="9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9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 w:type="dxa"/>
            <w:vAlign w:val="center"/>
          </w:tcPr>
          <w:p>
            <w:pPr>
              <w:autoSpaceDE w:val="0"/>
              <w:autoSpaceDN w:val="0"/>
              <w:adjustRightInd w:val="0"/>
              <w:snapToGrid w:val="0"/>
              <w:spacing w:line="360" w:lineRule="auto"/>
              <w:jc w:val="center"/>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施工期生态环境影响分析</w:t>
            </w:r>
          </w:p>
        </w:tc>
        <w:tc>
          <w:tcPr>
            <w:tcW w:w="9536" w:type="dxa"/>
            <w:vAlign w:val="center"/>
          </w:tcPr>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本项目施工期环境影响主要来自于施工扬尘、施工噪声、施工人员生活污水、</w:t>
            </w:r>
            <w:r>
              <w:rPr>
                <w:rFonts w:hint="eastAsia" w:ascii="Times New Roman" w:hAnsi="Times New Roman" w:cs="Times New Roman"/>
                <w:color w:val="000000" w:themeColor="text1"/>
                <w:sz w:val="24"/>
                <w:szCs w:val="24"/>
                <w:lang w:val="en-US" w:eastAsia="zh-CN"/>
                <w14:textFill>
                  <w14:solidFill>
                    <w14:schemeClr w14:val="tx1"/>
                  </w14:solidFill>
                </w14:textFill>
              </w:rPr>
              <w:t>清淤污泥、</w:t>
            </w:r>
            <w:r>
              <w:rPr>
                <w:rFonts w:ascii="Times New Roman" w:hAnsi="Times New Roman" w:cs="Times New Roman"/>
                <w:color w:val="000000" w:themeColor="text1"/>
                <w:sz w:val="24"/>
                <w:szCs w:val="24"/>
                <w14:textFill>
                  <w14:solidFill>
                    <w14:schemeClr w14:val="tx1"/>
                  </w14:solidFill>
                </w14:textFill>
              </w:rPr>
              <w:t>生活垃圾等造成的环境影响。同时，施工期还存在一定的社会环境影响。施工期结束后这些影响将会随之消失。</w:t>
            </w:r>
          </w:p>
          <w:p>
            <w:pPr>
              <w:autoSpaceDE w:val="0"/>
              <w:autoSpaceDN w:val="0"/>
              <w:adjustRightInd w:val="0"/>
              <w:snapToGrid w:val="0"/>
              <w:spacing w:line="360" w:lineRule="auto"/>
              <w:rPr>
                <w:rFonts w:ascii="Times New Roman" w:hAnsi="Times New Roman" w:cs="Times New Roman"/>
                <w:b/>
                <w:color w:val="000000" w:themeColor="text1"/>
                <w:sz w:val="24"/>
                <w:szCs w:val="24"/>
                <w14:textFill>
                  <w14:solidFill>
                    <w14:schemeClr w14:val="tx1"/>
                  </w14:solidFill>
                </w14:textFill>
              </w:rPr>
            </w:pPr>
            <w:r>
              <w:rPr>
                <w:rFonts w:hint="eastAsia" w:ascii="Times New Roman" w:hAnsi="Times New Roman" w:cs="Times New Roman"/>
                <w:b/>
                <w:color w:val="000000" w:themeColor="text1"/>
                <w:sz w:val="24"/>
                <w:szCs w:val="24"/>
                <w14:textFill>
                  <w14:solidFill>
                    <w14:schemeClr w14:val="tx1"/>
                  </w14:solidFill>
                </w14:textFill>
              </w:rPr>
              <w:t>一、</w:t>
            </w:r>
            <w:r>
              <w:rPr>
                <w:rFonts w:ascii="Times New Roman" w:hAnsi="Times New Roman" w:cs="Times New Roman"/>
                <w:b/>
                <w:color w:val="000000" w:themeColor="text1"/>
                <w:sz w:val="24"/>
                <w:szCs w:val="24"/>
                <w14:textFill>
                  <w14:solidFill>
                    <w14:schemeClr w14:val="tx1"/>
                  </w14:solidFill>
                </w14:textFill>
              </w:rPr>
              <w:t>生态环境影响分析</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工程建设期间主要生态环境影响表现在</w:t>
            </w:r>
            <w:r>
              <w:rPr>
                <w:rFonts w:hint="eastAsia" w:ascii="Times New Roman" w:hAnsi="Times New Roman" w:cs="Times New Roman"/>
                <w:color w:val="000000" w:themeColor="text1"/>
                <w:sz w:val="24"/>
                <w:szCs w:val="24"/>
                <w:lang w:val="en-US" w:eastAsia="zh-CN"/>
                <w14:textFill>
                  <w14:solidFill>
                    <w14:schemeClr w14:val="tx1"/>
                  </w14:solidFill>
                </w14:textFill>
              </w:rPr>
              <w:t>开挖渠道、更换管道</w:t>
            </w:r>
            <w:r>
              <w:rPr>
                <w:rFonts w:ascii="Times New Roman" w:hAnsi="Times New Roman" w:cs="Times New Roman"/>
                <w:color w:val="000000" w:themeColor="text1"/>
                <w:sz w:val="24"/>
                <w:szCs w:val="24"/>
                <w14:textFill>
                  <w14:solidFill>
                    <w14:schemeClr w14:val="tx1"/>
                  </w14:solidFill>
                </w14:textFill>
              </w:rPr>
              <w:t>占用土地</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现有渠道整治</w:t>
            </w:r>
            <w:r>
              <w:rPr>
                <w:rFonts w:ascii="Times New Roman" w:hAnsi="Times New Roman" w:cs="Times New Roman"/>
                <w:color w:val="000000" w:themeColor="text1"/>
                <w:sz w:val="24"/>
                <w:szCs w:val="24"/>
                <w14:textFill>
                  <w14:solidFill>
                    <w14:schemeClr w14:val="tx1"/>
                  </w14:solidFill>
                </w14:textFill>
              </w:rPr>
              <w:t>破坏</w:t>
            </w:r>
            <w:r>
              <w:rPr>
                <w:rFonts w:hint="eastAsia" w:ascii="Times New Roman" w:hAnsi="Times New Roman" w:cs="Times New Roman"/>
                <w:color w:val="000000" w:themeColor="text1"/>
                <w:sz w:val="24"/>
                <w:szCs w:val="24"/>
                <w:lang w:val="en-US" w:eastAsia="zh-CN"/>
                <w14:textFill>
                  <w14:solidFill>
                    <w14:schemeClr w14:val="tx1"/>
                  </w14:solidFill>
                </w14:textFill>
              </w:rPr>
              <w:t>周边</w:t>
            </w:r>
            <w:r>
              <w:rPr>
                <w:rFonts w:hint="eastAsia" w:ascii="Times New Roman" w:hAnsi="Times New Roman" w:cs="Times New Roman"/>
                <w:color w:val="000000" w:themeColor="text1"/>
                <w:sz w:val="24"/>
                <w:szCs w:val="24"/>
                <w14:textFill>
                  <w14:solidFill>
                    <w14:schemeClr w14:val="tx1"/>
                  </w14:solidFill>
                </w14:textFill>
              </w:rPr>
              <w:t>植被</w:t>
            </w: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对动物生境产生切割、</w:t>
            </w:r>
            <w:r>
              <w:rPr>
                <w:rFonts w:ascii="Times New Roman" w:hAnsi="Times New Roman" w:cs="Times New Roman"/>
                <w:color w:val="000000" w:themeColor="text1"/>
                <w:sz w:val="24"/>
                <w:szCs w:val="24"/>
                <w14:textFill>
                  <w14:solidFill>
                    <w14:schemeClr w14:val="tx1"/>
                  </w14:solidFill>
                </w14:textFill>
              </w:rPr>
              <w:t>扰动地表、改变原有地貌</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以及由此引起的局部水土流失等。</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4"/>
                <w14:textFill>
                  <w14:solidFill>
                    <w14:schemeClr w14:val="tx1"/>
                  </w14:solidFill>
                </w14:textFill>
              </w:rPr>
              <w:t>（一）</w:t>
            </w:r>
            <w:r>
              <w:rPr>
                <w:rFonts w:ascii="Times New Roman" w:hAnsi="Times New Roman" w:cs="Times New Roman"/>
                <w:b/>
                <w:bCs/>
                <w:color w:val="000000" w:themeColor="text1"/>
                <w:sz w:val="24"/>
                <w:szCs w:val="24"/>
                <w14:textFill>
                  <w14:solidFill>
                    <w14:schemeClr w14:val="tx1"/>
                  </w14:solidFill>
                </w14:textFill>
              </w:rPr>
              <w:t>工程占地影响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1、</w:t>
            </w:r>
            <w:r>
              <w:rPr>
                <w:rFonts w:ascii="Times New Roman" w:hAnsi="Times New Roman" w:cs="Times New Roman"/>
                <w:color w:val="000000" w:themeColor="text1"/>
                <w:sz w:val="24"/>
                <w:szCs w:val="24"/>
                <w14:textFill>
                  <w14:solidFill>
                    <w14:schemeClr w14:val="tx1"/>
                  </w14:solidFill>
                </w14:textFill>
              </w:rPr>
              <w:t>占地生态系统变化趋势分析</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工程占地对生态环境的影响主要表现在临时占地对植被、土壤、自然景观等生态要素的影响，其影响程度以</w:t>
            </w:r>
            <w:r>
              <w:rPr>
                <w:rFonts w:hint="eastAsia" w:ascii="Times New Roman" w:hAnsi="Times New Roman" w:cs="Times New Roman"/>
                <w:color w:val="000000" w:themeColor="text1"/>
                <w:sz w:val="24"/>
                <w:szCs w:val="24"/>
                <w:lang w:val="en-US" w:eastAsia="zh-CN"/>
                <w14:textFill>
                  <w14:solidFill>
                    <w14:schemeClr w14:val="tx1"/>
                  </w14:solidFill>
                </w14:textFill>
              </w:rPr>
              <w:t>表土</w:t>
            </w:r>
            <w:r>
              <w:rPr>
                <w:rFonts w:hint="eastAsia" w:ascii="Times New Roman" w:hAnsi="Times New Roman" w:cs="Times New Roman"/>
                <w:color w:val="000000" w:themeColor="text1"/>
                <w:sz w:val="24"/>
                <w:szCs w:val="24"/>
                <w14:textFill>
                  <w14:solidFill>
                    <w14:schemeClr w14:val="tx1"/>
                  </w14:solidFill>
                </w14:textFill>
              </w:rPr>
              <w:t>开挖</w:t>
            </w:r>
            <w:r>
              <w:rPr>
                <w:rFonts w:ascii="Times New Roman" w:hAnsi="Times New Roman" w:cs="Times New Roman"/>
                <w:color w:val="000000" w:themeColor="text1"/>
                <w:sz w:val="24"/>
                <w:szCs w:val="24"/>
                <w14:textFill>
                  <w14:solidFill>
                    <w14:schemeClr w14:val="tx1"/>
                  </w14:solidFill>
                </w14:textFill>
              </w:rPr>
              <w:t>最为突出。施工碾压，人员活动踩踏地表，造成植被损伤，影响植被生长发育。同时，破坏土壤结构，形成斑块状扩散，影响景观。</w:t>
            </w:r>
          </w:p>
          <w:p>
            <w:pPr>
              <w:autoSpaceDE w:val="0"/>
              <w:autoSpaceDN w:val="0"/>
              <w:adjustRightInd w:val="0"/>
              <w:snapToGrid w:val="0"/>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表4-</w:t>
            </w:r>
            <w:r>
              <w:rPr>
                <w:rFonts w:hint="eastAsia" w:ascii="Times New Roman" w:hAnsi="Times New Roman" w:eastAsia="宋体" w:cs="Times New Roman"/>
                <w:b/>
                <w:bCs/>
                <w:color w:val="000000" w:themeColor="text1"/>
                <w:szCs w:val="21"/>
                <w14:textFill>
                  <w14:solidFill>
                    <w14:schemeClr w14:val="tx1"/>
                  </w14:solidFill>
                </w14:textFill>
              </w:rPr>
              <w:t>1</w:t>
            </w:r>
            <w:r>
              <w:rPr>
                <w:rFonts w:ascii="Times New Roman" w:hAnsi="Times New Roman" w:eastAsia="宋体" w:cs="Times New Roman"/>
                <w:b/>
                <w:bCs/>
                <w:color w:val="000000" w:themeColor="text1"/>
                <w:szCs w:val="21"/>
                <w14:textFill>
                  <w14:solidFill>
                    <w14:schemeClr w14:val="tx1"/>
                  </w14:solidFill>
                </w14:textFill>
              </w:rPr>
              <w:t xml:space="preserve"> 工程建设对生态系统的影响分析</w:t>
            </w:r>
          </w:p>
          <w:tbl>
            <w:tblPr>
              <w:tblStyle w:val="26"/>
              <w:tblW w:w="9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3"/>
              <w:gridCol w:w="1235"/>
              <w:gridCol w:w="1773"/>
              <w:gridCol w:w="1136"/>
              <w:gridCol w:w="974"/>
              <w:gridCol w:w="974"/>
              <w:gridCol w:w="1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3" w:type="dxa"/>
                  <w:shd w:val="clear" w:color="auto" w:fill="auto"/>
                  <w:vAlign w:val="center"/>
                </w:tcPr>
                <w:p>
                  <w:pPr>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工程类型</w:t>
                  </w:r>
                </w:p>
              </w:tc>
              <w:tc>
                <w:tcPr>
                  <w:tcW w:w="1235" w:type="dxa"/>
                  <w:shd w:val="clear" w:color="auto" w:fill="auto"/>
                  <w:vAlign w:val="center"/>
                </w:tcPr>
                <w:p>
                  <w:pPr>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影响范围</w:t>
                  </w:r>
                </w:p>
              </w:tc>
              <w:tc>
                <w:tcPr>
                  <w:tcW w:w="1773" w:type="dxa"/>
                  <w:shd w:val="clear" w:color="auto" w:fill="auto"/>
                  <w:vAlign w:val="center"/>
                </w:tcPr>
                <w:p>
                  <w:pPr>
                    <w:jc w:val="center"/>
                    <w:rPr>
                      <w:rFonts w:ascii="Times New Roman" w:hAnsi="Times New Roman" w:cs="Times New Roman"/>
                      <w:b/>
                      <w:bCs/>
                      <w:color w:val="000000" w:themeColor="text1"/>
                      <w:szCs w:val="21"/>
                      <w14:textFill>
                        <w14:solidFill>
                          <w14:schemeClr w14:val="tx1"/>
                        </w14:solidFill>
                      </w14:textFill>
                    </w:rPr>
                  </w:pPr>
                  <w:r>
                    <w:rPr>
                      <w:rFonts w:hint="eastAsia" w:ascii="Times New Roman" w:hAnsi="Times New Roman" w:cs="Times New Roman"/>
                      <w:b/>
                      <w:bCs/>
                      <w:color w:val="000000" w:themeColor="text1"/>
                      <w:szCs w:val="21"/>
                      <w14:textFill>
                        <w14:solidFill>
                          <w14:schemeClr w14:val="tx1"/>
                        </w14:solidFill>
                      </w14:textFill>
                    </w:rPr>
                    <w:t>受影响生态因子</w:t>
                  </w:r>
                </w:p>
              </w:tc>
              <w:tc>
                <w:tcPr>
                  <w:tcW w:w="1136" w:type="dxa"/>
                  <w:shd w:val="clear" w:color="auto" w:fill="auto"/>
                  <w:vAlign w:val="center"/>
                </w:tcPr>
                <w:p>
                  <w:pPr>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影响时段</w:t>
                  </w:r>
                </w:p>
              </w:tc>
              <w:tc>
                <w:tcPr>
                  <w:tcW w:w="974" w:type="dxa"/>
                  <w:shd w:val="clear" w:color="auto" w:fill="auto"/>
                  <w:vAlign w:val="center"/>
                </w:tcPr>
                <w:p>
                  <w:pPr>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持续时间</w:t>
                  </w:r>
                </w:p>
              </w:tc>
              <w:tc>
                <w:tcPr>
                  <w:tcW w:w="974" w:type="dxa"/>
                  <w:shd w:val="clear" w:color="auto" w:fill="auto"/>
                  <w:vAlign w:val="center"/>
                </w:tcPr>
                <w:p>
                  <w:pPr>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是否可逆</w:t>
                  </w:r>
                </w:p>
              </w:tc>
              <w:tc>
                <w:tcPr>
                  <w:tcW w:w="1795" w:type="dxa"/>
                  <w:shd w:val="clear" w:color="auto" w:fill="auto"/>
                  <w:vAlign w:val="center"/>
                </w:tcPr>
                <w:p>
                  <w:pPr>
                    <w:jc w:val="center"/>
                    <w:rPr>
                      <w:rFonts w:ascii="Times New Roman" w:hAnsi="Times New Roman" w:cs="Times New Roman"/>
                      <w:b/>
                      <w:bCs/>
                      <w:color w:val="000000" w:themeColor="text1"/>
                      <w:szCs w:val="21"/>
                      <w14:textFill>
                        <w14:solidFill>
                          <w14:schemeClr w14:val="tx1"/>
                        </w14:solidFill>
                      </w14:textFill>
                    </w:rPr>
                  </w:pPr>
                  <w:r>
                    <w:rPr>
                      <w:rFonts w:ascii="Times New Roman" w:hAnsi="Times New Roman" w:cs="Times New Roman"/>
                      <w:b/>
                      <w:bCs/>
                      <w:color w:val="000000" w:themeColor="text1"/>
                      <w:szCs w:val="21"/>
                      <w14:textFill>
                        <w14:solidFill>
                          <w14:schemeClr w14:val="tx1"/>
                        </w14:solidFill>
                      </w14:textFill>
                    </w:rPr>
                    <w:t>变化趋势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1423" w:type="dxa"/>
                  <w:shd w:val="clear" w:color="auto" w:fill="auto"/>
                  <w:vAlign w:val="center"/>
                </w:tcPr>
                <w:p>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新管道开挖</w:t>
                  </w:r>
                </w:p>
              </w:tc>
              <w:tc>
                <w:tcPr>
                  <w:tcW w:w="1235" w:type="dxa"/>
                  <w:shd w:val="clear" w:color="auto" w:fill="auto"/>
                  <w:vAlign w:val="center"/>
                </w:tcPr>
                <w:p>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廊道</w:t>
                  </w:r>
                  <w:r>
                    <w:rPr>
                      <w:rFonts w:hint="eastAsia" w:ascii="Times New Roman" w:hAnsi="Times New Roman" w:cs="Times New Roman"/>
                      <w:color w:val="000000" w:themeColor="text1"/>
                      <w:szCs w:val="21"/>
                      <w14:textFill>
                        <w14:solidFill>
                          <w14:schemeClr w14:val="tx1"/>
                        </w14:solidFill>
                      </w14:textFill>
                    </w:rPr>
                    <w:t>占用范围</w:t>
                  </w:r>
                  <w:r>
                    <w:rPr>
                      <w:rFonts w:hint="eastAsia" w:ascii="Times New Roman" w:hAnsi="Times New Roman" w:cs="Times New Roman"/>
                      <w:color w:val="000000" w:themeColor="text1"/>
                      <w:szCs w:val="21"/>
                      <w:lang w:eastAsia="zh-CN"/>
                      <w14:textFill>
                        <w14:solidFill>
                          <w14:schemeClr w14:val="tx1"/>
                        </w14:solidFill>
                      </w14:textFill>
                    </w:rPr>
                    <w:t>、</w:t>
                  </w:r>
                  <w:r>
                    <w:rPr>
                      <w:rFonts w:hint="eastAsia" w:ascii="Times New Roman" w:hAnsi="Times New Roman" w:cs="Times New Roman"/>
                      <w:color w:val="000000" w:themeColor="text1"/>
                      <w:szCs w:val="21"/>
                      <w:lang w:val="en-US" w:eastAsia="zh-CN"/>
                      <w14:textFill>
                        <w14:solidFill>
                          <w14:schemeClr w14:val="tx1"/>
                        </w14:solidFill>
                      </w14:textFill>
                    </w:rPr>
                    <w:t>施工范围</w:t>
                  </w:r>
                </w:p>
              </w:tc>
              <w:tc>
                <w:tcPr>
                  <w:tcW w:w="1773"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陆生动植物生境、土壤环境、生物量等</w:t>
                  </w:r>
                </w:p>
              </w:tc>
              <w:tc>
                <w:tcPr>
                  <w:tcW w:w="1136"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施工期</w:t>
                  </w:r>
                </w:p>
              </w:tc>
              <w:tc>
                <w:tcPr>
                  <w:tcW w:w="974"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临时</w:t>
                  </w:r>
                </w:p>
              </w:tc>
              <w:tc>
                <w:tcPr>
                  <w:tcW w:w="974" w:type="dxa"/>
                  <w:shd w:val="clear" w:color="auto" w:fill="auto"/>
                  <w:vAlign w:val="center"/>
                </w:tcPr>
                <w:p>
                  <w:pPr>
                    <w:jc w:val="center"/>
                    <w:rPr>
                      <w:rFonts w:hint="eastAsia" w:ascii="Times New Roman" w:hAnsi="Times New Roman" w:cs="Times New Roman" w:eastAsiaTheme="minorEastAsia"/>
                      <w:color w:val="000000" w:themeColor="text1"/>
                      <w:szCs w:val="21"/>
                      <w:lang w:eastAsia="zh-CN"/>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可逆</w:t>
                  </w:r>
                  <w:r>
                    <w:rPr>
                      <w:rFonts w:hint="eastAsia" w:ascii="Times New Roman" w:hAnsi="Times New Roman" w:cs="Times New Roman"/>
                      <w:color w:val="000000" w:themeColor="text1"/>
                      <w:szCs w:val="21"/>
                      <w:lang w:eastAsia="zh-CN"/>
                      <w14:textFill>
                        <w14:solidFill>
                          <w14:schemeClr w14:val="tx1"/>
                        </w14:solidFill>
                      </w14:textFill>
                    </w:rPr>
                    <w:t>（</w:t>
                  </w:r>
                  <w:r>
                    <w:rPr>
                      <w:rFonts w:hint="eastAsia" w:ascii="Times New Roman" w:hAnsi="Times New Roman" w:cs="Times New Roman"/>
                      <w:color w:val="000000" w:themeColor="text1"/>
                      <w:szCs w:val="21"/>
                      <w:lang w:val="en-US" w:eastAsia="zh-CN"/>
                      <w14:textFill>
                        <w14:solidFill>
                          <w14:schemeClr w14:val="tx1"/>
                        </w14:solidFill>
                      </w14:textFill>
                    </w:rPr>
                    <w:t>开挖后回填</w:t>
                  </w:r>
                  <w:r>
                    <w:rPr>
                      <w:rFonts w:hint="eastAsia" w:ascii="Times New Roman" w:hAnsi="Times New Roman" w:cs="Times New Roman"/>
                      <w:color w:val="000000" w:themeColor="text1"/>
                      <w:szCs w:val="21"/>
                      <w:lang w:eastAsia="zh-CN"/>
                      <w14:textFill>
                        <w14:solidFill>
                          <w14:schemeClr w14:val="tx1"/>
                        </w14:solidFill>
                      </w14:textFill>
                    </w:rPr>
                    <w:t>）</w:t>
                  </w:r>
                </w:p>
              </w:tc>
              <w:tc>
                <w:tcPr>
                  <w:tcW w:w="1795" w:type="dxa"/>
                  <w:shd w:val="clear" w:color="auto" w:fill="auto"/>
                  <w:vAlign w:val="center"/>
                </w:tcPr>
                <w:p>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农田</w:t>
                  </w:r>
                  <w:r>
                    <w:rPr>
                      <w:rFonts w:ascii="Times New Roman" w:hAnsi="Times New Roman" w:cs="Times New Roman"/>
                      <w:color w:val="000000" w:themeColor="text1"/>
                      <w:szCs w:val="21"/>
                      <w14:textFill>
                        <w14:solidFill>
                          <w14:schemeClr w14:val="tx1"/>
                        </w14:solidFill>
                      </w14:textFill>
                    </w:rPr>
                    <w:t>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1423" w:type="dxa"/>
                  <w:shd w:val="clear" w:color="auto" w:fill="auto"/>
                  <w:vAlign w:val="center"/>
                </w:tcPr>
                <w:p>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渠道整治</w:t>
                  </w:r>
                </w:p>
              </w:tc>
              <w:tc>
                <w:tcPr>
                  <w:tcW w:w="1235" w:type="dxa"/>
                  <w:shd w:val="clear" w:color="auto" w:fill="auto"/>
                  <w:vAlign w:val="center"/>
                </w:tcPr>
                <w:p>
                  <w:pPr>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渠道</w:t>
                  </w:r>
                  <w:r>
                    <w:rPr>
                      <w:rFonts w:hint="eastAsia" w:ascii="Times New Roman" w:hAnsi="Times New Roman" w:cs="Times New Roman"/>
                      <w:color w:val="000000" w:themeColor="text1"/>
                      <w:szCs w:val="21"/>
                      <w14:textFill>
                        <w14:solidFill>
                          <w14:schemeClr w14:val="tx1"/>
                        </w14:solidFill>
                      </w14:textFill>
                    </w:rPr>
                    <w:t>占用范围</w:t>
                  </w:r>
                  <w:r>
                    <w:rPr>
                      <w:rFonts w:hint="eastAsia" w:ascii="Times New Roman" w:hAnsi="Times New Roman" w:cs="Times New Roman"/>
                      <w:color w:val="000000" w:themeColor="text1"/>
                      <w:szCs w:val="21"/>
                      <w:lang w:eastAsia="zh-CN"/>
                      <w14:textFill>
                        <w14:solidFill>
                          <w14:schemeClr w14:val="tx1"/>
                        </w14:solidFill>
                      </w14:textFill>
                    </w:rPr>
                    <w:t>、</w:t>
                  </w:r>
                  <w:r>
                    <w:rPr>
                      <w:rFonts w:hint="eastAsia" w:ascii="Times New Roman" w:hAnsi="Times New Roman" w:cs="Times New Roman"/>
                      <w:color w:val="000000" w:themeColor="text1"/>
                      <w:szCs w:val="21"/>
                      <w:lang w:val="en-US" w:eastAsia="zh-CN"/>
                      <w14:textFill>
                        <w14:solidFill>
                          <w14:schemeClr w14:val="tx1"/>
                        </w14:solidFill>
                      </w14:textFill>
                    </w:rPr>
                    <w:t>施工范围</w:t>
                  </w:r>
                </w:p>
              </w:tc>
              <w:tc>
                <w:tcPr>
                  <w:tcW w:w="1773" w:type="dxa"/>
                  <w:shd w:val="clear" w:color="auto" w:fill="auto"/>
                  <w:vAlign w:val="center"/>
                </w:tcPr>
                <w:p>
                  <w:pPr>
                    <w:jc w:val="center"/>
                    <w:rPr>
                      <w:rFonts w:hint="eastAsia"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陆生动植物生境、</w:t>
                  </w:r>
                  <w:r>
                    <w:rPr>
                      <w:rFonts w:hint="eastAsia" w:ascii="Times New Roman" w:hAnsi="Times New Roman" w:cs="Times New Roman"/>
                      <w:color w:val="000000" w:themeColor="text1"/>
                      <w:szCs w:val="21"/>
                      <w:lang w:val="en-US" w:eastAsia="zh-CN"/>
                      <w14:textFill>
                        <w14:solidFill>
                          <w14:schemeClr w14:val="tx1"/>
                        </w14:solidFill>
                      </w14:textFill>
                    </w:rPr>
                    <w:t>水</w:t>
                  </w:r>
                  <w:r>
                    <w:rPr>
                      <w:rFonts w:hint="eastAsia" w:ascii="Times New Roman" w:hAnsi="Times New Roman" w:cs="Times New Roman"/>
                      <w:color w:val="000000" w:themeColor="text1"/>
                      <w:szCs w:val="21"/>
                      <w14:textFill>
                        <w14:solidFill>
                          <w14:schemeClr w14:val="tx1"/>
                        </w14:solidFill>
                      </w14:textFill>
                    </w:rPr>
                    <w:t>生动植物生境、土壤环境、生物量等</w:t>
                  </w:r>
                </w:p>
              </w:tc>
              <w:tc>
                <w:tcPr>
                  <w:tcW w:w="1136"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施工期</w:t>
                  </w:r>
                </w:p>
              </w:tc>
              <w:tc>
                <w:tcPr>
                  <w:tcW w:w="974" w:type="dxa"/>
                  <w:shd w:val="clear" w:color="auto" w:fill="auto"/>
                  <w:vAlign w:val="center"/>
                </w:tcPr>
                <w:p>
                  <w:pPr>
                    <w:jc w:val="center"/>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临时</w:t>
                  </w:r>
                </w:p>
              </w:tc>
              <w:tc>
                <w:tcPr>
                  <w:tcW w:w="974" w:type="dxa"/>
                  <w:shd w:val="clear" w:color="auto" w:fill="auto"/>
                  <w:vAlign w:val="center"/>
                </w:tcPr>
                <w:p>
                  <w:pPr>
                    <w:jc w:val="center"/>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可逆</w:t>
                  </w:r>
                </w:p>
              </w:tc>
              <w:tc>
                <w:tcPr>
                  <w:tcW w:w="1795" w:type="dxa"/>
                  <w:shd w:val="clear" w:color="auto" w:fill="auto"/>
                  <w:vAlign w:val="center"/>
                </w:tcPr>
                <w:p>
                  <w:pPr>
                    <w:jc w:val="center"/>
                    <w:rPr>
                      <w:rFonts w:hint="eastAsia" w:ascii="Times New Roman" w:hAnsi="Times New Roman" w:cs="Times New Roman"/>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农田</w:t>
                  </w:r>
                  <w:r>
                    <w:rPr>
                      <w:rFonts w:ascii="Times New Roman" w:hAnsi="Times New Roman" w:cs="Times New Roman"/>
                      <w:color w:val="000000" w:themeColor="text1"/>
                      <w:szCs w:val="21"/>
                      <w14:textFill>
                        <w14:solidFill>
                          <w14:schemeClr w14:val="tx1"/>
                        </w14:solidFill>
                      </w14:textFill>
                    </w:rPr>
                    <w:t>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3"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临时</w:t>
                  </w:r>
                  <w:r>
                    <w:rPr>
                      <w:rFonts w:ascii="Times New Roman" w:hAnsi="Times New Roman" w:cs="Times New Roman"/>
                      <w:color w:val="000000" w:themeColor="text1"/>
                      <w:szCs w:val="21"/>
                      <w14:textFill>
                        <w14:solidFill>
                          <w14:schemeClr w14:val="tx1"/>
                        </w14:solidFill>
                      </w14:textFill>
                    </w:rPr>
                    <w:t>施工场地</w:t>
                  </w:r>
                </w:p>
              </w:tc>
              <w:tc>
                <w:tcPr>
                  <w:tcW w:w="1235"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占地</w:t>
                  </w:r>
                  <w:r>
                    <w:rPr>
                      <w:rFonts w:hint="eastAsia" w:ascii="Times New Roman" w:hAnsi="Times New Roman" w:cs="Times New Roman"/>
                      <w:color w:val="000000" w:themeColor="text1"/>
                      <w:szCs w:val="21"/>
                      <w14:textFill>
                        <w14:solidFill>
                          <w14:schemeClr w14:val="tx1"/>
                        </w14:solidFill>
                      </w14:textFill>
                    </w:rPr>
                    <w:t>区域</w:t>
                  </w:r>
                </w:p>
              </w:tc>
              <w:tc>
                <w:tcPr>
                  <w:tcW w:w="1773" w:type="dxa"/>
                  <w:vMerge w:val="restart"/>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陆生动植物生境、</w:t>
                  </w:r>
                  <w:r>
                    <w:rPr>
                      <w:rFonts w:hint="eastAsia" w:ascii="Times New Roman" w:hAnsi="Times New Roman" w:cs="Times New Roman"/>
                      <w:color w:val="000000" w:themeColor="text1"/>
                      <w:szCs w:val="21"/>
                      <w:lang w:val="en-US" w:eastAsia="zh-CN"/>
                      <w14:textFill>
                        <w14:solidFill>
                          <w14:schemeClr w14:val="tx1"/>
                        </w14:solidFill>
                      </w14:textFill>
                    </w:rPr>
                    <w:t>水</w:t>
                  </w:r>
                  <w:r>
                    <w:rPr>
                      <w:rFonts w:hint="eastAsia" w:ascii="Times New Roman" w:hAnsi="Times New Roman" w:cs="Times New Roman"/>
                      <w:color w:val="000000" w:themeColor="text1"/>
                      <w:szCs w:val="21"/>
                      <w14:textFill>
                        <w14:solidFill>
                          <w14:schemeClr w14:val="tx1"/>
                        </w14:solidFill>
                      </w14:textFill>
                    </w:rPr>
                    <w:t>生动植物生境</w:t>
                  </w:r>
                  <w:r>
                    <w:rPr>
                      <w:rFonts w:hint="eastAsia" w:ascii="Times New Roman" w:hAnsi="Times New Roman" w:cs="Times New Roman"/>
                      <w:color w:val="000000" w:themeColor="text1"/>
                      <w:szCs w:val="21"/>
                      <w:lang w:eastAsia="zh-CN"/>
                      <w14:textFill>
                        <w14:solidFill>
                          <w14:schemeClr w14:val="tx1"/>
                        </w14:solidFill>
                      </w14:textFill>
                    </w:rPr>
                    <w:t>、</w:t>
                  </w:r>
                  <w:r>
                    <w:rPr>
                      <w:rFonts w:hint="eastAsia" w:ascii="Times New Roman" w:hAnsi="Times New Roman" w:cs="Times New Roman"/>
                      <w:color w:val="000000" w:themeColor="text1"/>
                      <w:szCs w:val="21"/>
                      <w14:textFill>
                        <w14:solidFill>
                          <w14:schemeClr w14:val="tx1"/>
                        </w14:solidFill>
                      </w14:textFill>
                    </w:rPr>
                    <w:t>土壤环境、生物量等</w:t>
                  </w:r>
                </w:p>
              </w:tc>
              <w:tc>
                <w:tcPr>
                  <w:tcW w:w="1136"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施工期</w:t>
                  </w:r>
                </w:p>
              </w:tc>
              <w:tc>
                <w:tcPr>
                  <w:tcW w:w="974"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临时</w:t>
                  </w:r>
                </w:p>
              </w:tc>
              <w:tc>
                <w:tcPr>
                  <w:tcW w:w="974"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可逆</w:t>
                  </w:r>
                </w:p>
              </w:tc>
              <w:tc>
                <w:tcPr>
                  <w:tcW w:w="1795"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农田</w:t>
                  </w:r>
                  <w:r>
                    <w:rPr>
                      <w:rFonts w:ascii="Times New Roman" w:hAnsi="Times New Roman" w:cs="Times New Roman"/>
                      <w:color w:val="000000" w:themeColor="text1"/>
                      <w:szCs w:val="21"/>
                      <w14:textFill>
                        <w14:solidFill>
                          <w14:schemeClr w14:val="tx1"/>
                        </w14:solidFill>
                      </w14:textFill>
                    </w:rPr>
                    <w:t>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trPr>
              <w:tc>
                <w:tcPr>
                  <w:tcW w:w="1423"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临时堆土场</w:t>
                  </w:r>
                </w:p>
              </w:tc>
              <w:tc>
                <w:tcPr>
                  <w:tcW w:w="1235"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占地</w:t>
                  </w:r>
                  <w:r>
                    <w:rPr>
                      <w:rFonts w:hint="eastAsia" w:ascii="Times New Roman" w:hAnsi="Times New Roman" w:cs="Times New Roman"/>
                      <w:color w:val="000000" w:themeColor="text1"/>
                      <w:szCs w:val="21"/>
                      <w14:textFill>
                        <w14:solidFill>
                          <w14:schemeClr w14:val="tx1"/>
                        </w14:solidFill>
                      </w14:textFill>
                    </w:rPr>
                    <w:t>区域</w:t>
                  </w:r>
                </w:p>
              </w:tc>
              <w:tc>
                <w:tcPr>
                  <w:tcW w:w="1773" w:type="dxa"/>
                  <w:vMerge w:val="continue"/>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p>
              </w:tc>
              <w:tc>
                <w:tcPr>
                  <w:tcW w:w="1136"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施工期</w:t>
                  </w:r>
                </w:p>
              </w:tc>
              <w:tc>
                <w:tcPr>
                  <w:tcW w:w="974"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临时</w:t>
                  </w:r>
                </w:p>
              </w:tc>
              <w:tc>
                <w:tcPr>
                  <w:tcW w:w="974"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可逆</w:t>
                  </w:r>
                </w:p>
              </w:tc>
              <w:tc>
                <w:tcPr>
                  <w:tcW w:w="1795"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农田</w:t>
                  </w:r>
                  <w:r>
                    <w:rPr>
                      <w:rFonts w:ascii="Times New Roman" w:hAnsi="Times New Roman" w:cs="Times New Roman"/>
                      <w:color w:val="000000" w:themeColor="text1"/>
                      <w:szCs w:val="21"/>
                      <w14:textFill>
                        <w14:solidFill>
                          <w14:schemeClr w14:val="tx1"/>
                        </w14:solidFill>
                      </w14:textFill>
                    </w:rPr>
                    <w:t>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1423" w:type="dxa"/>
                  <w:shd w:val="clear" w:color="auto" w:fill="auto"/>
                  <w:vAlign w:val="center"/>
                </w:tcPr>
                <w:p>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淤泥堆放场</w:t>
                  </w:r>
                </w:p>
              </w:tc>
              <w:tc>
                <w:tcPr>
                  <w:tcW w:w="1235"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占地</w:t>
                  </w:r>
                  <w:r>
                    <w:rPr>
                      <w:rFonts w:hint="eastAsia" w:ascii="Times New Roman" w:hAnsi="Times New Roman" w:cs="Times New Roman"/>
                      <w:color w:val="000000" w:themeColor="text1"/>
                      <w:szCs w:val="21"/>
                      <w14:textFill>
                        <w14:solidFill>
                          <w14:schemeClr w14:val="tx1"/>
                        </w14:solidFill>
                      </w14:textFill>
                    </w:rPr>
                    <w:t>区域</w:t>
                  </w:r>
                </w:p>
              </w:tc>
              <w:tc>
                <w:tcPr>
                  <w:tcW w:w="1773" w:type="dxa"/>
                  <w:vMerge w:val="continue"/>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p>
              </w:tc>
              <w:tc>
                <w:tcPr>
                  <w:tcW w:w="1136" w:type="dxa"/>
                  <w:shd w:val="clear" w:color="auto" w:fill="auto"/>
                  <w:vAlign w:val="center"/>
                </w:tcPr>
                <w:p>
                  <w:pPr>
                    <w:jc w:val="center"/>
                    <w:rPr>
                      <w:rFonts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施工期</w:t>
                  </w:r>
                </w:p>
              </w:tc>
              <w:tc>
                <w:tcPr>
                  <w:tcW w:w="974" w:type="dxa"/>
                  <w:shd w:val="clear" w:color="auto" w:fill="auto"/>
                  <w:vAlign w:val="center"/>
                </w:tcPr>
                <w:p>
                  <w:pPr>
                    <w:jc w:val="center"/>
                    <w:rPr>
                      <w:rFonts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临时</w:t>
                  </w:r>
                </w:p>
              </w:tc>
              <w:tc>
                <w:tcPr>
                  <w:tcW w:w="974" w:type="dxa"/>
                  <w:shd w:val="clear" w:color="auto" w:fill="auto"/>
                  <w:vAlign w:val="center"/>
                </w:tcPr>
                <w:p>
                  <w:pPr>
                    <w:jc w:val="center"/>
                    <w:rPr>
                      <w:rFonts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可逆</w:t>
                  </w:r>
                </w:p>
              </w:tc>
              <w:tc>
                <w:tcPr>
                  <w:tcW w:w="1795" w:type="dxa"/>
                  <w:shd w:val="clear" w:color="auto" w:fill="auto"/>
                  <w:vAlign w:val="center"/>
                </w:tcPr>
                <w:p>
                  <w:pPr>
                    <w:jc w:val="center"/>
                    <w:rPr>
                      <w:rFonts w:hint="eastAsia"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农田</w:t>
                  </w:r>
                  <w:r>
                    <w:rPr>
                      <w:rFonts w:ascii="Times New Roman" w:hAnsi="Times New Roman" w:cs="Times New Roman"/>
                      <w:color w:val="000000" w:themeColor="text1"/>
                      <w:szCs w:val="21"/>
                      <w14:textFill>
                        <w14:solidFill>
                          <w14:schemeClr w14:val="tx1"/>
                        </w14:solidFill>
                      </w14:textFill>
                    </w:rPr>
                    <w:t>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3"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施工作业带</w:t>
                  </w:r>
                </w:p>
              </w:tc>
              <w:tc>
                <w:tcPr>
                  <w:tcW w:w="1235"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占地</w:t>
                  </w:r>
                  <w:r>
                    <w:rPr>
                      <w:rFonts w:hint="eastAsia" w:ascii="Times New Roman" w:hAnsi="Times New Roman" w:cs="Times New Roman"/>
                      <w:color w:val="000000" w:themeColor="text1"/>
                      <w:szCs w:val="21"/>
                      <w14:textFill>
                        <w14:solidFill>
                          <w14:schemeClr w14:val="tx1"/>
                        </w14:solidFill>
                      </w14:textFill>
                    </w:rPr>
                    <w:t>区域</w:t>
                  </w:r>
                </w:p>
              </w:tc>
              <w:tc>
                <w:tcPr>
                  <w:tcW w:w="1773" w:type="dxa"/>
                  <w:vMerge w:val="continue"/>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p>
              </w:tc>
              <w:tc>
                <w:tcPr>
                  <w:tcW w:w="1136"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施工期</w:t>
                  </w:r>
                </w:p>
              </w:tc>
              <w:tc>
                <w:tcPr>
                  <w:tcW w:w="974"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临时</w:t>
                  </w:r>
                </w:p>
              </w:tc>
              <w:tc>
                <w:tcPr>
                  <w:tcW w:w="974"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可逆</w:t>
                  </w:r>
                </w:p>
              </w:tc>
              <w:tc>
                <w:tcPr>
                  <w:tcW w:w="1795" w:type="dxa"/>
                  <w:shd w:val="clear" w:color="auto" w:fill="auto"/>
                  <w:vAlign w:val="center"/>
                </w:tcPr>
                <w:p>
                  <w:pPr>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农田</w:t>
                  </w:r>
                  <w:r>
                    <w:rPr>
                      <w:rFonts w:ascii="Times New Roman" w:hAnsi="Times New Roman" w:cs="Times New Roman"/>
                      <w:color w:val="000000" w:themeColor="text1"/>
                      <w:szCs w:val="21"/>
                      <w14:textFill>
                        <w14:solidFill>
                          <w14:schemeClr w14:val="tx1"/>
                        </w14:solidFill>
                      </w14:textFill>
                    </w:rPr>
                    <w:t>生态系统</w:t>
                  </w:r>
                </w:p>
              </w:tc>
            </w:tr>
          </w:tbl>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2、</w:t>
            </w:r>
            <w:r>
              <w:rPr>
                <w:rFonts w:ascii="Times New Roman" w:hAnsi="Times New Roman" w:cs="Times New Roman"/>
                <w:color w:val="000000" w:themeColor="text1"/>
                <w:sz w:val="24"/>
                <w:szCs w:val="24"/>
                <w14:textFill>
                  <w14:solidFill>
                    <w14:schemeClr w14:val="tx1"/>
                  </w14:solidFill>
                </w14:textFill>
              </w:rPr>
              <w:t>工程建设对</w:t>
            </w:r>
            <w:r>
              <w:rPr>
                <w:rFonts w:hint="eastAsia" w:ascii="Times New Roman" w:hAnsi="Times New Roman" w:cs="Times New Roman"/>
                <w:color w:val="000000" w:themeColor="text1"/>
                <w:sz w:val="24"/>
                <w:szCs w:val="24"/>
                <w14:textFill>
                  <w14:solidFill>
                    <w14:schemeClr w14:val="tx1"/>
                  </w14:solidFill>
                </w14:textFill>
              </w:rPr>
              <w:t>生态系统</w:t>
            </w:r>
            <w:r>
              <w:rPr>
                <w:rFonts w:ascii="Times New Roman" w:hAnsi="Times New Roman" w:cs="Times New Roman"/>
                <w:color w:val="000000" w:themeColor="text1"/>
                <w:sz w:val="24"/>
                <w:szCs w:val="24"/>
                <w14:textFill>
                  <w14:solidFill>
                    <w14:schemeClr w14:val="tx1"/>
                  </w14:solidFill>
                </w14:textFill>
              </w:rPr>
              <w:t>结构和功能的影响</w:t>
            </w:r>
          </w:p>
          <w:p>
            <w:pPr>
              <w:autoSpaceDE w:val="0"/>
              <w:autoSpaceDN w:val="0"/>
              <w:adjustRightInd w:val="0"/>
              <w:snapToGrid w:val="0"/>
              <w:spacing w:line="360" w:lineRule="auto"/>
              <w:ind w:firstLine="480" w:firstLineChars="200"/>
              <w:rPr>
                <w:rFonts w:hint="eastAsia" w:ascii="Times New Roman" w:hAnsi="Times New Roman" w:cs="Times New Roman" w:eastAsiaTheme="minorEastAsia"/>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对于现有渠道、管道的整治工程，</w:t>
            </w:r>
            <w:r>
              <w:rPr>
                <w:rFonts w:ascii="Times New Roman" w:hAnsi="Times New Roman" w:cs="Times New Roman"/>
                <w:color w:val="000000" w:themeColor="text1"/>
                <w:sz w:val="24"/>
                <w:szCs w:val="24"/>
                <w14:textFill>
                  <w14:solidFill>
                    <w14:schemeClr w14:val="tx1"/>
                  </w14:solidFill>
                </w14:textFill>
              </w:rPr>
              <w:t>施工期工程将破坏</w:t>
            </w:r>
            <w:r>
              <w:rPr>
                <w:rFonts w:hint="eastAsia" w:ascii="Times New Roman" w:hAnsi="Times New Roman" w:cs="Times New Roman"/>
                <w:color w:val="000000" w:themeColor="text1"/>
                <w:sz w:val="24"/>
                <w:szCs w:val="24"/>
                <w:lang w:val="en-US" w:eastAsia="zh-CN"/>
                <w14:textFill>
                  <w14:solidFill>
                    <w14:schemeClr w14:val="tx1"/>
                  </w14:solidFill>
                </w14:textFill>
              </w:rPr>
              <w:t>施工</w:t>
            </w:r>
            <w:r>
              <w:rPr>
                <w:rFonts w:ascii="Times New Roman" w:hAnsi="Times New Roman" w:cs="Times New Roman"/>
                <w:color w:val="000000" w:themeColor="text1"/>
                <w:sz w:val="24"/>
                <w:szCs w:val="24"/>
                <w14:textFill>
                  <w14:solidFill>
                    <w14:schemeClr w14:val="tx1"/>
                  </w14:solidFill>
                </w14:textFill>
              </w:rPr>
              <w:t>区内的</w:t>
            </w:r>
            <w:r>
              <w:rPr>
                <w:rFonts w:hint="eastAsia" w:ascii="Times New Roman" w:hAnsi="Times New Roman" w:cs="Times New Roman"/>
                <w:color w:val="000000" w:themeColor="text1"/>
                <w:sz w:val="24"/>
                <w:szCs w:val="24"/>
                <w:lang w:val="en-US" w:eastAsia="zh-CN"/>
                <w14:textFill>
                  <w14:solidFill>
                    <w14:schemeClr w14:val="tx1"/>
                  </w14:solidFill>
                </w14:textFill>
              </w:rPr>
              <w:t>陆生、</w:t>
            </w:r>
            <w:r>
              <w:rPr>
                <w:rFonts w:ascii="Times New Roman" w:hAnsi="Times New Roman" w:cs="Times New Roman"/>
                <w:color w:val="000000" w:themeColor="text1"/>
                <w:sz w:val="24"/>
                <w:szCs w:val="24"/>
                <w14:textFill>
                  <w14:solidFill>
                    <w14:schemeClr w14:val="tx1"/>
                  </w14:solidFill>
                </w14:textFill>
              </w:rPr>
              <w:t>水生</w:t>
            </w:r>
            <w:r>
              <w:rPr>
                <w:rFonts w:hint="eastAsia" w:ascii="Times New Roman" w:hAnsi="Times New Roman" w:cs="Times New Roman"/>
                <w:color w:val="000000" w:themeColor="text1"/>
                <w:sz w:val="24"/>
                <w:szCs w:val="24"/>
                <w:lang w:val="en-US" w:eastAsia="zh-CN"/>
                <w14:textFill>
                  <w14:solidFill>
                    <w14:schemeClr w14:val="tx1"/>
                  </w14:solidFill>
                </w14:textFill>
              </w:rPr>
              <w:t>生</w:t>
            </w:r>
            <w:r>
              <w:rPr>
                <w:rFonts w:ascii="Times New Roman" w:hAnsi="Times New Roman" w:cs="Times New Roman"/>
                <w:color w:val="000000" w:themeColor="text1"/>
                <w:sz w:val="24"/>
                <w:szCs w:val="24"/>
                <w14:textFill>
                  <w14:solidFill>
                    <w14:schemeClr w14:val="tx1"/>
                  </w14:solidFill>
                </w14:textFill>
              </w:rPr>
              <w:t>物结构和边坡植被，</w:t>
            </w:r>
            <w:r>
              <w:rPr>
                <w:rFonts w:hint="eastAsia" w:ascii="Times New Roman" w:hAnsi="Times New Roman" w:cs="Times New Roman"/>
                <w:color w:val="000000" w:themeColor="text1"/>
                <w:sz w:val="24"/>
                <w:szCs w:val="24"/>
                <w:lang w:val="en-US" w:eastAsia="zh-CN"/>
                <w14:textFill>
                  <w14:solidFill>
                    <w14:schemeClr w14:val="tx1"/>
                  </w14:solidFill>
                </w14:textFill>
              </w:rPr>
              <w:t>管道新建</w:t>
            </w:r>
            <w:r>
              <w:rPr>
                <w:rFonts w:hint="eastAsia" w:ascii="Times New Roman" w:hAnsi="Times New Roman" w:cs="Times New Roman"/>
                <w:color w:val="000000" w:themeColor="text1"/>
                <w:sz w:val="24"/>
                <w:szCs w:val="24"/>
                <w14:textFill>
                  <w14:solidFill>
                    <w14:schemeClr w14:val="tx1"/>
                  </w14:solidFill>
                </w14:textFill>
              </w:rPr>
              <w:t>工程</w:t>
            </w:r>
            <w:r>
              <w:rPr>
                <w:rFonts w:hint="eastAsia" w:ascii="Times New Roman" w:hAnsi="Times New Roman" w:cs="Times New Roman"/>
                <w:color w:val="000000" w:themeColor="text1"/>
                <w:sz w:val="24"/>
                <w:szCs w:val="24"/>
                <w:lang w:val="en-US" w:eastAsia="zh-CN"/>
                <w14:textFill>
                  <w14:solidFill>
                    <w14:schemeClr w14:val="tx1"/>
                  </w14:solidFill>
                </w14:textFill>
              </w:rPr>
              <w:t>施工期</w:t>
            </w:r>
            <w:r>
              <w:rPr>
                <w:rFonts w:hint="eastAsia" w:ascii="Times New Roman" w:hAnsi="Times New Roman" w:cs="Times New Roman"/>
                <w:color w:val="000000" w:themeColor="text1"/>
                <w:sz w:val="24"/>
                <w:szCs w:val="24"/>
                <w14:textFill>
                  <w14:solidFill>
                    <w14:schemeClr w14:val="tx1"/>
                  </w14:solidFill>
                </w14:textFill>
              </w:rPr>
              <w:t>对动物生境产生切割</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但在回填后切割影响消失</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由于</w:t>
            </w:r>
            <w:r>
              <w:rPr>
                <w:rFonts w:hint="eastAsia" w:ascii="Times New Roman" w:hAnsi="Times New Roman" w:cs="Times New Roman"/>
                <w:color w:val="000000" w:themeColor="text1"/>
                <w:sz w:val="24"/>
                <w:szCs w:val="24"/>
                <w14:textFill>
                  <w14:solidFill>
                    <w14:schemeClr w14:val="tx1"/>
                  </w14:solidFill>
                </w14:textFill>
              </w:rPr>
              <w:t>项目</w:t>
            </w:r>
            <w:r>
              <w:rPr>
                <w:rFonts w:ascii="Times New Roman" w:hAnsi="Times New Roman" w:cs="Times New Roman"/>
                <w:color w:val="000000" w:themeColor="text1"/>
                <w:sz w:val="24"/>
                <w:szCs w:val="24"/>
                <w14:textFill>
                  <w14:solidFill>
                    <w14:schemeClr w14:val="tx1"/>
                  </w14:solidFill>
                </w14:textFill>
              </w:rPr>
              <w:t>占地面积</w:t>
            </w:r>
            <w:r>
              <w:rPr>
                <w:rFonts w:hint="eastAsia" w:ascii="Times New Roman" w:hAnsi="Times New Roman" w:cs="Times New Roman"/>
                <w:color w:val="000000" w:themeColor="text1"/>
                <w:sz w:val="24"/>
                <w:szCs w:val="24"/>
                <w14:textFill>
                  <w14:solidFill>
                    <w14:schemeClr w14:val="tx1"/>
                  </w14:solidFill>
                </w14:textFill>
              </w:rPr>
              <w:t>以长条形为主</w:t>
            </w: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渠道改管道无新增占地</w:t>
            </w:r>
            <w:r>
              <w:rPr>
                <w:rFonts w:hint="eastAsia" w:ascii="Times New Roman" w:hAnsi="Times New Roman" w:cs="Times New Roman"/>
                <w:color w:val="000000" w:themeColor="text1"/>
                <w:sz w:val="24"/>
                <w:szCs w:val="24"/>
                <w14:textFill>
                  <w14:solidFill>
                    <w14:schemeClr w14:val="tx1"/>
                  </w14:solidFill>
                </w14:textFill>
              </w:rPr>
              <w:t>，通过施工活动控制施工范围，</w:t>
            </w:r>
            <w:r>
              <w:rPr>
                <w:rFonts w:ascii="Times New Roman" w:hAnsi="Times New Roman" w:cs="Times New Roman"/>
                <w:color w:val="000000" w:themeColor="text1"/>
                <w:sz w:val="24"/>
                <w:szCs w:val="24"/>
                <w14:textFill>
                  <w14:solidFill>
                    <w14:schemeClr w14:val="tx1"/>
                  </w14:solidFill>
                </w14:textFill>
              </w:rPr>
              <w:t>施工完成后将对</w:t>
            </w:r>
            <w:r>
              <w:rPr>
                <w:rFonts w:hint="eastAsia" w:ascii="Times New Roman" w:hAnsi="Times New Roman" w:cs="Times New Roman"/>
                <w:color w:val="000000" w:themeColor="text1"/>
                <w:sz w:val="24"/>
                <w:szCs w:val="24"/>
                <w:lang w:val="en-US" w:eastAsia="zh-CN"/>
                <w14:textFill>
                  <w14:solidFill>
                    <w14:schemeClr w14:val="tx1"/>
                  </w14:solidFill>
                </w14:textFill>
              </w:rPr>
              <w:t>施工</w:t>
            </w:r>
            <w:r>
              <w:rPr>
                <w:rFonts w:ascii="Times New Roman" w:hAnsi="Times New Roman" w:cs="Times New Roman"/>
                <w:color w:val="000000" w:themeColor="text1"/>
                <w:sz w:val="24"/>
                <w:szCs w:val="24"/>
                <w14:textFill>
                  <w14:solidFill>
                    <w14:schemeClr w14:val="tx1"/>
                  </w14:solidFill>
                </w14:textFill>
              </w:rPr>
              <w:t>破坏的植被</w:t>
            </w:r>
            <w:r>
              <w:rPr>
                <w:rFonts w:hint="eastAsia" w:ascii="Times New Roman" w:hAnsi="Times New Roman" w:cs="Times New Roman"/>
                <w:color w:val="000000" w:themeColor="text1"/>
                <w:sz w:val="24"/>
                <w:szCs w:val="24"/>
                <w14:textFill>
                  <w14:solidFill>
                    <w14:schemeClr w14:val="tx1"/>
                  </w14:solidFill>
                </w14:textFill>
              </w:rPr>
              <w:t>、临时工程占地区域</w:t>
            </w:r>
            <w:r>
              <w:rPr>
                <w:rFonts w:ascii="Times New Roman" w:hAnsi="Times New Roman" w:cs="Times New Roman"/>
                <w:color w:val="000000" w:themeColor="text1"/>
                <w:sz w:val="24"/>
                <w:szCs w:val="24"/>
                <w14:textFill>
                  <w14:solidFill>
                    <w14:schemeClr w14:val="tx1"/>
                  </w14:solidFill>
                </w14:textFill>
              </w:rPr>
              <w:t>进行生态修复，因此，不会影响</w:t>
            </w:r>
            <w:r>
              <w:rPr>
                <w:rFonts w:hint="eastAsia" w:ascii="Times New Roman" w:hAnsi="Times New Roman" w:cs="Times New Roman"/>
                <w:color w:val="000000" w:themeColor="text1"/>
                <w:sz w:val="24"/>
                <w:szCs w:val="24"/>
                <w14:textFill>
                  <w14:solidFill>
                    <w14:schemeClr w14:val="tx1"/>
                  </w14:solidFill>
                </w14:textFill>
              </w:rPr>
              <w:t>区域生态系统整体</w:t>
            </w:r>
            <w:r>
              <w:rPr>
                <w:rFonts w:ascii="Times New Roman" w:hAnsi="Times New Roman" w:cs="Times New Roman"/>
                <w:color w:val="000000" w:themeColor="text1"/>
                <w:sz w:val="24"/>
                <w:szCs w:val="24"/>
                <w14:textFill>
                  <w14:solidFill>
                    <w14:schemeClr w14:val="tx1"/>
                  </w14:solidFill>
                </w14:textFill>
              </w:rPr>
              <w:t>的结构和功能。</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4"/>
                <w14:textFill>
                  <w14:solidFill>
                    <w14:schemeClr w14:val="tx1"/>
                  </w14:solidFill>
                </w14:textFill>
              </w:rPr>
              <w:t>（二）</w:t>
            </w:r>
            <w:r>
              <w:rPr>
                <w:rFonts w:ascii="Times New Roman" w:hAnsi="Times New Roman" w:cs="Times New Roman"/>
                <w:b/>
                <w:bCs/>
                <w:color w:val="000000" w:themeColor="text1"/>
                <w:sz w:val="24"/>
                <w:szCs w:val="24"/>
                <w14:textFill>
                  <w14:solidFill>
                    <w14:schemeClr w14:val="tx1"/>
                  </w14:solidFill>
                </w14:textFill>
              </w:rPr>
              <w:t>对植被影响分析</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1）对陆生</w:t>
            </w:r>
            <w:r>
              <w:rPr>
                <w:rFonts w:hint="eastAsia" w:ascii="Times New Roman" w:hAnsi="Times New Roman" w:cs="Times New Roman"/>
                <w:color w:val="000000" w:themeColor="text1"/>
                <w:sz w:val="24"/>
                <w:szCs w:val="24"/>
                <w14:textFill>
                  <w14:solidFill>
                    <w14:schemeClr w14:val="tx1"/>
                  </w14:solidFill>
                </w14:textFill>
              </w:rPr>
              <w:t>植被</w:t>
            </w:r>
            <w:r>
              <w:rPr>
                <w:rFonts w:ascii="Times New Roman" w:hAnsi="Times New Roman" w:cs="Times New Roman"/>
                <w:color w:val="000000" w:themeColor="text1"/>
                <w:sz w:val="24"/>
                <w:szCs w:val="24"/>
                <w14:textFill>
                  <w14:solidFill>
                    <w14:schemeClr w14:val="tx1"/>
                  </w14:solidFill>
                </w14:textFill>
              </w:rPr>
              <w:t>的影响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工程建设对野生</w:t>
            </w:r>
            <w:r>
              <w:rPr>
                <w:rFonts w:hint="eastAsia" w:ascii="Times New Roman" w:hAnsi="Times New Roman" w:cs="Times New Roman"/>
                <w:color w:val="000000" w:themeColor="text1"/>
                <w:sz w:val="24"/>
                <w:szCs w:val="24"/>
                <w14:textFill>
                  <w14:solidFill>
                    <w14:schemeClr w14:val="tx1"/>
                  </w14:solidFill>
                </w14:textFill>
              </w:rPr>
              <w:t>、人工种植</w:t>
            </w:r>
            <w:r>
              <w:rPr>
                <w:rFonts w:hint="eastAsia" w:ascii="Times New Roman" w:hAnsi="Times New Roman" w:cs="Times New Roman"/>
                <w:color w:val="000000" w:themeColor="text1"/>
                <w:sz w:val="24"/>
                <w:szCs w:val="24"/>
                <w:lang w:val="en-US" w:eastAsia="zh-CN"/>
                <w14:textFill>
                  <w14:solidFill>
                    <w14:schemeClr w14:val="tx1"/>
                  </w14:solidFill>
                </w14:textFill>
              </w:rPr>
              <w:t>农作物</w:t>
            </w:r>
            <w:r>
              <w:rPr>
                <w:rFonts w:ascii="Times New Roman" w:hAnsi="Times New Roman" w:cs="Times New Roman"/>
                <w:color w:val="000000" w:themeColor="text1"/>
                <w:sz w:val="24"/>
                <w:szCs w:val="24"/>
                <w14:textFill>
                  <w14:solidFill>
                    <w14:schemeClr w14:val="tx1"/>
                  </w14:solidFill>
                </w14:textFill>
              </w:rPr>
              <w:t>的影响较多的发生在施工期，营运期无影响。施工过程中对植被的影响主要为土方开挖、堆土堆渣、</w:t>
            </w:r>
            <w:r>
              <w:rPr>
                <w:rFonts w:hint="eastAsia" w:ascii="Times New Roman" w:hAnsi="Times New Roman" w:cs="Times New Roman"/>
                <w:color w:val="000000" w:themeColor="text1"/>
                <w:sz w:val="24"/>
                <w:szCs w:val="24"/>
                <w14:textFill>
                  <w14:solidFill>
                    <w14:schemeClr w14:val="tx1"/>
                  </w14:solidFill>
                </w14:textFill>
              </w:rPr>
              <w:t>人员</w:t>
            </w:r>
            <w:r>
              <w:rPr>
                <w:rFonts w:hint="eastAsia" w:ascii="Times New Roman" w:hAnsi="Times New Roman" w:cs="Times New Roman"/>
                <w:color w:val="000000" w:themeColor="text1"/>
                <w:sz w:val="24"/>
                <w:szCs w:val="24"/>
                <w:lang w:val="en-US" w:eastAsia="zh-CN"/>
                <w14:textFill>
                  <w14:solidFill>
                    <w14:schemeClr w14:val="tx1"/>
                  </w14:solidFill>
                </w14:textFill>
              </w:rPr>
              <w:t>及施工机械</w:t>
            </w:r>
            <w:r>
              <w:rPr>
                <w:rFonts w:hint="eastAsia" w:ascii="Times New Roman" w:hAnsi="Times New Roman" w:cs="Times New Roman"/>
                <w:color w:val="000000" w:themeColor="text1"/>
                <w:sz w:val="24"/>
                <w:szCs w:val="24"/>
                <w14:textFill>
                  <w14:solidFill>
                    <w14:schemeClr w14:val="tx1"/>
                  </w14:solidFill>
                </w14:textFill>
              </w:rPr>
              <w:t>活动、</w:t>
            </w:r>
            <w:r>
              <w:rPr>
                <w:rFonts w:ascii="Times New Roman" w:hAnsi="Times New Roman" w:cs="Times New Roman"/>
                <w:color w:val="000000" w:themeColor="text1"/>
                <w:sz w:val="24"/>
                <w:szCs w:val="24"/>
                <w14:textFill>
                  <w14:solidFill>
                    <w14:schemeClr w14:val="tx1"/>
                  </w14:solidFill>
                </w14:textFill>
              </w:rPr>
              <w:t>物料运输等活动对</w:t>
            </w:r>
            <w:r>
              <w:rPr>
                <w:rFonts w:hint="eastAsia" w:ascii="Times New Roman" w:hAnsi="Times New Roman" w:cs="Times New Roman"/>
                <w:color w:val="000000" w:themeColor="text1"/>
                <w:sz w:val="24"/>
                <w:szCs w:val="24"/>
                <w:lang w:val="en-US" w:eastAsia="zh-CN"/>
                <w14:textFill>
                  <w14:solidFill>
                    <w14:schemeClr w14:val="tx1"/>
                  </w14:solidFill>
                </w14:textFill>
              </w:rPr>
              <w:t>植被的碾压、踩踏、地表清理等活动，均可能导致区域生物量降低</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本项目施工过程中将开挖的表层土壤单独分离保存，施工完成后</w:t>
            </w:r>
            <w:r>
              <w:rPr>
                <w:rFonts w:hint="eastAsia" w:ascii="Times New Roman" w:hAnsi="Times New Roman" w:cs="Times New Roman"/>
                <w:color w:val="000000" w:themeColor="text1"/>
                <w:sz w:val="24"/>
                <w:szCs w:val="24"/>
                <w14:textFill>
                  <w14:solidFill>
                    <w14:schemeClr w14:val="tx1"/>
                  </w14:solidFill>
                </w14:textFill>
              </w:rPr>
              <w:t>利用剥离表土</w:t>
            </w:r>
            <w:r>
              <w:rPr>
                <w:rFonts w:ascii="Times New Roman" w:hAnsi="Times New Roman" w:cs="Times New Roman"/>
                <w:color w:val="000000" w:themeColor="text1"/>
                <w:sz w:val="24"/>
                <w:szCs w:val="24"/>
                <w14:textFill>
                  <w14:solidFill>
                    <w14:schemeClr w14:val="tx1"/>
                  </w14:solidFill>
                </w14:textFill>
              </w:rPr>
              <w:t>种植绿化，总体生物量不减少</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部分新建管道为埋管，在开挖后进行回填、上部进行迹地恢复，U型渡槽采用架空形式，对陆生植被的影响较小</w:t>
            </w:r>
            <w:r>
              <w:rPr>
                <w:rFonts w:ascii="Times New Roman" w:hAnsi="Times New Roman" w:cs="Times New Roman"/>
                <w:color w:val="000000" w:themeColor="text1"/>
                <w:sz w:val="24"/>
                <w:szCs w:val="24"/>
                <w14:textFill>
                  <w14:solidFill>
                    <w14:schemeClr w14:val="tx1"/>
                  </w14:solidFill>
                </w14:textFill>
              </w:rPr>
              <w:t>。因此，</w:t>
            </w:r>
            <w:r>
              <w:rPr>
                <w:rFonts w:hint="eastAsia" w:ascii="Times New Roman" w:hAnsi="Times New Roman" w:cs="Times New Roman"/>
                <w:color w:val="000000" w:themeColor="text1"/>
                <w:sz w:val="24"/>
                <w:szCs w:val="24"/>
                <w:lang w:val="en-US" w:eastAsia="zh-CN"/>
                <w14:textFill>
                  <w14:solidFill>
                    <w14:schemeClr w14:val="tx1"/>
                  </w14:solidFill>
                </w14:textFill>
              </w:rPr>
              <w:t>通过采取相应生态治理措施、控制施工作业范围、避开秋收时段进行施工后，</w:t>
            </w:r>
            <w:r>
              <w:rPr>
                <w:rFonts w:ascii="Times New Roman" w:hAnsi="Times New Roman" w:cs="Times New Roman"/>
                <w:color w:val="000000" w:themeColor="text1"/>
                <w:sz w:val="24"/>
                <w:szCs w:val="24"/>
                <w14:textFill>
                  <w14:solidFill>
                    <w14:schemeClr w14:val="tx1"/>
                  </w14:solidFill>
                </w14:textFill>
              </w:rPr>
              <w:t>本项目施工期对</w:t>
            </w:r>
            <w:r>
              <w:rPr>
                <w:rFonts w:hint="eastAsia" w:ascii="Times New Roman" w:hAnsi="Times New Roman" w:cs="Times New Roman"/>
                <w:color w:val="000000" w:themeColor="text1"/>
                <w:sz w:val="24"/>
                <w:szCs w:val="24"/>
                <w14:textFill>
                  <w14:solidFill>
                    <w14:schemeClr w14:val="tx1"/>
                  </w14:solidFill>
                </w14:textFill>
              </w:rPr>
              <w:t>陆生</w:t>
            </w:r>
            <w:r>
              <w:rPr>
                <w:rFonts w:ascii="Times New Roman" w:hAnsi="Times New Roman" w:cs="Times New Roman"/>
                <w:color w:val="000000" w:themeColor="text1"/>
                <w:sz w:val="24"/>
                <w:szCs w:val="24"/>
                <w14:textFill>
                  <w14:solidFill>
                    <w14:schemeClr w14:val="tx1"/>
                  </w14:solidFill>
                </w14:textFill>
              </w:rPr>
              <w:t>植物影响较小。</w:t>
            </w:r>
          </w:p>
          <w:p>
            <w:pPr>
              <w:autoSpaceDE w:val="0"/>
              <w:autoSpaceDN w:val="0"/>
              <w:adjustRightInd w:val="0"/>
              <w:snapToGrid w:val="0"/>
              <w:spacing w:line="360" w:lineRule="auto"/>
              <w:ind w:firstLine="482"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b/>
                <w:bCs w:val="0"/>
                <w:color w:val="000000" w:themeColor="text1"/>
                <w:sz w:val="24"/>
                <w:szCs w:val="24"/>
                <w:lang w:val="en-US" w:eastAsia="zh-CN"/>
                <w14:textFill>
                  <w14:solidFill>
                    <w14:schemeClr w14:val="tx1"/>
                  </w14:solidFill>
                </w14:textFill>
              </w:rPr>
              <w:t>云顶水库灌区沿现状主干渠穿越当地生态公益林、水源涵养重要区、水土保持功能重要区、生物多样性维护重要区，本次施工在现有主干渠范围内铺设输水明管，在严格控制施工作业范围、禁止砍伐公益林树木的情况下，工程实施不会对区域生态公益林、水源涵养重要区、水土保持功能重要区、生物多样性维护重要区产生明显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2）</w:t>
            </w:r>
            <w:r>
              <w:rPr>
                <w:rFonts w:ascii="Times New Roman" w:hAnsi="Times New Roman" w:cs="Times New Roman"/>
                <w:color w:val="000000" w:themeColor="text1"/>
                <w:sz w:val="24"/>
                <w:szCs w:val="24"/>
                <w14:textFill>
                  <w14:solidFill>
                    <w14:schemeClr w14:val="tx1"/>
                  </w14:solidFill>
                </w14:textFill>
              </w:rPr>
              <w:t>对</w:t>
            </w:r>
            <w:r>
              <w:rPr>
                <w:rFonts w:hint="eastAsia" w:ascii="Times New Roman" w:hAnsi="Times New Roman" w:cs="Times New Roman"/>
                <w:color w:val="000000" w:themeColor="text1"/>
                <w:sz w:val="24"/>
                <w:szCs w:val="24"/>
                <w14:textFill>
                  <w14:solidFill>
                    <w14:schemeClr w14:val="tx1"/>
                  </w14:solidFill>
                </w14:textFill>
              </w:rPr>
              <w:t>水生植被的影响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通过现场踏勘，</w:t>
            </w:r>
            <w:r>
              <w:rPr>
                <w:rFonts w:hint="eastAsia" w:ascii="Times New Roman" w:hAnsi="Times New Roman" w:cs="Times New Roman"/>
                <w:color w:val="000000" w:themeColor="text1"/>
                <w:sz w:val="24"/>
                <w:szCs w:val="24"/>
                <w:lang w:val="en-US" w:eastAsia="zh-CN"/>
                <w14:textFill>
                  <w14:solidFill>
                    <w14:schemeClr w14:val="tx1"/>
                  </w14:solidFill>
                </w14:textFill>
              </w:rPr>
              <w:t>14个灌区配套渠道均位于农村地区，渠道内以少量水草为主，本次渠道清淤将渠道内水草进行一并清理，但在营运期渠道内各类水草又会逐渐增加，生物量可恢复至实施前水平</w:t>
            </w:r>
            <w:r>
              <w:rPr>
                <w:rFonts w:hint="eastAsia"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4"/>
                <w14:textFill>
                  <w14:solidFill>
                    <w14:schemeClr w14:val="tx1"/>
                  </w14:solidFill>
                </w14:textFill>
              </w:rPr>
              <w:t>（三）对动物影响分析</w:t>
            </w:r>
          </w:p>
          <w:p>
            <w:pPr>
              <w:autoSpaceDE w:val="0"/>
              <w:autoSpaceDN w:val="0"/>
              <w:adjustRightInd w:val="0"/>
              <w:snapToGrid w:val="0"/>
              <w:spacing w:line="360" w:lineRule="auto"/>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A</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对两栖、爬行动物的影响</w:t>
            </w:r>
          </w:p>
          <w:p>
            <w:pPr>
              <w:autoSpaceDE w:val="0"/>
              <w:autoSpaceDN w:val="0"/>
              <w:adjustRightInd w:val="0"/>
              <w:snapToGrid w:val="0"/>
              <w:spacing w:line="360" w:lineRule="auto"/>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对于整治渠道、管道，</w:t>
            </w:r>
            <w:r>
              <w:rPr>
                <w:rFonts w:hint="eastAsia" w:ascii="Times New Roman" w:hAnsi="Times New Roman" w:cs="Times New Roman"/>
                <w:color w:val="000000" w:themeColor="text1"/>
                <w:sz w:val="24"/>
                <w:szCs w:val="24"/>
                <w14:textFill>
                  <w14:solidFill>
                    <w14:schemeClr w14:val="tx1"/>
                  </w14:solidFill>
                </w14:textFill>
              </w:rPr>
              <w:t>施工主要集中于</w:t>
            </w:r>
            <w:r>
              <w:rPr>
                <w:rFonts w:hint="eastAsia" w:ascii="Times New Roman" w:hAnsi="Times New Roman" w:cs="Times New Roman"/>
                <w:color w:val="000000" w:themeColor="text1"/>
                <w:sz w:val="24"/>
                <w:szCs w:val="24"/>
                <w:lang w:val="en-US" w:eastAsia="zh-CN"/>
                <w14:textFill>
                  <w14:solidFill>
                    <w14:schemeClr w14:val="tx1"/>
                  </w14:solidFill>
                </w14:textFill>
              </w:rPr>
              <w:t>现有走向</w:t>
            </w:r>
            <w:r>
              <w:rPr>
                <w:rFonts w:hint="eastAsia" w:ascii="Times New Roman" w:hAnsi="Times New Roman" w:cs="Times New Roman"/>
                <w:color w:val="000000" w:themeColor="text1"/>
                <w:sz w:val="24"/>
                <w:szCs w:val="24"/>
                <w14:textFill>
                  <w14:solidFill>
                    <w14:schemeClr w14:val="tx1"/>
                  </w14:solidFill>
                </w14:textFill>
              </w:rPr>
              <w:t>沿线，</w:t>
            </w:r>
            <w:r>
              <w:rPr>
                <w:rFonts w:hint="eastAsia" w:ascii="Times New Roman" w:hAnsi="Times New Roman" w:cs="Times New Roman"/>
                <w:color w:val="000000" w:themeColor="text1"/>
                <w:sz w:val="24"/>
                <w:szCs w:val="24"/>
                <w:lang w:val="en-US" w:eastAsia="zh-CN"/>
                <w14:textFill>
                  <w14:solidFill>
                    <w14:schemeClr w14:val="tx1"/>
                  </w14:solidFill>
                </w14:textFill>
              </w:rPr>
              <w:t>对于新建管道段，施工则按照设计线路开挖。</w:t>
            </w:r>
            <w:r>
              <w:rPr>
                <w:rFonts w:hint="eastAsia" w:ascii="Times New Roman" w:hAnsi="Times New Roman" w:cs="Times New Roman"/>
                <w:color w:val="000000" w:themeColor="text1"/>
                <w:sz w:val="24"/>
                <w:szCs w:val="24"/>
                <w14:textFill>
                  <w14:solidFill>
                    <w14:schemeClr w14:val="tx1"/>
                  </w14:solidFill>
                </w14:textFill>
              </w:rPr>
              <w:t>工程施工期间由于施工人员、机械的进场，施工永久及临时占地和施工干扰等将使得生活在</w:t>
            </w:r>
            <w:r>
              <w:rPr>
                <w:rFonts w:hint="eastAsia" w:ascii="Times New Roman" w:hAnsi="Times New Roman" w:cs="Times New Roman"/>
                <w:color w:val="000000" w:themeColor="text1"/>
                <w:sz w:val="24"/>
                <w:szCs w:val="24"/>
                <w:lang w:val="en-US" w:eastAsia="zh-CN"/>
                <w14:textFill>
                  <w14:solidFill>
                    <w14:schemeClr w14:val="tx1"/>
                  </w14:solidFill>
                </w14:textFill>
              </w:rPr>
              <w:t>施工范围</w:t>
            </w:r>
            <w:r>
              <w:rPr>
                <w:rFonts w:hint="eastAsia" w:ascii="Times New Roman" w:hAnsi="Times New Roman" w:cs="Times New Roman"/>
                <w:color w:val="000000" w:themeColor="text1"/>
                <w:sz w:val="24"/>
                <w:szCs w:val="24"/>
                <w14:textFill>
                  <w14:solidFill>
                    <w14:schemeClr w14:val="tx1"/>
                  </w14:solidFill>
                </w14:textFill>
              </w:rPr>
              <w:t>附近的两栖、爬行动物被迫迁移</w:t>
            </w:r>
            <w:r>
              <w:rPr>
                <w:rFonts w:hint="eastAsia" w:ascii="Times New Roman" w:hAnsi="Times New Roman" w:cs="Times New Roman"/>
                <w:color w:val="000000" w:themeColor="text1"/>
                <w:sz w:val="24"/>
                <w:szCs w:val="24"/>
                <w:lang w:val="en-US" w:eastAsia="zh-CN"/>
                <w14:textFill>
                  <w14:solidFill>
                    <w14:schemeClr w14:val="tx1"/>
                  </w14:solidFill>
                </w14:textFill>
              </w:rPr>
              <w:t>至远离施工区域</w:t>
            </w:r>
            <w:r>
              <w:rPr>
                <w:rFonts w:hint="eastAsia"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渠道修复、管道</w:t>
            </w:r>
            <w:r>
              <w:rPr>
                <w:rFonts w:hint="eastAsia" w:ascii="Times New Roman" w:hAnsi="Times New Roman" w:cs="Times New Roman"/>
                <w:color w:val="000000" w:themeColor="text1"/>
                <w:sz w:val="24"/>
                <w:szCs w:val="24"/>
                <w14:textFill>
                  <w14:solidFill>
                    <w14:schemeClr w14:val="tx1"/>
                  </w14:solidFill>
                </w14:textFill>
              </w:rPr>
              <w:t>开挖和修建、施工道路、生产生活区、表土临时堆场，都可能造成两栖爬行动物栖息地缩小。</w:t>
            </w:r>
          </w:p>
          <w:p>
            <w:pPr>
              <w:autoSpaceDE w:val="0"/>
              <w:autoSpaceDN w:val="0"/>
              <w:adjustRightInd w:val="0"/>
              <w:snapToGrid w:val="0"/>
              <w:spacing w:line="360" w:lineRule="auto"/>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项目</w:t>
            </w:r>
            <w:r>
              <w:rPr>
                <w:rFonts w:hint="eastAsia" w:ascii="Times New Roman" w:hAnsi="Times New Roman" w:cs="Times New Roman"/>
                <w:color w:val="000000" w:themeColor="text1"/>
                <w:sz w:val="24"/>
                <w:szCs w:val="24"/>
                <w:lang w:val="en-US" w:eastAsia="zh-CN"/>
                <w14:textFill>
                  <w14:solidFill>
                    <w14:schemeClr w14:val="tx1"/>
                  </w14:solidFill>
                </w14:textFill>
              </w:rPr>
              <w:t>所在</w:t>
            </w:r>
            <w:r>
              <w:rPr>
                <w:rFonts w:hint="eastAsia" w:ascii="Times New Roman" w:hAnsi="Times New Roman" w:cs="Times New Roman"/>
                <w:color w:val="000000" w:themeColor="text1"/>
                <w:sz w:val="24"/>
                <w:szCs w:val="24"/>
                <w14:textFill>
                  <w14:solidFill>
                    <w14:schemeClr w14:val="tx1"/>
                  </w14:solidFill>
                </w14:textFill>
              </w:rPr>
              <w:t>地区为丘陵地区，</w:t>
            </w:r>
            <w:r>
              <w:rPr>
                <w:rFonts w:hint="eastAsia" w:ascii="Times New Roman" w:hAnsi="Times New Roman" w:cs="Times New Roman"/>
                <w:color w:val="000000" w:themeColor="text1"/>
                <w:sz w:val="24"/>
                <w:szCs w:val="24"/>
                <w:lang w:val="en-US" w:eastAsia="zh-CN"/>
                <w14:textFill>
                  <w14:solidFill>
                    <w14:schemeClr w14:val="tx1"/>
                  </w14:solidFill>
                </w14:textFill>
              </w:rPr>
              <w:t>本项目施工影响范围较小，</w:t>
            </w:r>
            <w:r>
              <w:rPr>
                <w:rFonts w:hint="eastAsia" w:ascii="Times New Roman" w:hAnsi="Times New Roman" w:cs="Times New Roman"/>
                <w:color w:val="000000" w:themeColor="text1"/>
                <w:sz w:val="24"/>
                <w:szCs w:val="24"/>
                <w14:textFill>
                  <w14:solidFill>
                    <w14:schemeClr w14:val="tx1"/>
                  </w14:solidFill>
                </w14:textFill>
              </w:rPr>
              <w:t>工程区沿线及周边适合两栖爬行类动物栖息的环境广泛分布，且受影响物种在区域广泛分布，迁出施工区域的物种在临近区域可得到很好的栖息和繁衍。施工场地周围两栖爬行类的数量会有定减少，但不会造成整个区域物种种群的消失。由于本项目施工线路较长，全部完工时间较长，因此，相对于局部区域来说，施工影响期较为短暂，工程施工仅对施工</w:t>
            </w:r>
            <w:r>
              <w:rPr>
                <w:rFonts w:hint="eastAsia" w:ascii="Times New Roman" w:hAnsi="Times New Roman" w:cs="Times New Roman"/>
                <w:color w:val="000000" w:themeColor="text1"/>
                <w:sz w:val="24"/>
                <w:szCs w:val="24"/>
                <w:lang w:val="en-US" w:eastAsia="zh-CN"/>
                <w14:textFill>
                  <w14:solidFill>
                    <w14:schemeClr w14:val="tx1"/>
                  </w14:solidFill>
                </w14:textFill>
              </w:rPr>
              <w:t>区域</w:t>
            </w:r>
            <w:r>
              <w:rPr>
                <w:rFonts w:hint="eastAsia" w:ascii="Times New Roman" w:hAnsi="Times New Roman" w:cs="Times New Roman"/>
                <w:color w:val="000000" w:themeColor="text1"/>
                <w:sz w:val="24"/>
                <w:szCs w:val="24"/>
                <w14:textFill>
                  <w14:solidFill>
                    <w14:schemeClr w14:val="tx1"/>
                  </w14:solidFill>
                </w14:textFill>
              </w:rPr>
              <w:t>的两栖爬行动物种群数量和分布产生短暂</w:t>
            </w:r>
            <w:r>
              <w:rPr>
                <w:rFonts w:hint="eastAsia" w:ascii="Times New Roman" w:hAnsi="Times New Roman" w:cs="Times New Roman"/>
                <w:color w:val="000000" w:themeColor="text1"/>
                <w:sz w:val="24"/>
                <w:szCs w:val="24"/>
                <w:lang w:eastAsia="zh-CN"/>
                <w14:textFill>
                  <w14:solidFill>
                    <w14:schemeClr w14:val="tx1"/>
                  </w14:solidFill>
                </w14:textFill>
              </w:rPr>
              <w:t>的</w:t>
            </w:r>
            <w:r>
              <w:rPr>
                <w:rFonts w:hint="eastAsia" w:ascii="Times New Roman" w:hAnsi="Times New Roman" w:cs="Times New Roman"/>
                <w:color w:val="000000" w:themeColor="text1"/>
                <w:sz w:val="24"/>
                <w:szCs w:val="24"/>
                <w14:textFill>
                  <w14:solidFill>
                    <w14:schemeClr w14:val="tx1"/>
                  </w14:solidFill>
                </w14:textFill>
              </w:rPr>
              <w:t>不利影响，施工结束后，部分两栖、爬行动物种类和数量在施工区域将逐渐恢复到原来水平。</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B</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对鸟类的影响</w:t>
            </w:r>
          </w:p>
          <w:p>
            <w:pPr>
              <w:autoSpaceDE w:val="0"/>
              <w:autoSpaceDN w:val="0"/>
              <w:adjustRightInd w:val="0"/>
              <w:snapToGrid w:val="0"/>
              <w:spacing w:line="360" w:lineRule="auto"/>
              <w:ind w:firstLine="480" w:firstLineChars="200"/>
              <w:rPr>
                <w:rFonts w:hint="eastAsia" w:ascii="Times New Roman" w:hAnsi="Times New Roman" w:cs="Times New Roman"/>
                <w:b w:val="0"/>
                <w:bCs/>
                <w:color w:val="000000" w:themeColor="text1"/>
                <w:sz w:val="24"/>
                <w:szCs w:val="24"/>
                <w14:textFill>
                  <w14:solidFill>
                    <w14:schemeClr w14:val="tx1"/>
                  </w14:solidFill>
                </w14:textFill>
              </w:rPr>
            </w:pPr>
            <w:r>
              <w:rPr>
                <w:rFonts w:hint="eastAsia" w:ascii="Times New Roman" w:hAnsi="Times New Roman" w:cs="Times New Roman"/>
                <w:b w:val="0"/>
                <w:bCs/>
                <w:color w:val="000000" w:themeColor="text1"/>
                <w:sz w:val="24"/>
                <w:szCs w:val="24"/>
                <w14:textFill>
                  <w14:solidFill>
                    <w14:schemeClr w14:val="tx1"/>
                  </w14:solidFill>
                </w14:textFill>
              </w:rPr>
              <w:t>本项目施工期间，由于大量施工机械及施工人员的进场，施工临时占地、施工活动</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特别是噪声</w:t>
            </w:r>
            <w:r>
              <w:rPr>
                <w:rFonts w:hint="eastAsia" w:ascii="Times New Roman" w:hAnsi="Times New Roman" w:cs="Times New Roman"/>
                <w:b w:val="0"/>
                <w:bCs/>
                <w:color w:val="000000" w:themeColor="text1"/>
                <w:sz w:val="24"/>
                <w:szCs w:val="24"/>
                <w14:textFill>
                  <w14:solidFill>
                    <w14:schemeClr w14:val="tx1"/>
                  </w14:solidFill>
                </w14:textFill>
              </w:rPr>
              <w:t>的干扰将对本地区鸟类的觅食、栖息和繁殖有一定影响，侵占部分栖息地，使得施工区鸟类物种出现暂时性减少。施工期的噪</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声</w:t>
            </w:r>
            <w:r>
              <w:rPr>
                <w:rFonts w:hint="eastAsia" w:ascii="Times New Roman" w:hAnsi="Times New Roman" w:cs="Times New Roman"/>
                <w:b w:val="0"/>
                <w:bCs/>
                <w:color w:val="000000" w:themeColor="text1"/>
                <w:sz w:val="24"/>
                <w:szCs w:val="24"/>
                <w14:textFill>
                  <w14:solidFill>
                    <w14:schemeClr w14:val="tx1"/>
                  </w14:solidFill>
                </w14:textFill>
              </w:rPr>
              <w:t>、</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扬尘</w:t>
            </w:r>
            <w:r>
              <w:rPr>
                <w:rFonts w:hint="eastAsia" w:ascii="Times New Roman" w:hAnsi="Times New Roman" w:cs="Times New Roman"/>
                <w:b w:val="0"/>
                <w:bCs/>
                <w:color w:val="000000" w:themeColor="text1"/>
                <w:sz w:val="24"/>
                <w:szCs w:val="24"/>
                <w14:textFill>
                  <w14:solidFill>
                    <w14:schemeClr w14:val="tx1"/>
                  </w14:solidFill>
                </w14:textFill>
              </w:rPr>
              <w:t>污染以及对部分鸟类栖息地的破坏，将使一些原在此栖息、觅食的鸟类迁往别处。同时，可能会出现施工人员捕捉</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田间</w:t>
            </w:r>
            <w:r>
              <w:rPr>
                <w:rFonts w:hint="eastAsia" w:ascii="Times New Roman" w:hAnsi="Times New Roman" w:cs="Times New Roman"/>
                <w:b w:val="0"/>
                <w:bCs/>
                <w:color w:val="000000" w:themeColor="text1"/>
                <w:sz w:val="24"/>
                <w:szCs w:val="24"/>
                <w14:textFill>
                  <w14:solidFill>
                    <w14:schemeClr w14:val="tx1"/>
                  </w14:solidFill>
                </w14:textFill>
              </w:rPr>
              <w:t>竹鸡、野鸡等常见的体型较大鸟类的现象，若对施工人员的管理不善，将对这些物种造成一定伤害。</w:t>
            </w:r>
          </w:p>
          <w:p>
            <w:pPr>
              <w:autoSpaceDE w:val="0"/>
              <w:autoSpaceDN w:val="0"/>
              <w:adjustRightInd w:val="0"/>
              <w:snapToGrid w:val="0"/>
              <w:spacing w:line="360" w:lineRule="auto"/>
              <w:ind w:firstLine="480" w:firstLineChars="200"/>
              <w:rPr>
                <w:rFonts w:hint="eastAsia" w:ascii="Times New Roman" w:hAnsi="Times New Roman" w:cs="Times New Roman"/>
                <w:b w:val="0"/>
                <w:bCs/>
                <w:color w:val="000000" w:themeColor="text1"/>
                <w:sz w:val="24"/>
                <w:szCs w:val="24"/>
                <w14:textFill>
                  <w14:solidFill>
                    <w14:schemeClr w14:val="tx1"/>
                  </w14:solidFill>
                </w14:textFill>
              </w:rPr>
            </w:pPr>
            <w:r>
              <w:rPr>
                <w:rFonts w:hint="eastAsia" w:ascii="Times New Roman" w:hAnsi="Times New Roman" w:cs="Times New Roman"/>
                <w:b w:val="0"/>
                <w:bCs/>
                <w:color w:val="000000" w:themeColor="text1"/>
                <w:sz w:val="24"/>
                <w:szCs w:val="24"/>
                <w14:textFill>
                  <w14:solidFill>
                    <w14:schemeClr w14:val="tx1"/>
                  </w14:solidFill>
                </w14:textFill>
              </w:rPr>
              <w:t>本项目施工期间，由于</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各个</w:t>
            </w:r>
            <w:r>
              <w:rPr>
                <w:rFonts w:hint="eastAsia" w:ascii="Times New Roman" w:hAnsi="Times New Roman" w:cs="Times New Roman"/>
                <w:b w:val="0"/>
                <w:bCs/>
                <w:color w:val="000000" w:themeColor="text1"/>
                <w:sz w:val="24"/>
                <w:szCs w:val="24"/>
                <w14:textFill>
                  <w14:solidFill>
                    <w14:schemeClr w14:val="tx1"/>
                  </w14:solidFill>
                </w14:textFill>
              </w:rPr>
              <w:t>灌区内鸟类栖息环境分布广泛，且施工区常见鸟类活动范围较广，加之鸟类自身的迁移能力强，会使鸟类在受到干扰时及时避让到临近区域栖息、觅食和繁衍。施工结束后，施工区域鸟类数量将逐年恢复到原来水平。</w:t>
            </w:r>
          </w:p>
          <w:p>
            <w:pPr>
              <w:autoSpaceDE w:val="0"/>
              <w:autoSpaceDN w:val="0"/>
              <w:adjustRightInd w:val="0"/>
              <w:snapToGrid w:val="0"/>
              <w:spacing w:line="360" w:lineRule="auto"/>
              <w:ind w:firstLine="480" w:firstLineChars="200"/>
              <w:rPr>
                <w:rFonts w:hint="eastAsia" w:ascii="Times New Roman" w:hAnsi="Times New Roman" w:cs="Times New Roman"/>
                <w:b w:val="0"/>
                <w:bCs/>
                <w:color w:val="000000" w:themeColor="text1"/>
                <w:sz w:val="24"/>
                <w:szCs w:val="24"/>
                <w14:textFill>
                  <w14:solidFill>
                    <w14:schemeClr w14:val="tx1"/>
                  </w14:solidFill>
                </w14:textFill>
              </w:rPr>
            </w:pPr>
            <w:r>
              <w:rPr>
                <w:rFonts w:hint="eastAsia" w:ascii="Times New Roman" w:hAnsi="Times New Roman" w:cs="Times New Roman"/>
                <w:b w:val="0"/>
                <w:bCs/>
                <w:color w:val="000000" w:themeColor="text1"/>
                <w:sz w:val="24"/>
                <w:szCs w:val="24"/>
                <w14:textFill>
                  <w14:solidFill>
                    <w14:schemeClr w14:val="tx1"/>
                  </w14:solidFill>
                </w14:textFill>
              </w:rPr>
              <w:t>C</w:t>
            </w:r>
            <w:r>
              <w:rPr>
                <w:rFonts w:hint="eastAsia" w:ascii="Times New Roman" w:hAnsi="Times New Roman" w:cs="Times New Roman"/>
                <w:b w:val="0"/>
                <w:bCs/>
                <w:color w:val="000000" w:themeColor="text1"/>
                <w:sz w:val="24"/>
                <w:szCs w:val="24"/>
                <w:lang w:eastAsia="zh-CN"/>
                <w14:textFill>
                  <w14:solidFill>
                    <w14:schemeClr w14:val="tx1"/>
                  </w14:solidFill>
                </w14:textFill>
              </w:rPr>
              <w:t>、</w:t>
            </w:r>
            <w:r>
              <w:rPr>
                <w:rFonts w:hint="eastAsia" w:ascii="Times New Roman" w:hAnsi="Times New Roman" w:cs="Times New Roman"/>
                <w:b w:val="0"/>
                <w:bCs/>
                <w:color w:val="000000" w:themeColor="text1"/>
                <w:sz w:val="24"/>
                <w:szCs w:val="24"/>
                <w14:textFill>
                  <w14:solidFill>
                    <w14:schemeClr w14:val="tx1"/>
                  </w14:solidFill>
                </w14:textFill>
              </w:rPr>
              <w:t>对兽类的影响</w:t>
            </w:r>
          </w:p>
          <w:p>
            <w:pPr>
              <w:autoSpaceDE w:val="0"/>
              <w:autoSpaceDN w:val="0"/>
              <w:adjustRightInd w:val="0"/>
              <w:snapToGrid w:val="0"/>
              <w:spacing w:line="360" w:lineRule="auto"/>
              <w:ind w:firstLine="480" w:firstLineChars="200"/>
              <w:rPr>
                <w:rFonts w:hint="eastAsia" w:ascii="Times New Roman" w:hAnsi="Times New Roman" w:cs="Times New Roman"/>
                <w:b w:val="0"/>
                <w:bCs/>
                <w:color w:val="000000" w:themeColor="text1"/>
                <w:sz w:val="24"/>
                <w:szCs w:val="24"/>
                <w14:textFill>
                  <w14:solidFill>
                    <w14:schemeClr w14:val="tx1"/>
                  </w14:solidFill>
                </w14:textFill>
              </w:rPr>
            </w:pPr>
            <w:r>
              <w:rPr>
                <w:rFonts w:hint="eastAsia" w:ascii="Times New Roman" w:hAnsi="Times New Roman" w:cs="Times New Roman"/>
                <w:b w:val="0"/>
                <w:bCs/>
                <w:color w:val="000000" w:themeColor="text1"/>
                <w:sz w:val="24"/>
                <w:szCs w:val="24"/>
                <w14:textFill>
                  <w14:solidFill>
                    <w14:schemeClr w14:val="tx1"/>
                  </w14:solidFill>
                </w14:textFill>
              </w:rPr>
              <w:t>工程施工期间，由于大量施工机械及施工人员的进场，施工临时占地、开挖等将引起兽类向周边地区迁移。其中对半地下生活的中小型兽类影响相对较大，如草兔、狗獾(俗称狗猥子)、猪獾等。它们一般在山林、田野中地面活动觅食，栖息、避敌于洞穴中，有的也在地下寻找食物。施工期间会占用这些小型兽类的部分栖息地，开挖和</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人员活动</w:t>
            </w:r>
            <w:r>
              <w:rPr>
                <w:rFonts w:hint="eastAsia" w:ascii="Times New Roman" w:hAnsi="Times New Roman" w:cs="Times New Roman"/>
                <w:b w:val="0"/>
                <w:bCs/>
                <w:color w:val="000000" w:themeColor="text1"/>
                <w:sz w:val="24"/>
                <w:szCs w:val="24"/>
                <w14:textFill>
                  <w14:solidFill>
                    <w14:schemeClr w14:val="tx1"/>
                  </w14:solidFill>
                </w14:textFill>
              </w:rPr>
              <w:t>引起地面震动，将迫使它们远迁。施工期造成的植被局部破坏也将对工程区内的小型兽类</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觅食</w:t>
            </w:r>
            <w:r>
              <w:rPr>
                <w:rFonts w:hint="eastAsia" w:ascii="Times New Roman" w:hAnsi="Times New Roman" w:cs="Times New Roman"/>
                <w:b w:val="0"/>
                <w:bCs/>
                <w:color w:val="000000" w:themeColor="text1"/>
                <w:sz w:val="24"/>
                <w:szCs w:val="24"/>
                <w14:textFill>
                  <w14:solidFill>
                    <w14:schemeClr w14:val="tx1"/>
                  </w14:solidFill>
                </w14:textFill>
              </w:rPr>
              <w:t>产生一定影响。</w:t>
            </w:r>
          </w:p>
          <w:p>
            <w:pPr>
              <w:autoSpaceDE w:val="0"/>
              <w:autoSpaceDN w:val="0"/>
              <w:adjustRightInd w:val="0"/>
              <w:snapToGrid w:val="0"/>
              <w:spacing w:line="360" w:lineRule="auto"/>
              <w:ind w:firstLine="480" w:firstLineChars="200"/>
              <w:rPr>
                <w:rFonts w:hint="eastAsia" w:ascii="Times New Roman" w:hAnsi="Times New Roman" w:cs="Times New Roman"/>
                <w:b/>
                <w:color w:val="000000" w:themeColor="text1"/>
                <w:sz w:val="24"/>
                <w:szCs w:val="24"/>
                <w14:textFill>
                  <w14:solidFill>
                    <w14:schemeClr w14:val="tx1"/>
                  </w14:solidFill>
                </w14:textFill>
              </w:rPr>
            </w:pPr>
            <w:r>
              <w:rPr>
                <w:rFonts w:hint="eastAsia" w:ascii="Times New Roman" w:hAnsi="Times New Roman" w:cs="Times New Roman"/>
                <w:b w:val="0"/>
                <w:bCs/>
                <w:color w:val="000000" w:themeColor="text1"/>
                <w:sz w:val="24"/>
                <w:szCs w:val="24"/>
                <w14:textFill>
                  <w14:solidFill>
                    <w14:schemeClr w14:val="tx1"/>
                  </w14:solidFill>
                </w14:textFill>
              </w:rPr>
              <w:t>由于区域小型兽类分布较广，栖息地较多，兽类均具有较强的适应环境变化能力，工程施工期不会对它们造成明显的影响，施工结束后向外迁移的兽类会逐步返回到原栖息地。</w:t>
            </w:r>
          </w:p>
          <w:p>
            <w:pPr>
              <w:autoSpaceDE w:val="0"/>
              <w:autoSpaceDN w:val="0"/>
              <w:adjustRightInd w:val="0"/>
              <w:snapToGrid w:val="0"/>
              <w:spacing w:line="360" w:lineRule="auto"/>
              <w:ind w:firstLine="482" w:firstLineChars="200"/>
              <w:rPr>
                <w:rFonts w:ascii="Times New Roman" w:hAnsi="Times New Roman" w:cs="Times New Roman"/>
                <w:b/>
                <w:color w:val="000000" w:themeColor="text1"/>
                <w:sz w:val="24"/>
                <w:szCs w:val="24"/>
                <w14:textFill>
                  <w14:solidFill>
                    <w14:schemeClr w14:val="tx1"/>
                  </w14:solidFill>
                </w14:textFill>
              </w:rPr>
            </w:pPr>
            <w:r>
              <w:rPr>
                <w:rFonts w:hint="eastAsia" w:ascii="Times New Roman" w:hAnsi="Times New Roman" w:cs="Times New Roman"/>
                <w:b/>
                <w:color w:val="000000" w:themeColor="text1"/>
                <w:sz w:val="24"/>
                <w:szCs w:val="24"/>
                <w14:textFill>
                  <w14:solidFill>
                    <w14:schemeClr w14:val="tx1"/>
                  </w14:solidFill>
                </w14:textFill>
              </w:rPr>
              <w:t>（四）</w:t>
            </w:r>
            <w:r>
              <w:rPr>
                <w:rFonts w:ascii="Times New Roman" w:hAnsi="Times New Roman" w:cs="Times New Roman"/>
                <w:b/>
                <w:color w:val="000000" w:themeColor="text1"/>
                <w:sz w:val="24"/>
                <w:szCs w:val="24"/>
                <w14:textFill>
                  <w14:solidFill>
                    <w14:schemeClr w14:val="tx1"/>
                  </w14:solidFill>
                </w14:textFill>
              </w:rPr>
              <w:t>景观影响</w:t>
            </w:r>
            <w:r>
              <w:rPr>
                <w:rFonts w:hint="eastAsia" w:ascii="Times New Roman" w:hAnsi="Times New Roman" w:cs="Times New Roman"/>
                <w:b/>
                <w:color w:val="000000" w:themeColor="text1"/>
                <w:sz w:val="24"/>
                <w:szCs w:val="24"/>
                <w14:textFill>
                  <w14:solidFill>
                    <w14:schemeClr w14:val="tx1"/>
                  </w14:solidFill>
                </w14:textFill>
              </w:rPr>
              <w:t>分析</w:t>
            </w:r>
          </w:p>
          <w:p>
            <w:pPr>
              <w:autoSpaceDE w:val="0"/>
              <w:autoSpaceDN w:val="0"/>
              <w:adjustRightInd w:val="0"/>
              <w:snapToGrid w:val="0"/>
              <w:spacing w:line="360" w:lineRule="auto"/>
              <w:ind w:firstLine="480" w:firstLineChars="200"/>
              <w:rPr>
                <w:rFonts w:ascii="Times New Roman" w:hAnsi="Times New Roman" w:cs="Times New Roman"/>
                <w:bCs/>
                <w:color w:val="000000" w:themeColor="text1"/>
                <w:sz w:val="24"/>
                <w:szCs w:val="24"/>
                <w14:textFill>
                  <w14:solidFill>
                    <w14:schemeClr w14:val="tx1"/>
                  </w14:solidFill>
                </w14:textFill>
              </w:rPr>
            </w:pPr>
            <w:r>
              <w:rPr>
                <w:rFonts w:ascii="Times New Roman" w:hAnsi="Times New Roman" w:cs="Times New Roman"/>
                <w:bCs/>
                <w:color w:val="000000" w:themeColor="text1"/>
                <w:sz w:val="24"/>
                <w:szCs w:val="24"/>
                <w14:textFill>
                  <w14:solidFill>
                    <w14:schemeClr w14:val="tx1"/>
                  </w14:solidFill>
                </w14:textFill>
              </w:rPr>
              <w:t>本项目</w:t>
            </w:r>
            <w:r>
              <w:rPr>
                <w:rFonts w:hint="eastAsia" w:ascii="Times New Roman" w:hAnsi="Times New Roman" w:cs="Times New Roman"/>
                <w:bCs/>
                <w:color w:val="000000" w:themeColor="text1"/>
                <w:sz w:val="24"/>
                <w:szCs w:val="24"/>
                <w14:textFill>
                  <w14:solidFill>
                    <w14:schemeClr w14:val="tx1"/>
                  </w14:solidFill>
                </w14:textFill>
              </w:rPr>
              <w:t>施工期</w:t>
            </w:r>
            <w:r>
              <w:rPr>
                <w:rFonts w:hint="eastAsia" w:ascii="Times New Roman" w:hAnsi="Times New Roman" w:cs="Times New Roman"/>
                <w:bCs/>
                <w:color w:val="000000" w:themeColor="text1"/>
                <w:sz w:val="24"/>
                <w:szCs w:val="24"/>
                <w:lang w:val="en-US" w:eastAsia="zh-CN"/>
                <w14:textFill>
                  <w14:solidFill>
                    <w14:schemeClr w14:val="tx1"/>
                  </w14:solidFill>
                </w14:textFill>
              </w:rPr>
              <w:t>在14个灌区施工时</w:t>
            </w:r>
            <w:r>
              <w:rPr>
                <w:rFonts w:hint="eastAsia" w:ascii="Times New Roman" w:hAnsi="Times New Roman" w:cs="Times New Roman"/>
                <w:bCs/>
                <w:color w:val="000000" w:themeColor="text1"/>
                <w:sz w:val="24"/>
                <w:szCs w:val="24"/>
                <w14:textFill>
                  <w14:solidFill>
                    <w14:schemeClr w14:val="tx1"/>
                  </w14:solidFill>
                </w14:textFill>
              </w:rPr>
              <w:t>对景观产生的破坏作用明显</w:t>
            </w:r>
            <w:r>
              <w:rPr>
                <w:rFonts w:hint="eastAsia" w:ascii="Times New Roman" w:hAnsi="Times New Roman" w:cs="Times New Roman"/>
                <w:bCs/>
                <w:color w:val="000000" w:themeColor="text1"/>
                <w:sz w:val="24"/>
                <w:szCs w:val="24"/>
                <w:lang w:eastAsia="zh-CN"/>
                <w14:textFill>
                  <w14:solidFill>
                    <w14:schemeClr w14:val="tx1"/>
                  </w14:solidFill>
                </w14:textFill>
              </w:rPr>
              <w:t>，</w:t>
            </w:r>
            <w:r>
              <w:rPr>
                <w:rFonts w:hint="eastAsia" w:ascii="Times New Roman" w:hAnsi="Times New Roman" w:cs="Times New Roman"/>
                <w:bCs/>
                <w:color w:val="000000" w:themeColor="text1"/>
                <w:sz w:val="24"/>
                <w:szCs w:val="24"/>
                <w14:textFill>
                  <w14:solidFill>
                    <w14:schemeClr w14:val="tx1"/>
                  </w14:solidFill>
                </w14:textFill>
              </w:rPr>
              <w:t>施工作业带内植被受到破坏，</w:t>
            </w:r>
            <w:r>
              <w:rPr>
                <w:rFonts w:ascii="Times New Roman" w:hAnsi="Times New Roman" w:cs="Times New Roman"/>
                <w:bCs/>
                <w:color w:val="000000" w:themeColor="text1"/>
                <w:sz w:val="24"/>
                <w:szCs w:val="24"/>
                <w14:textFill>
                  <w14:solidFill>
                    <w14:schemeClr w14:val="tx1"/>
                  </w14:solidFill>
                </w14:textFill>
              </w:rPr>
              <w:t>区域设置</w:t>
            </w:r>
            <w:r>
              <w:rPr>
                <w:rFonts w:hint="eastAsia" w:ascii="Times New Roman" w:hAnsi="Times New Roman" w:cs="Times New Roman"/>
                <w:bCs/>
                <w:color w:val="000000" w:themeColor="text1"/>
                <w:sz w:val="24"/>
                <w:szCs w:val="24"/>
                <w14:textFill>
                  <w14:solidFill>
                    <w14:schemeClr w14:val="tx1"/>
                  </w14:solidFill>
                </w14:textFill>
              </w:rPr>
              <w:t>的临时</w:t>
            </w:r>
            <w:r>
              <w:rPr>
                <w:rFonts w:ascii="Times New Roman" w:hAnsi="Times New Roman" w:cs="Times New Roman"/>
                <w:bCs/>
                <w:color w:val="000000" w:themeColor="text1"/>
                <w:sz w:val="24"/>
                <w:szCs w:val="24"/>
                <w14:textFill>
                  <w14:solidFill>
                    <w14:schemeClr w14:val="tx1"/>
                  </w14:solidFill>
                </w14:textFill>
              </w:rPr>
              <w:t>施工场地</w:t>
            </w:r>
            <w:r>
              <w:rPr>
                <w:rFonts w:hint="eastAsia" w:ascii="Times New Roman" w:hAnsi="Times New Roman" w:cs="Times New Roman"/>
                <w:bCs/>
                <w:color w:val="000000" w:themeColor="text1"/>
                <w:sz w:val="24"/>
                <w:szCs w:val="24"/>
                <w14:textFill>
                  <w14:solidFill>
                    <w14:schemeClr w14:val="tx1"/>
                  </w14:solidFill>
                </w14:textFill>
              </w:rPr>
              <w:t>、临时堆土场</w:t>
            </w:r>
            <w:r>
              <w:rPr>
                <w:rFonts w:hint="eastAsia" w:ascii="Times New Roman" w:hAnsi="Times New Roman" w:cs="Times New Roman"/>
                <w:bCs/>
                <w:color w:val="000000" w:themeColor="text1"/>
                <w:sz w:val="24"/>
                <w:szCs w:val="24"/>
                <w:lang w:eastAsia="zh-CN"/>
                <w14:textFill>
                  <w14:solidFill>
                    <w14:schemeClr w14:val="tx1"/>
                  </w14:solidFill>
                </w14:textFill>
              </w:rPr>
              <w:t>、</w:t>
            </w:r>
            <w:r>
              <w:rPr>
                <w:rFonts w:hint="eastAsia" w:ascii="Times New Roman" w:hAnsi="Times New Roman" w:cs="Times New Roman"/>
                <w:bCs/>
                <w:color w:val="000000" w:themeColor="text1"/>
                <w:sz w:val="24"/>
                <w:szCs w:val="24"/>
                <w:lang w:val="en-US" w:eastAsia="zh-CN"/>
                <w14:textFill>
                  <w14:solidFill>
                    <w14:schemeClr w14:val="tx1"/>
                  </w14:solidFill>
                </w14:textFill>
              </w:rPr>
              <w:t>淤泥堆放场</w:t>
            </w:r>
            <w:r>
              <w:rPr>
                <w:rFonts w:hint="eastAsia" w:ascii="Times New Roman" w:hAnsi="Times New Roman" w:cs="Times New Roman"/>
                <w:bCs/>
                <w:color w:val="000000" w:themeColor="text1"/>
                <w:sz w:val="24"/>
                <w:szCs w:val="24"/>
                <w14:textFill>
                  <w14:solidFill>
                    <w14:schemeClr w14:val="tx1"/>
                  </w14:solidFill>
                </w14:textFill>
              </w:rPr>
              <w:t>，以及</w:t>
            </w:r>
            <w:r>
              <w:rPr>
                <w:rFonts w:ascii="Times New Roman" w:hAnsi="Times New Roman" w:cs="Times New Roman"/>
                <w:bCs/>
                <w:color w:val="000000" w:themeColor="text1"/>
                <w:sz w:val="24"/>
                <w:szCs w:val="24"/>
                <w14:textFill>
                  <w14:solidFill>
                    <w14:schemeClr w14:val="tx1"/>
                  </w14:solidFill>
                </w14:textFill>
              </w:rPr>
              <w:t>建筑材料的运输堆置，</w:t>
            </w:r>
            <w:r>
              <w:rPr>
                <w:rFonts w:hint="eastAsia" w:ascii="Times New Roman" w:hAnsi="Times New Roman" w:cs="Times New Roman"/>
                <w:bCs/>
                <w:color w:val="000000" w:themeColor="text1"/>
                <w:sz w:val="24"/>
                <w:szCs w:val="24"/>
                <w14:textFill>
                  <w14:solidFill>
                    <w14:schemeClr w14:val="tx1"/>
                  </w14:solidFill>
                </w14:textFill>
              </w:rPr>
              <w:t>均</w:t>
            </w:r>
            <w:r>
              <w:rPr>
                <w:rFonts w:ascii="Times New Roman" w:hAnsi="Times New Roman" w:cs="Times New Roman"/>
                <w:bCs/>
                <w:color w:val="000000" w:themeColor="text1"/>
                <w:sz w:val="24"/>
                <w:szCs w:val="24"/>
                <w14:textFill>
                  <w14:solidFill>
                    <w14:schemeClr w14:val="tx1"/>
                  </w14:solidFill>
                </w14:textFill>
              </w:rPr>
              <w:t>会造成</w:t>
            </w:r>
            <w:r>
              <w:rPr>
                <w:rFonts w:hint="eastAsia" w:ascii="Times New Roman" w:hAnsi="Times New Roman" w:cs="Times New Roman"/>
                <w:bCs/>
                <w:color w:val="000000" w:themeColor="text1"/>
                <w:sz w:val="24"/>
                <w:szCs w:val="24"/>
                <w14:textFill>
                  <w14:solidFill>
                    <w14:schemeClr w14:val="tx1"/>
                  </w14:solidFill>
                </w14:textFill>
              </w:rPr>
              <w:t>景观的破坏</w:t>
            </w:r>
            <w:r>
              <w:rPr>
                <w:rFonts w:ascii="Times New Roman" w:hAnsi="Times New Roman" w:cs="Times New Roman"/>
                <w:bCs/>
                <w:color w:val="000000" w:themeColor="text1"/>
                <w:sz w:val="24"/>
                <w:szCs w:val="24"/>
                <w14:textFill>
                  <w14:solidFill>
                    <w14:schemeClr w14:val="tx1"/>
                  </w14:solidFill>
                </w14:textFill>
              </w:rPr>
              <w:t>，对地形地貌景观产生扰动。但</w:t>
            </w:r>
            <w:r>
              <w:rPr>
                <w:rFonts w:hint="eastAsia" w:ascii="Times New Roman" w:hAnsi="Times New Roman" w:cs="Times New Roman"/>
                <w:bCs/>
                <w:color w:val="000000" w:themeColor="text1"/>
                <w:sz w:val="24"/>
                <w:szCs w:val="24"/>
                <w14:textFill>
                  <w14:solidFill>
                    <w14:schemeClr w14:val="tx1"/>
                  </w14:solidFill>
                </w14:textFill>
              </w:rPr>
              <w:t>随着</w:t>
            </w:r>
            <w:r>
              <w:rPr>
                <w:rFonts w:hint="eastAsia" w:ascii="Times New Roman" w:hAnsi="Times New Roman" w:cs="Times New Roman"/>
                <w:bCs/>
                <w:color w:val="000000" w:themeColor="text1"/>
                <w:sz w:val="24"/>
                <w:szCs w:val="24"/>
                <w:lang w:val="en-US" w:eastAsia="zh-CN"/>
                <w14:textFill>
                  <w14:solidFill>
                    <w14:schemeClr w14:val="tx1"/>
                  </w14:solidFill>
                </w14:textFill>
              </w:rPr>
              <w:t>渠道、管道的整治完成</w:t>
            </w:r>
            <w:r>
              <w:rPr>
                <w:rFonts w:hint="eastAsia" w:ascii="Times New Roman" w:hAnsi="Times New Roman" w:cs="Times New Roman"/>
                <w:bCs/>
                <w:color w:val="000000" w:themeColor="text1"/>
                <w:sz w:val="24"/>
                <w:szCs w:val="24"/>
                <w14:textFill>
                  <w14:solidFill>
                    <w14:schemeClr w14:val="tx1"/>
                  </w14:solidFill>
                </w14:textFill>
              </w:rPr>
              <w:t>、临时工程</w:t>
            </w:r>
            <w:r>
              <w:rPr>
                <w:rFonts w:hint="eastAsia" w:ascii="Times New Roman" w:hAnsi="Times New Roman" w:cs="Times New Roman"/>
                <w:bCs/>
                <w:color w:val="000000" w:themeColor="text1"/>
                <w:sz w:val="24"/>
                <w:szCs w:val="24"/>
                <w:lang w:val="en-US" w:eastAsia="zh-CN"/>
                <w14:textFill>
                  <w14:solidFill>
                    <w14:schemeClr w14:val="tx1"/>
                  </w14:solidFill>
                </w14:textFill>
              </w:rPr>
              <w:t>占地</w:t>
            </w:r>
            <w:r>
              <w:rPr>
                <w:rFonts w:hint="eastAsia" w:ascii="Times New Roman" w:hAnsi="Times New Roman" w:cs="Times New Roman"/>
                <w:bCs/>
                <w:color w:val="000000" w:themeColor="text1"/>
                <w:sz w:val="24"/>
                <w:szCs w:val="24"/>
                <w14:textFill>
                  <w14:solidFill>
                    <w14:schemeClr w14:val="tx1"/>
                  </w14:solidFill>
                </w14:textFill>
              </w:rPr>
              <w:t>的迹地恢复，区域景观相比较现状</w:t>
            </w:r>
            <w:r>
              <w:rPr>
                <w:rFonts w:hint="eastAsia" w:ascii="Times New Roman" w:hAnsi="Times New Roman" w:cs="Times New Roman"/>
                <w:bCs/>
                <w:color w:val="000000" w:themeColor="text1"/>
                <w:sz w:val="24"/>
                <w:szCs w:val="24"/>
                <w:lang w:val="en-US" w:eastAsia="zh-CN"/>
                <w14:textFill>
                  <w14:solidFill>
                    <w14:schemeClr w14:val="tx1"/>
                  </w14:solidFill>
                </w14:textFill>
              </w:rPr>
              <w:t>无明显差异</w:t>
            </w:r>
            <w:r>
              <w:rPr>
                <w:rFonts w:hint="eastAsia" w:ascii="Times New Roman" w:hAnsi="Times New Roman" w:cs="Times New Roman"/>
                <w:bCs/>
                <w:color w:val="000000" w:themeColor="text1"/>
                <w:sz w:val="24"/>
                <w:szCs w:val="24"/>
                <w14:textFill>
                  <w14:solidFill>
                    <w14:schemeClr w14:val="tx1"/>
                  </w14:solidFill>
                </w14:textFill>
              </w:rPr>
              <w:t>。</w:t>
            </w:r>
          </w:p>
          <w:p>
            <w:pPr>
              <w:autoSpaceDE w:val="0"/>
              <w:autoSpaceDN w:val="0"/>
              <w:adjustRightInd w:val="0"/>
              <w:snapToGrid w:val="0"/>
              <w:spacing w:line="360" w:lineRule="auto"/>
              <w:rPr>
                <w:rFonts w:ascii="Times New Roman" w:hAnsi="Times New Roman" w:cs="Times New Roman"/>
                <w:b/>
                <w:bCs/>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4"/>
                <w14:textFill>
                  <w14:solidFill>
                    <w14:schemeClr w14:val="tx1"/>
                  </w14:solidFill>
                </w14:textFill>
              </w:rPr>
              <w:t>二、</w:t>
            </w:r>
            <w:r>
              <w:rPr>
                <w:rFonts w:ascii="Times New Roman" w:hAnsi="Times New Roman" w:cs="Times New Roman"/>
                <w:b/>
                <w:bCs/>
                <w:color w:val="000000" w:themeColor="text1"/>
                <w:sz w:val="24"/>
                <w:szCs w:val="24"/>
                <w14:textFill>
                  <w14:solidFill>
                    <w14:schemeClr w14:val="tx1"/>
                  </w14:solidFill>
                </w14:textFill>
              </w:rPr>
              <w:t>水土流失影响</w:t>
            </w:r>
            <w:r>
              <w:rPr>
                <w:rFonts w:hint="eastAsia" w:ascii="Times New Roman" w:hAnsi="Times New Roman" w:cs="Times New Roman"/>
                <w:b/>
                <w:bCs/>
                <w:color w:val="000000" w:themeColor="text1"/>
                <w:sz w:val="24"/>
                <w:szCs w:val="24"/>
                <w14:textFill>
                  <w14:solidFill>
                    <w14:schemeClr w14:val="tx1"/>
                  </w14:solidFill>
                </w14:textFill>
              </w:rPr>
              <w:t>分析</w:t>
            </w:r>
          </w:p>
          <w:p>
            <w:pPr>
              <w:autoSpaceDE w:val="0"/>
              <w:autoSpaceDN w:val="0"/>
              <w:adjustRightInd w:val="0"/>
              <w:snapToGrid w:val="0"/>
              <w:spacing w:line="360" w:lineRule="auto"/>
              <w:ind w:firstLine="480" w:firstLineChars="200"/>
              <w:rPr>
                <w:rFonts w:ascii="Times New Roman" w:hAnsi="Times New Roman" w:cs="Times New Roman"/>
                <w:bCs/>
                <w:color w:val="000000" w:themeColor="text1"/>
                <w:sz w:val="24"/>
                <w:szCs w:val="24"/>
                <w14:textFill>
                  <w14:solidFill>
                    <w14:schemeClr w14:val="tx1"/>
                  </w14:solidFill>
                </w14:textFill>
              </w:rPr>
            </w:pPr>
            <w:r>
              <w:rPr>
                <w:rFonts w:ascii="Times New Roman" w:hAnsi="Times New Roman" w:cs="Times New Roman"/>
                <w:bCs/>
                <w:color w:val="000000" w:themeColor="text1"/>
                <w:sz w:val="24"/>
                <w:szCs w:val="24"/>
                <w14:textFill>
                  <w14:solidFill>
                    <w14:schemeClr w14:val="tx1"/>
                  </w14:solidFill>
                </w14:textFill>
              </w:rPr>
              <w:t>本项目施工期开挖过程将使原地表植被以及地形地貌受到破坏或扰动，使区域的表层土松散裸露或形成松散堆积体，失去原有植被的防冲、固土能力，在降雨等自然因素影响下，将造成新增的水土流失。因此，施工单位应采取以下措施防止水土流失：</w:t>
            </w:r>
          </w:p>
          <w:p>
            <w:pPr>
              <w:autoSpaceDE w:val="0"/>
              <w:autoSpaceDN w:val="0"/>
              <w:adjustRightInd w:val="0"/>
              <w:snapToGrid w:val="0"/>
              <w:spacing w:line="360" w:lineRule="auto"/>
              <w:ind w:firstLine="480" w:firstLineChars="200"/>
              <w:rPr>
                <w:rFonts w:ascii="Times New Roman" w:hAnsi="Times New Roman" w:cs="Times New Roman"/>
                <w:bCs/>
                <w:color w:val="000000" w:themeColor="text1"/>
                <w:sz w:val="24"/>
                <w:szCs w:val="24"/>
                <w14:textFill>
                  <w14:solidFill>
                    <w14:schemeClr w14:val="tx1"/>
                  </w14:solidFill>
                </w14:textFill>
              </w:rPr>
            </w:pPr>
            <w:r>
              <w:rPr>
                <w:rFonts w:hint="eastAsia" w:ascii="Times New Roman" w:hAnsi="Times New Roman" w:cs="Times New Roman"/>
                <w:bCs/>
                <w:color w:val="000000" w:themeColor="text1"/>
                <w:sz w:val="24"/>
                <w:szCs w:val="24"/>
                <w14:textFill>
                  <w14:solidFill>
                    <w14:schemeClr w14:val="tx1"/>
                  </w14:solidFill>
                </w14:textFill>
              </w:rPr>
              <w:t>1、</w:t>
            </w:r>
            <w:r>
              <w:rPr>
                <w:rFonts w:ascii="Times New Roman" w:hAnsi="Times New Roman" w:cs="Times New Roman"/>
                <w:bCs/>
                <w:color w:val="000000" w:themeColor="text1"/>
                <w:sz w:val="24"/>
                <w:szCs w:val="24"/>
                <w14:textFill>
                  <w14:solidFill>
                    <w14:schemeClr w14:val="tx1"/>
                  </w14:solidFill>
                </w14:textFill>
              </w:rPr>
              <w:t>施工期避开雨天进行开挖、渣土运输作业。</w:t>
            </w:r>
          </w:p>
          <w:p>
            <w:pPr>
              <w:autoSpaceDE w:val="0"/>
              <w:autoSpaceDN w:val="0"/>
              <w:adjustRightInd w:val="0"/>
              <w:snapToGrid w:val="0"/>
              <w:spacing w:line="360" w:lineRule="auto"/>
              <w:ind w:firstLine="480" w:firstLineChars="200"/>
              <w:rPr>
                <w:rFonts w:ascii="Times New Roman" w:hAnsi="Times New Roman" w:cs="Times New Roman"/>
                <w:bCs/>
                <w:color w:val="000000" w:themeColor="text1"/>
                <w:sz w:val="24"/>
                <w:szCs w:val="24"/>
                <w14:textFill>
                  <w14:solidFill>
                    <w14:schemeClr w14:val="tx1"/>
                  </w14:solidFill>
                </w14:textFill>
              </w:rPr>
            </w:pPr>
            <w:r>
              <w:rPr>
                <w:rFonts w:hint="eastAsia" w:ascii="Times New Roman" w:hAnsi="Times New Roman" w:cs="Times New Roman"/>
                <w:bCs/>
                <w:color w:val="000000" w:themeColor="text1"/>
                <w:sz w:val="24"/>
                <w:szCs w:val="24"/>
                <w14:textFill>
                  <w14:solidFill>
                    <w14:schemeClr w14:val="tx1"/>
                  </w14:solidFill>
                </w14:textFill>
              </w:rPr>
              <w:t>2、</w:t>
            </w:r>
            <w:r>
              <w:rPr>
                <w:rFonts w:hint="eastAsia" w:ascii="Times New Roman" w:hAnsi="Times New Roman" w:cs="Times New Roman"/>
                <w:bCs/>
                <w:color w:val="000000" w:themeColor="text1"/>
                <w:sz w:val="24"/>
                <w:szCs w:val="24"/>
                <w:lang w:val="en-US" w:eastAsia="zh-CN"/>
                <w14:textFill>
                  <w14:solidFill>
                    <w14:schemeClr w14:val="tx1"/>
                  </w14:solidFill>
                </w14:textFill>
              </w:rPr>
              <w:t>临时施工场地、临时堆土场、淤泥堆放场</w:t>
            </w:r>
            <w:r>
              <w:rPr>
                <w:rFonts w:ascii="Times New Roman" w:hAnsi="Times New Roman" w:cs="Times New Roman"/>
                <w:bCs/>
                <w:color w:val="000000" w:themeColor="text1"/>
                <w:sz w:val="24"/>
                <w:szCs w:val="24"/>
                <w14:textFill>
                  <w14:solidFill>
                    <w14:schemeClr w14:val="tx1"/>
                  </w14:solidFill>
                </w14:textFill>
              </w:rPr>
              <w:t>应设置</w:t>
            </w:r>
            <w:r>
              <w:rPr>
                <w:rFonts w:hint="eastAsia" w:ascii="Times New Roman" w:hAnsi="Times New Roman" w:cs="Times New Roman"/>
                <w:bCs/>
                <w:color w:val="000000" w:themeColor="text1"/>
                <w:sz w:val="24"/>
                <w:szCs w:val="24"/>
                <w:lang w:val="en-US" w:eastAsia="zh-CN"/>
                <w14:textFill>
                  <w14:solidFill>
                    <w14:schemeClr w14:val="tx1"/>
                  </w14:solidFill>
                </w14:textFill>
              </w:rPr>
              <w:t>环形截留</w:t>
            </w:r>
            <w:r>
              <w:rPr>
                <w:rFonts w:ascii="Times New Roman" w:hAnsi="Times New Roman" w:cs="Times New Roman"/>
                <w:bCs/>
                <w:color w:val="000000" w:themeColor="text1"/>
                <w:sz w:val="24"/>
                <w:szCs w:val="24"/>
                <w14:textFill>
                  <w14:solidFill>
                    <w14:schemeClr w14:val="tx1"/>
                  </w14:solidFill>
                </w14:textFill>
              </w:rPr>
              <w:t>沟，出口设沉淀池，使雨水经沉淀池沉清后回用，尽力减少施工期水土流失。</w:t>
            </w:r>
          </w:p>
          <w:p>
            <w:pPr>
              <w:autoSpaceDE w:val="0"/>
              <w:autoSpaceDN w:val="0"/>
              <w:adjustRightInd w:val="0"/>
              <w:snapToGrid w:val="0"/>
              <w:spacing w:line="360" w:lineRule="auto"/>
              <w:ind w:firstLine="480" w:firstLineChars="200"/>
              <w:rPr>
                <w:rFonts w:ascii="Times New Roman" w:hAnsi="Times New Roman" w:cs="Times New Roman"/>
                <w:bCs/>
                <w:color w:val="000000" w:themeColor="text1"/>
                <w:sz w:val="24"/>
                <w:szCs w:val="24"/>
                <w14:textFill>
                  <w14:solidFill>
                    <w14:schemeClr w14:val="tx1"/>
                  </w14:solidFill>
                </w14:textFill>
              </w:rPr>
            </w:pPr>
            <w:r>
              <w:rPr>
                <w:rFonts w:hint="eastAsia" w:ascii="Times New Roman" w:hAnsi="Times New Roman" w:cs="Times New Roman"/>
                <w:bCs/>
                <w:color w:val="000000" w:themeColor="text1"/>
                <w:sz w:val="24"/>
                <w:szCs w:val="24"/>
                <w14:textFill>
                  <w14:solidFill>
                    <w14:schemeClr w14:val="tx1"/>
                  </w14:solidFill>
                </w14:textFill>
              </w:rPr>
              <w:t>3、</w:t>
            </w:r>
            <w:r>
              <w:rPr>
                <w:rFonts w:ascii="Times New Roman" w:hAnsi="Times New Roman" w:cs="Times New Roman"/>
                <w:bCs/>
                <w:color w:val="000000" w:themeColor="text1"/>
                <w:sz w:val="24"/>
                <w:szCs w:val="24"/>
                <w14:textFill>
                  <w14:solidFill>
                    <w14:schemeClr w14:val="tx1"/>
                  </w14:solidFill>
                </w14:textFill>
              </w:rPr>
              <w:t>临时堆场应上盖防雨薄膜覆盖，避免雨水冲刷，减少损失。</w:t>
            </w:r>
          </w:p>
          <w:p>
            <w:pPr>
              <w:autoSpaceDE w:val="0"/>
              <w:autoSpaceDN w:val="0"/>
              <w:adjustRightInd w:val="0"/>
              <w:snapToGrid w:val="0"/>
              <w:spacing w:line="360" w:lineRule="auto"/>
              <w:ind w:firstLine="480" w:firstLineChars="200"/>
              <w:rPr>
                <w:rFonts w:ascii="Times New Roman" w:hAnsi="Times New Roman" w:cs="Times New Roman"/>
                <w:bCs/>
                <w:color w:val="000000" w:themeColor="text1"/>
                <w:sz w:val="24"/>
                <w:szCs w:val="24"/>
                <w14:textFill>
                  <w14:solidFill>
                    <w14:schemeClr w14:val="tx1"/>
                  </w14:solidFill>
                </w14:textFill>
              </w:rPr>
            </w:pPr>
            <w:r>
              <w:rPr>
                <w:rFonts w:hint="eastAsia" w:ascii="Times New Roman" w:hAnsi="Times New Roman" w:cs="Times New Roman"/>
                <w:bCs/>
                <w:color w:val="000000" w:themeColor="text1"/>
                <w:sz w:val="24"/>
                <w:szCs w:val="24"/>
                <w14:textFill>
                  <w14:solidFill>
                    <w14:schemeClr w14:val="tx1"/>
                  </w14:solidFill>
                </w14:textFill>
              </w:rPr>
              <w:t>4、</w:t>
            </w:r>
            <w:r>
              <w:rPr>
                <w:rFonts w:ascii="Times New Roman" w:hAnsi="Times New Roman" w:cs="Times New Roman"/>
                <w:bCs/>
                <w:color w:val="000000" w:themeColor="text1"/>
                <w:sz w:val="24"/>
                <w:szCs w:val="24"/>
                <w14:textFill>
                  <w14:solidFill>
                    <w14:schemeClr w14:val="tx1"/>
                  </w14:solidFill>
                </w14:textFill>
              </w:rPr>
              <w:t>根据对工程建设过程中扰动、破坏原地表面积的预测，工程开挖及施工临时设施占地将对原地表具有水土保持功能的设施构成破坏，应按相关法律法规要求应予补偿。</w:t>
            </w:r>
          </w:p>
          <w:p>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val="0"/>
                <w:color w:val="000000" w:themeColor="text1"/>
                <w:sz w:val="24"/>
                <w:szCs w:val="24"/>
                <w:lang w:val="en-US" w:eastAsia="zh-CN"/>
                <w14:textFill>
                  <w14:solidFill>
                    <w14:schemeClr w14:val="tx1"/>
                  </w14:solidFill>
                </w14:textFill>
              </w:rPr>
            </w:pPr>
            <w:r>
              <w:rPr>
                <w:rFonts w:hint="eastAsia" w:ascii="Times New Roman" w:hAnsi="Times New Roman" w:cs="Times New Roman"/>
                <w:b/>
                <w:bCs w:val="0"/>
                <w:color w:val="000000" w:themeColor="text1"/>
                <w:sz w:val="24"/>
                <w:szCs w:val="24"/>
                <w:lang w:val="en-US" w:eastAsia="zh-CN"/>
                <w14:textFill>
                  <w14:solidFill>
                    <w14:schemeClr w14:val="tx1"/>
                  </w14:solidFill>
                </w14:textFill>
              </w:rPr>
              <w:t>5、通过现场踏勘，</w:t>
            </w:r>
            <w:r>
              <w:rPr>
                <w:rFonts w:hint="eastAsia"/>
                <w:b/>
                <w:bCs w:val="0"/>
                <w:color w:val="000000" w:themeColor="text1"/>
                <w:sz w:val="24"/>
                <w:szCs w:val="24"/>
                <w:lang w:val="en-US" w:eastAsia="zh-CN"/>
                <w14:textFill>
                  <w14:solidFill>
                    <w14:schemeClr w14:val="tx1"/>
                  </w14:solidFill>
                </w14:textFill>
              </w:rPr>
              <w:t>项目现有渠道、管道</w:t>
            </w:r>
            <w:r>
              <w:rPr>
                <w:rFonts w:hint="eastAsia" w:ascii="Times New Roman" w:hAnsi="Times New Roman" w:cs="Times New Roman"/>
                <w:b/>
                <w:bCs w:val="0"/>
                <w:color w:val="000000" w:themeColor="text1"/>
                <w:kern w:val="0"/>
                <w:sz w:val="24"/>
                <w:szCs w:val="24"/>
                <w:lang w:val="en-US" w:eastAsia="zh-CN"/>
                <w14:textFill>
                  <w14:solidFill>
                    <w14:schemeClr w14:val="tx1"/>
                  </w14:solidFill>
                </w14:textFill>
              </w:rPr>
              <w:t>破损、渗漏、垮塌等情况较多（见前文实景照片），由于渠道、管道两侧以耕地为主，部分渠道和管道的破损带来不同程度的水土流失，本项目实施后通过渠道和管道修复，耕地内土壤不再被冲刷、垮塌等进入渠道和管道，对输水线路两侧水土保持有一定的正效益。</w:t>
            </w:r>
          </w:p>
          <w:p>
            <w:pPr>
              <w:adjustRightInd w:val="0"/>
              <w:snapToGrid w:val="0"/>
              <w:spacing w:line="480" w:lineRule="exact"/>
              <w:rPr>
                <w:rFonts w:ascii="Times New Roman" w:hAnsi="Times New Roman" w:cs="Times New Roman"/>
                <w:b/>
                <w:bCs/>
                <w:color w:val="000000" w:themeColor="text1"/>
                <w:sz w:val="24"/>
                <w14:textFill>
                  <w14:solidFill>
                    <w14:schemeClr w14:val="tx1"/>
                  </w14:solidFill>
                </w14:textFill>
              </w:rPr>
            </w:pPr>
            <w:r>
              <w:rPr>
                <w:rFonts w:hint="eastAsia" w:ascii="Times New Roman" w:hAnsi="Times New Roman" w:cs="Times New Roman"/>
                <w:b/>
                <w:bCs/>
                <w:color w:val="000000" w:themeColor="text1"/>
                <w:sz w:val="24"/>
                <w14:textFill>
                  <w14:solidFill>
                    <w14:schemeClr w14:val="tx1"/>
                  </w14:solidFill>
                </w14:textFill>
              </w:rPr>
              <w:t>三、施工期污染物影响分析</w:t>
            </w:r>
          </w:p>
          <w:p>
            <w:pPr>
              <w:adjustRightInd w:val="0"/>
              <w:snapToGrid w:val="0"/>
              <w:spacing w:line="480" w:lineRule="exact"/>
              <w:ind w:firstLine="482" w:firstLineChars="200"/>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1、施工期环境空气影响分析</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施工期对大气环境的影响主要是由施工开挖、</w:t>
            </w:r>
            <w:r>
              <w:rPr>
                <w:rFonts w:hint="eastAsia" w:ascii="Times New Roman" w:hAnsi="Times New Roman" w:cs="Times New Roman"/>
                <w:color w:val="000000" w:themeColor="text1"/>
                <w:sz w:val="24"/>
                <w:lang w:val="en-US" w:eastAsia="zh-CN"/>
                <w14:textFill>
                  <w14:solidFill>
                    <w14:schemeClr w14:val="tx1"/>
                  </w14:solidFill>
                </w14:textFill>
              </w:rPr>
              <w:t>车辆运输</w:t>
            </w:r>
            <w:r>
              <w:rPr>
                <w:rFonts w:hint="eastAsia" w:ascii="Times New Roman" w:hAnsi="Times New Roman" w:cs="Times New Roman"/>
                <w:color w:val="000000" w:themeColor="text1"/>
                <w:sz w:val="24"/>
                <w14:textFill>
                  <w14:solidFill>
                    <w14:schemeClr w14:val="tx1"/>
                  </w14:solidFill>
                </w14:textFill>
              </w:rPr>
              <w:t>产生的施工扬尘</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14:textFill>
                  <w14:solidFill>
                    <w14:schemeClr w14:val="tx1"/>
                  </w14:solidFill>
                </w14:textFill>
              </w:rPr>
              <w:t>砼砂浆</w:t>
            </w:r>
            <w:r>
              <w:rPr>
                <w:rFonts w:hint="eastAsia" w:ascii="Times New Roman" w:hAnsi="Times New Roman" w:cs="Times New Roman"/>
                <w:color w:val="000000" w:themeColor="text1"/>
                <w:sz w:val="24"/>
                <w:lang w:val="en-US" w:eastAsia="zh-CN"/>
                <w14:textFill>
                  <w14:solidFill>
                    <w14:schemeClr w14:val="tx1"/>
                  </w14:solidFill>
                </w14:textFill>
              </w:rPr>
              <w:t>拌合产生的拌合粉尘</w:t>
            </w:r>
            <w:r>
              <w:rPr>
                <w:rFonts w:hint="eastAsia"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渠道和管道清淤恶臭气体、</w:t>
            </w:r>
            <w:r>
              <w:rPr>
                <w:rFonts w:hint="eastAsia" w:ascii="Times New Roman" w:hAnsi="Times New Roman" w:cs="Times New Roman"/>
                <w:color w:val="000000" w:themeColor="text1"/>
                <w:sz w:val="24"/>
                <w14:textFill>
                  <w14:solidFill>
                    <w14:schemeClr w14:val="tx1"/>
                  </w14:solidFill>
                </w14:textFill>
              </w:rPr>
              <w:t>施工过程中燃油以及机动车辆运输等产生的二氧化碳、一氧化碳、氮氧化物、</w:t>
            </w:r>
            <w:r>
              <w:rPr>
                <w:rFonts w:hint="eastAsia" w:ascii="Times New Roman" w:hAnsi="Times New Roman" w:cs="Times New Roman"/>
                <w:color w:val="000000" w:themeColor="text1"/>
                <w:sz w:val="24"/>
                <w:lang w:val="en-US" w:eastAsia="zh-CN"/>
                <w14:textFill>
                  <w14:solidFill>
                    <w14:schemeClr w14:val="tx1"/>
                  </w14:solidFill>
                </w14:textFill>
              </w:rPr>
              <w:t>THC</w:t>
            </w:r>
            <w:r>
              <w:rPr>
                <w:rFonts w:hint="eastAsia" w:ascii="Times New Roman" w:hAnsi="Times New Roman" w:cs="Times New Roman"/>
                <w:color w:val="000000" w:themeColor="text1"/>
                <w:sz w:val="24"/>
                <w14:textFill>
                  <w14:solidFill>
                    <w14:schemeClr w14:val="tx1"/>
                  </w14:solidFill>
                </w14:textFill>
              </w:rPr>
              <w:t>和烟尘等。</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（1）施工扬尘</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施工期扬尘主要来自以下几方面：</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①施工作业带、施工场地地表清理、表土剥离、表土回填等产生的扬尘；</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②</w:t>
            </w:r>
            <w:r>
              <w:rPr>
                <w:rFonts w:hint="eastAsia" w:ascii="Times New Roman" w:hAnsi="Times New Roman" w:cs="Times New Roman"/>
                <w:color w:val="000000" w:themeColor="text1"/>
                <w:sz w:val="24"/>
                <w:lang w:val="en-US" w:eastAsia="zh-CN"/>
                <w14:textFill>
                  <w14:solidFill>
                    <w14:schemeClr w14:val="tx1"/>
                  </w14:solidFill>
                </w14:textFill>
              </w:rPr>
              <w:t>渠道和管道</w:t>
            </w:r>
            <w:r>
              <w:rPr>
                <w:rFonts w:hint="eastAsia" w:ascii="Times New Roman" w:hAnsi="Times New Roman" w:cs="Times New Roman"/>
                <w:color w:val="000000" w:themeColor="text1"/>
                <w:sz w:val="24"/>
                <w14:textFill>
                  <w14:solidFill>
                    <w14:schemeClr w14:val="tx1"/>
                  </w14:solidFill>
                </w14:textFill>
              </w:rPr>
              <w:t>施工、土石方开挖、现场堆放、回填等工程产生扬尘；</w:t>
            </w:r>
          </w:p>
          <w:p>
            <w:pPr>
              <w:adjustRightInd w:val="0"/>
              <w:snapToGrid w:val="0"/>
              <w:spacing w:line="480" w:lineRule="exact"/>
              <w:ind w:firstLine="480" w:firstLineChars="20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③施工多余土石方堆放产生扬尘；</w:t>
            </w:r>
          </w:p>
          <w:p>
            <w:pPr>
              <w:adjustRightInd w:val="0"/>
              <w:snapToGrid w:val="0"/>
              <w:spacing w:line="480" w:lineRule="exact"/>
              <w:ind w:firstLine="480" w:firstLineChars="200"/>
              <w:rPr>
                <w:rFonts w:hint="default"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④车辆及施工机</w:t>
            </w:r>
            <w:r>
              <w:rPr>
                <w:rFonts w:hint="default" w:ascii="Times New Roman" w:hAnsi="Times New Roman" w:cs="Times New Roman"/>
                <w:color w:val="000000" w:themeColor="text1"/>
                <w:sz w:val="24"/>
                <w14:textFill>
                  <w14:solidFill>
                    <w14:schemeClr w14:val="tx1"/>
                  </w14:solidFill>
                </w14:textFill>
              </w:rPr>
              <w:t>械往来造成的道路扬尘。</w:t>
            </w:r>
          </w:p>
          <w:p>
            <w:pPr>
              <w:adjustRightInd w:val="0"/>
              <w:snapToGrid w:val="0"/>
              <w:spacing w:line="480" w:lineRule="exact"/>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尘粒在空气中的传播扩散与风速等气象条件有关，也与尘粒本身的沉降速度有关。尘粒的沉降速度随粒径的增大而迅速增大。当粒径为250μm时，沉降速度为1.005m/s，由此可以认为当尘粒大于250μm时，主要影响范围在扬尘点下风向近距离范围内，而真正对外环境产生影响的是一些微小尘粒。</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由于本项目为渠道</w:t>
            </w:r>
            <w:r>
              <w:rPr>
                <w:rFonts w:hint="eastAsia" w:ascii="Times New Roman" w:hAnsi="Times New Roman" w:cs="Times New Roman"/>
                <w:color w:val="000000" w:themeColor="text1"/>
                <w:sz w:val="24"/>
                <w:lang w:val="en-US" w:eastAsia="zh-CN"/>
                <w14:textFill>
                  <w14:solidFill>
                    <w14:schemeClr w14:val="tx1"/>
                  </w14:solidFill>
                </w14:textFill>
              </w:rPr>
              <w:t>/输水管道</w:t>
            </w:r>
            <w:r>
              <w:rPr>
                <w:rFonts w:hint="eastAsia" w:ascii="Times New Roman" w:hAnsi="Times New Roman" w:cs="Times New Roman"/>
                <w:color w:val="000000" w:themeColor="text1"/>
                <w:sz w:val="24"/>
                <w14:textFill>
                  <w14:solidFill>
                    <w14:schemeClr w14:val="tx1"/>
                  </w14:solidFill>
                </w14:textFill>
              </w:rPr>
              <w:t>施工，所处地为</w:t>
            </w:r>
            <w:r>
              <w:rPr>
                <w:rFonts w:hint="eastAsia" w:ascii="Times New Roman" w:hAnsi="Times New Roman" w:cs="Times New Roman"/>
                <w:color w:val="000000" w:themeColor="text1"/>
                <w:sz w:val="24"/>
                <w:lang w:val="en-US" w:eastAsia="zh-CN"/>
                <w14:textFill>
                  <w14:solidFill>
                    <w14:schemeClr w14:val="tx1"/>
                  </w14:solidFill>
                </w14:textFill>
              </w:rPr>
              <w:t>宣汉县的</w:t>
            </w:r>
            <w:r>
              <w:rPr>
                <w:rFonts w:hint="eastAsia" w:ascii="Times New Roman" w:hAnsi="Times New Roman" w:cs="Times New Roman"/>
                <w:color w:val="000000" w:themeColor="text1"/>
                <w:sz w:val="24"/>
                <w14:textFill>
                  <w14:solidFill>
                    <w14:schemeClr w14:val="tx1"/>
                  </w14:solidFill>
                </w14:textFill>
              </w:rPr>
              <w:t>农村环境，施工过程为分段进行，施工时间较短，以上地段沿线土壤多比较湿润，因此总体而言，施工作业扬尘污染是短时的，且影响不会很大。由于项目所在区气候湿润，再加上土壤本身的湿润性，地面开挖时产生的扬尘很少；在采取合理化管理、作业面和土堆适当喷水、土堆和建筑材料遮盖、大风天气停止作业等措施后，施工扬尘对周围保护目标的影响会大为降低。</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本项目实施建设过程时在车辆行驶路面、施工场地等采取洒水抑尘，每天洒水4~5次，使扬尘量减少70%。施工车辆采取篷布加盖措施，车辆运输尽量避开人口密集区、学校、医院等敏感点，工程施工扬尘对周围环境影响小。同时，结合本项目施工场地现状，为了尽可能减小项目对评价区域内环境空气质量形成的扬尘污染影响，施工单位应采取以下措施：</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①严格遵守</w:t>
            </w:r>
            <w:r>
              <w:rPr>
                <w:rFonts w:hint="eastAsia" w:ascii="Times New Roman" w:hAnsi="Times New Roman" w:cs="Times New Roman"/>
                <w:color w:val="000000" w:themeColor="text1"/>
                <w:sz w:val="24"/>
                <w:lang w:val="en-US" w:eastAsia="zh-CN"/>
                <w14:textFill>
                  <w14:solidFill>
                    <w14:schemeClr w14:val="tx1"/>
                  </w14:solidFill>
                </w14:textFill>
              </w:rPr>
              <w:t>达州市及宣汉县</w:t>
            </w:r>
            <w:r>
              <w:rPr>
                <w:rFonts w:hint="eastAsia" w:ascii="Times New Roman" w:hAnsi="Times New Roman" w:cs="Times New Roman"/>
                <w:color w:val="000000" w:themeColor="text1"/>
                <w:sz w:val="24"/>
                <w14:textFill>
                  <w14:solidFill>
                    <w14:schemeClr w14:val="tx1"/>
                  </w14:solidFill>
                </w14:textFill>
              </w:rPr>
              <w:t>相关的扬尘污染防治管理办法做好扬尘防护工作，工地文明施工，工程作业区的料堆、多余土石方、表土等应用塑料薄膜封盖和喷水使其保持湿润状态；在大风天气禁止进行开挖、填埋土石方作业。施工作业场地适时进行喷洒水降尘。</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②运输沙、石、水泥、土方、垃圾等易产生扬尘物质的车辆封盖严密，并在场地进出口</w:t>
            </w:r>
            <w:r>
              <w:rPr>
                <w:rFonts w:hint="eastAsia" w:ascii="Times New Roman" w:hAnsi="Times New Roman" w:cs="Times New Roman"/>
                <w:color w:val="000000" w:themeColor="text1"/>
                <w:sz w:val="24"/>
                <w:lang w:val="en-US" w:eastAsia="zh-CN"/>
                <w14:textFill>
                  <w14:solidFill>
                    <w14:schemeClr w14:val="tx1"/>
                  </w14:solidFill>
                </w14:textFill>
              </w:rPr>
              <w:t>设置车辆冲洗平台，</w:t>
            </w:r>
            <w:r>
              <w:rPr>
                <w:rFonts w:hint="eastAsia" w:ascii="Times New Roman" w:hAnsi="Times New Roman" w:cs="Times New Roman"/>
                <w:color w:val="000000" w:themeColor="text1"/>
                <w:sz w:val="24"/>
                <w14:textFill>
                  <w14:solidFill>
                    <w14:schemeClr w14:val="tx1"/>
                  </w14:solidFill>
                </w14:textFill>
              </w:rPr>
              <w:t>进行车辆</w:t>
            </w:r>
            <w:r>
              <w:rPr>
                <w:rFonts w:hint="eastAsia" w:ascii="Times New Roman" w:hAnsi="Times New Roman" w:cs="Times New Roman"/>
                <w:color w:val="000000" w:themeColor="text1"/>
                <w:sz w:val="24"/>
                <w:lang w:val="en-US" w:eastAsia="zh-CN"/>
                <w14:textFill>
                  <w14:solidFill>
                    <w14:schemeClr w14:val="tx1"/>
                  </w14:solidFill>
                </w14:textFill>
              </w:rPr>
              <w:t>冲洗</w:t>
            </w:r>
            <w:r>
              <w:rPr>
                <w:rFonts w:hint="eastAsia" w:ascii="Times New Roman" w:hAnsi="Times New Roman" w:cs="Times New Roman"/>
                <w:color w:val="000000" w:themeColor="text1"/>
                <w:sz w:val="24"/>
                <w14:textFill>
                  <w14:solidFill>
                    <w14:schemeClr w14:val="tx1"/>
                  </w14:solidFill>
                </w14:textFill>
              </w:rPr>
              <w:t>后出场。同时，施工单位应严格按照《关于印发四川省大气污染防治行动计划实施细则的通知》(川府发(2014)4号)、《中华人民共和国大气污染防治法》(2015年8月29日修订)、《达州市扬尘污染防治暂行规定》、达州市“五治”要求及相关规定中的要求加强施工场地扬尘的控制同时全面落实关于扬尘整治的要求，设置冲洗设施、湿法作业、配齐保洁人员定时清扫施工现场</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14:textFill>
                  <w14:solidFill>
                    <w14:schemeClr w14:val="tx1"/>
                  </w14:solidFill>
                </w14:textFill>
              </w:rPr>
              <w:t>不准车辆带泥出门，不准运渣车辆冒顶装载、不准高空抛撒建渣、不准场地积水、不准现场焚烧废弃物。要加强对建设工地的监督检查督促建设单位落实降尘、压尘和抑尘措施。严格落实《大气污染防治行动计划》(国发(2013)37号)和《四川省重污染天气应急预案(试行)》(川办发(2022)17号)中的要求加强施工场地扬尘的控制。</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本项目的渠道</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管道</w:t>
            </w:r>
            <w:r>
              <w:rPr>
                <w:rFonts w:hint="eastAsia" w:ascii="Times New Roman" w:hAnsi="Times New Roman" w:cs="Times New Roman"/>
                <w:color w:val="000000" w:themeColor="text1"/>
                <w:sz w:val="24"/>
                <w14:textFill>
                  <w14:solidFill>
                    <w14:schemeClr w14:val="tx1"/>
                  </w14:solidFill>
                </w14:textFill>
              </w:rPr>
              <w:t>工程施工开挖主要是机械配合人工开挖，人工开挖的扬尘影响远小于挖土机等机械造成的扬尘，且施工期周期较短，对周围环境影响较小。</w:t>
            </w:r>
          </w:p>
          <w:p>
            <w:pPr>
              <w:adjustRightInd w:val="0"/>
              <w:snapToGrid w:val="0"/>
              <w:spacing w:line="480" w:lineRule="exact"/>
              <w:ind w:firstLine="480" w:firstLineChars="200"/>
              <w:rPr>
                <w:rFonts w:hint="default" w:ascii="Times New Roman" w:hAnsi="Times New Roman" w:cs="Times New Roman"/>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2</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混凝土拌合粉尘</w:t>
            </w:r>
          </w:p>
          <w:p>
            <w:pPr>
              <w:adjustRightInd w:val="0"/>
              <w:snapToGrid w:val="0"/>
              <w:spacing w:line="480" w:lineRule="exact"/>
              <w:ind w:firstLine="480" w:firstLineChars="200"/>
              <w:rPr>
                <w:rFonts w:hint="eastAsia" w:ascii="Times New Roman" w:hAnsi="Times New Roman" w:cs="Times New Roman"/>
                <w:color w:val="000000" w:themeColor="text1"/>
                <w:sz w:val="24"/>
                <w:lang w:eastAsia="zh-CN"/>
                <w14:textFill>
                  <w14:solidFill>
                    <w14:schemeClr w14:val="tx1"/>
                  </w14:solidFill>
                </w14:textFill>
              </w:rPr>
            </w:pPr>
            <w:r>
              <w:rPr>
                <w:rFonts w:hint="eastAsia" w:ascii="Times New Roman" w:hAnsi="Times New Roman" w:cs="Times New Roman"/>
                <w:color w:val="000000" w:themeColor="text1"/>
                <w:sz w:val="24"/>
                <w:lang w:eastAsia="zh-CN"/>
                <w14:textFill>
                  <w14:solidFill>
                    <w14:schemeClr w14:val="tx1"/>
                  </w14:solidFill>
                </w14:textFill>
              </w:rPr>
              <w:t>本项目</w:t>
            </w:r>
            <w:r>
              <w:rPr>
                <w:rFonts w:hint="eastAsia" w:ascii="Times New Roman" w:hAnsi="Times New Roman" w:cs="Times New Roman"/>
                <w:color w:val="000000" w:themeColor="text1"/>
                <w:sz w:val="24"/>
                <w:lang w:val="en-US" w:eastAsia="zh-CN"/>
                <w14:textFill>
                  <w14:solidFill>
                    <w14:schemeClr w14:val="tx1"/>
                  </w14:solidFill>
                </w14:textFill>
              </w:rPr>
              <w:t>14个灌区渠道</w:t>
            </w:r>
            <w:r>
              <w:rPr>
                <w:rFonts w:hint="eastAsia" w:ascii="Times New Roman" w:hAnsi="Times New Roman" w:cs="Times New Roman"/>
                <w:color w:val="000000" w:themeColor="text1"/>
                <w:sz w:val="24"/>
                <w:lang w:eastAsia="zh-CN"/>
                <w14:textFill>
                  <w14:solidFill>
                    <w14:schemeClr w14:val="tx1"/>
                  </w14:solidFill>
                </w14:textFill>
              </w:rPr>
              <w:t>较分散，且基本沿着</w:t>
            </w:r>
            <w:r>
              <w:rPr>
                <w:rFonts w:hint="eastAsia" w:ascii="Times New Roman" w:hAnsi="Times New Roman" w:cs="Times New Roman"/>
                <w:color w:val="000000" w:themeColor="text1"/>
                <w:sz w:val="24"/>
                <w:lang w:val="en-US" w:eastAsia="zh-CN"/>
                <w14:textFill>
                  <w14:solidFill>
                    <w14:schemeClr w14:val="tx1"/>
                  </w14:solidFill>
                </w14:textFill>
              </w:rPr>
              <w:t>现有耕地</w:t>
            </w:r>
            <w:r>
              <w:rPr>
                <w:rFonts w:hint="eastAsia" w:ascii="Times New Roman" w:hAnsi="Times New Roman" w:cs="Times New Roman"/>
                <w:color w:val="000000" w:themeColor="text1"/>
                <w:sz w:val="24"/>
                <w:lang w:eastAsia="zh-CN"/>
                <w14:textFill>
                  <w14:solidFill>
                    <w14:schemeClr w14:val="tx1"/>
                  </w14:solidFill>
                </w14:textFill>
              </w:rPr>
              <w:t>布设，没有较宽道路相通，因此，商品混凝土无法运输，因此，选用小型移动拌合站。</w:t>
            </w:r>
          </w:p>
          <w:p>
            <w:pPr>
              <w:adjustRightInd w:val="0"/>
              <w:snapToGrid w:val="0"/>
              <w:spacing w:line="480" w:lineRule="exact"/>
              <w:ind w:firstLine="480" w:firstLineChars="200"/>
              <w:rPr>
                <w:rFonts w:hint="eastAsia" w:ascii="Times New Roman" w:hAnsi="Times New Roman" w:cs="Times New Roman"/>
                <w:color w:val="000000" w:themeColor="text1"/>
                <w:sz w:val="24"/>
                <w:lang w:eastAsia="zh-CN"/>
                <w14:textFill>
                  <w14:solidFill>
                    <w14:schemeClr w14:val="tx1"/>
                  </w14:solidFill>
                </w14:textFill>
              </w:rPr>
            </w:pPr>
            <w:r>
              <w:rPr>
                <w:rFonts w:hint="eastAsia" w:ascii="Times New Roman" w:hAnsi="Times New Roman" w:cs="Times New Roman"/>
                <w:color w:val="000000" w:themeColor="text1"/>
                <w:sz w:val="24"/>
                <w:lang w:eastAsia="zh-CN"/>
                <w14:textFill>
                  <w14:solidFill>
                    <w14:schemeClr w14:val="tx1"/>
                  </w14:solidFill>
                </w14:textFill>
              </w:rPr>
              <w:t>本项目</w:t>
            </w:r>
            <w:r>
              <w:rPr>
                <w:rFonts w:hint="eastAsia" w:ascii="Times New Roman" w:hAnsi="Times New Roman" w:cs="Times New Roman"/>
                <w:color w:val="000000" w:themeColor="text1"/>
                <w:sz w:val="24"/>
                <w:lang w:val="en-US" w:eastAsia="zh-CN"/>
                <w14:textFill>
                  <w14:solidFill>
                    <w14:schemeClr w14:val="tx1"/>
                  </w14:solidFill>
                </w14:textFill>
              </w:rPr>
              <w:t>在各灌区</w:t>
            </w:r>
            <w:r>
              <w:rPr>
                <w:rFonts w:hint="eastAsia" w:ascii="Times New Roman" w:hAnsi="Times New Roman" w:cs="Times New Roman"/>
                <w:color w:val="000000" w:themeColor="text1"/>
                <w:sz w:val="24"/>
                <w:lang w:eastAsia="zh-CN"/>
                <w14:textFill>
                  <w14:solidFill>
                    <w14:schemeClr w14:val="tx1"/>
                  </w14:solidFill>
                </w14:textFill>
              </w:rPr>
              <w:t>设置小型砼拌和站。本拌合站采用的拌和机为密闭式拌和机，拌和规模较小，同时，拌和过程中物料处于湿润状态，拌和粉尘产生较少，在密闭状态小逸散出来的废气较少，影响范围在5m范围内；本项目采用袋装水泥，采用人工拆袋投料，投料时采用水管喷淋，并对拌和原材料做好遮挡覆盖，</w:t>
            </w:r>
            <w:r>
              <w:rPr>
                <w:rFonts w:hint="eastAsia" w:ascii="Times New Roman" w:hAnsi="Times New Roman" w:cs="Times New Roman"/>
                <w:color w:val="000000" w:themeColor="text1"/>
                <w:sz w:val="24"/>
                <w:lang w:val="en-US" w:eastAsia="zh-CN"/>
                <w14:textFill>
                  <w14:solidFill>
                    <w14:schemeClr w14:val="tx1"/>
                  </w14:solidFill>
                </w14:textFill>
              </w:rPr>
              <w:t>安排专人拌合期间洒水降尘</w:t>
            </w:r>
            <w:r>
              <w:rPr>
                <w:rFonts w:hint="eastAsia" w:ascii="Times New Roman" w:hAnsi="Times New Roman" w:cs="Times New Roman"/>
                <w:color w:val="000000" w:themeColor="text1"/>
                <w:sz w:val="24"/>
                <w:lang w:eastAsia="zh-CN"/>
                <w14:textFill>
                  <w14:solidFill>
                    <w14:schemeClr w14:val="tx1"/>
                  </w14:solidFill>
                </w14:textFill>
              </w:rPr>
              <w:t>，避免大风天气进行拌合作业等措施减少粉尘产生量，拌和粉尘对大气环境的影响较小，不会对周围大气环境带来明显不良影响。</w:t>
            </w:r>
          </w:p>
          <w:p>
            <w:pPr>
              <w:adjustRightInd w:val="0"/>
              <w:snapToGrid w:val="0"/>
              <w:spacing w:line="48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3</w:t>
            </w:r>
            <w:r>
              <w:rPr>
                <w:rFonts w:hint="eastAsia" w:ascii="Times New Roman" w:hAnsi="Times New Roman" w:cs="Times New Roman"/>
                <w:color w:val="000000" w:themeColor="text1"/>
                <w:sz w:val="24"/>
                <w:lang w:eastAsia="zh-CN"/>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焊接烟尘</w:t>
            </w:r>
          </w:p>
          <w:p>
            <w:pPr>
              <w:adjustRightInd w:val="0"/>
              <w:snapToGrid w:val="0"/>
              <w:spacing w:line="480" w:lineRule="exact"/>
              <w:ind w:firstLine="480" w:firstLineChars="200"/>
              <w:rPr>
                <w:rFonts w:hint="eastAsia" w:ascii="Times New Roman" w:hAnsi="Times New Roman" w:cs="Times New Roman" w:eastAsiaTheme="minorEastAsia"/>
                <w:color w:val="000000" w:themeColor="text1"/>
                <w:sz w:val="24"/>
                <w:lang w:eastAsia="zh-CN"/>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在</w:t>
            </w:r>
            <w:r>
              <w:rPr>
                <w:rFonts w:hint="eastAsia" w:ascii="Times New Roman" w:hAnsi="Times New Roman" w:cs="Times New Roman"/>
                <w:color w:val="000000" w:themeColor="text1"/>
                <w:sz w:val="24"/>
                <w:szCs w:val="24"/>
                <w:lang w:val="en-US" w:eastAsia="zh-CN"/>
                <w14:textFill>
                  <w14:solidFill>
                    <w14:schemeClr w14:val="tx1"/>
                  </w14:solidFill>
                </w14:textFill>
              </w:rPr>
              <w:t>钢筋</w:t>
            </w:r>
            <w:r>
              <w:rPr>
                <w:rFonts w:ascii="Times New Roman" w:hAnsi="Times New Roman" w:cs="Times New Roman"/>
                <w:color w:val="000000" w:themeColor="text1"/>
                <w:sz w:val="24"/>
                <w:szCs w:val="24"/>
                <w14:textFill>
                  <w14:solidFill>
                    <w14:schemeClr w14:val="tx1"/>
                  </w14:solidFill>
                </w14:textFill>
              </w:rPr>
              <w:t>安装</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各类闸门安装</w:t>
            </w:r>
            <w:r>
              <w:rPr>
                <w:rFonts w:ascii="Times New Roman" w:hAnsi="Times New Roman" w:cs="Times New Roman"/>
                <w:color w:val="000000" w:themeColor="text1"/>
                <w:sz w:val="24"/>
                <w:szCs w:val="24"/>
                <w14:textFill>
                  <w14:solidFill>
                    <w14:schemeClr w14:val="tx1"/>
                  </w14:solidFill>
                </w14:textFill>
              </w:rPr>
              <w:t>施工过程中，会产生</w:t>
            </w:r>
            <w:r>
              <w:rPr>
                <w:rFonts w:hint="eastAsia" w:ascii="Times New Roman" w:hAnsi="Times New Roman" w:cs="Times New Roman"/>
                <w:color w:val="000000" w:themeColor="text1"/>
                <w:sz w:val="24"/>
                <w:szCs w:val="24"/>
                <w14:textFill>
                  <w14:solidFill>
                    <w14:schemeClr w14:val="tx1"/>
                  </w14:solidFill>
                </w14:textFill>
              </w:rPr>
              <w:t>少量</w:t>
            </w:r>
            <w:r>
              <w:rPr>
                <w:rFonts w:ascii="Times New Roman" w:hAnsi="Times New Roman" w:cs="Times New Roman"/>
                <w:color w:val="000000" w:themeColor="text1"/>
                <w:sz w:val="24"/>
                <w:szCs w:val="24"/>
                <w14:textFill>
                  <w14:solidFill>
                    <w14:schemeClr w14:val="tx1"/>
                  </w14:solidFill>
                </w14:textFill>
              </w:rPr>
              <w:t>焊接烟尘</w:t>
            </w:r>
            <w:r>
              <w:rPr>
                <w:rFonts w:hint="eastAsia" w:ascii="Times New Roman" w:hAnsi="Times New Roman" w:cs="Times New Roman"/>
                <w:color w:val="000000" w:themeColor="text1"/>
                <w:sz w:val="24"/>
                <w:szCs w:val="24"/>
                <w14:textFill>
                  <w14:solidFill>
                    <w14:schemeClr w14:val="tx1"/>
                  </w14:solidFill>
                </w14:textFill>
              </w:rPr>
              <w:t>，项目所在区域开阔，易于大气扩散，少量焊接烟尘不会对大气环境产生明显影响。</w:t>
            </w:r>
          </w:p>
          <w:p>
            <w:pPr>
              <w:adjustRightInd w:val="0"/>
              <w:snapToGrid w:val="0"/>
              <w:spacing w:line="480" w:lineRule="exact"/>
              <w:ind w:firstLine="480" w:firstLineChars="200"/>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4</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柴油发电机废气</w:t>
            </w:r>
          </w:p>
          <w:p>
            <w:pPr>
              <w:adjustRightInd w:val="0"/>
              <w:snapToGrid w:val="0"/>
              <w:spacing w:line="480" w:lineRule="exact"/>
              <w:ind w:firstLine="480" w:firstLineChars="200"/>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项目部分段需配置柴油发电机进行供电施工，通过选择0#清洁柴油，选择自带净化器的型号，通过区域良好的扩散条件后，不会对大气环境产生明显影响。</w:t>
            </w:r>
          </w:p>
          <w:p>
            <w:pPr>
              <w:adjustRightInd w:val="0"/>
              <w:snapToGrid w:val="0"/>
              <w:spacing w:line="480" w:lineRule="exact"/>
              <w:ind w:firstLine="480" w:firstLineChars="20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5</w:t>
            </w:r>
            <w:r>
              <w:rPr>
                <w:rFonts w:hint="eastAsia" w:ascii="Times New Roman" w:hAnsi="Times New Roman" w:cs="Times New Roman"/>
                <w:color w:val="000000" w:themeColor="text1"/>
                <w:sz w:val="24"/>
                <w14:textFill>
                  <w14:solidFill>
                    <w14:schemeClr w14:val="tx1"/>
                  </w14:solidFill>
                </w14:textFill>
              </w:rPr>
              <w:t>）燃油及运输车辆废气</w:t>
            </w:r>
          </w:p>
          <w:p>
            <w:pPr>
              <w:adjustRightInd w:val="0"/>
              <w:snapToGrid w:val="0"/>
              <w:spacing w:line="480" w:lineRule="exact"/>
              <w:ind w:firstLine="480" w:firstLineChars="200"/>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施工机械燃油废气主要来自以燃油为动力的施工机械和运输车辆。</w:t>
            </w:r>
          </w:p>
          <w:p>
            <w:pPr>
              <w:adjustRightInd w:val="0"/>
              <w:snapToGrid w:val="0"/>
              <w:spacing w:line="480" w:lineRule="exact"/>
              <w:ind w:firstLine="480" w:firstLineChars="200"/>
              <w:rPr>
                <w:rFonts w:ascii="Times New Roman" w:hAnsi="Times New Roman"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t>作业机械及运输车辆有载重车、柴油动力机械等燃油机械，排放的污染物主要有CO、SO</w:t>
            </w:r>
            <w:r>
              <w:rPr>
                <w:rFonts w:ascii="Times New Roman" w:hAnsi="Times New Roman" w:eastAsia="宋体" w:cs="Times New Roman"/>
                <w:color w:val="000000" w:themeColor="text1"/>
                <w:sz w:val="24"/>
                <w:vertAlign w:val="subscript"/>
                <w14:textFill>
                  <w14:solidFill>
                    <w14:schemeClr w14:val="tx1"/>
                  </w14:solidFill>
                </w14:textFill>
              </w:rPr>
              <w:t>2</w:t>
            </w:r>
            <w:r>
              <w:rPr>
                <w:rFonts w:ascii="Times New Roman" w:hAnsi="Times New Roman" w:eastAsia="宋体" w:cs="Times New Roman"/>
                <w:color w:val="000000" w:themeColor="text1"/>
                <w:sz w:val="24"/>
                <w14:textFill>
                  <w14:solidFill>
                    <w14:schemeClr w14:val="tx1"/>
                  </w14:solidFill>
                </w14:textFill>
              </w:rPr>
              <w:t>、NO</w:t>
            </w:r>
            <w:r>
              <w:rPr>
                <w:rFonts w:ascii="Times New Roman" w:hAnsi="Times New Roman" w:eastAsia="宋体" w:cs="Times New Roman"/>
                <w:color w:val="000000" w:themeColor="text1"/>
                <w:sz w:val="24"/>
                <w:vertAlign w:val="subscript"/>
                <w14:textFill>
                  <w14:solidFill>
                    <w14:schemeClr w14:val="tx1"/>
                  </w14:solidFill>
                </w14:textFill>
              </w:rPr>
              <w:t>2</w:t>
            </w:r>
            <w:r>
              <w:rPr>
                <w:rFonts w:ascii="Times New Roman" w:hAnsi="Times New Roman" w:eastAsia="宋体" w:cs="Times New Roman"/>
                <w:color w:val="000000" w:themeColor="text1"/>
                <w:sz w:val="24"/>
                <w14:textFill>
                  <w14:solidFill>
                    <w14:schemeClr w14:val="tx1"/>
                  </w14:solidFill>
                </w14:textFill>
              </w:rPr>
              <w:t>、THC等。由于施工机械多为大型机械，单车排放系数较大，但施工机械数量少且较为分散，其</w:t>
            </w:r>
            <w:r>
              <w:rPr>
                <w:rFonts w:ascii="Times New Roman" w:hAnsi="Times New Roman" w:cs="Times New Roman"/>
                <w:color w:val="000000" w:themeColor="text1"/>
                <w:sz w:val="24"/>
                <w14:textFill>
                  <w14:solidFill>
                    <w14:schemeClr w14:val="tx1"/>
                  </w14:solidFill>
                </w14:textFill>
              </w:rPr>
              <w:t>污染程度相对较轻。据类比工程监测，在安装尾气净化装置的情况下，距离现场50m处，CO、NO</w:t>
            </w:r>
            <w:r>
              <w:rPr>
                <w:rFonts w:ascii="Times New Roman" w:hAnsi="Times New Roman" w:cs="Times New Roman"/>
                <w:color w:val="000000" w:themeColor="text1"/>
                <w:sz w:val="24"/>
                <w:vertAlign w:val="subscript"/>
                <w14:textFill>
                  <w14:solidFill>
                    <w14:schemeClr w14:val="tx1"/>
                  </w14:solidFill>
                </w14:textFill>
              </w:rPr>
              <w:t xml:space="preserve">2 </w:t>
            </w:r>
            <w:r>
              <w:rPr>
                <w:rFonts w:ascii="Times New Roman" w:hAnsi="Times New Roman" w:cs="Times New Roman"/>
                <w:color w:val="000000" w:themeColor="text1"/>
                <w:sz w:val="24"/>
                <w14:textFill>
                  <w14:solidFill>
                    <w14:schemeClr w14:val="tx1"/>
                  </w14:solidFill>
                </w14:textFill>
              </w:rPr>
              <w:t>1小时平均浓度分别为0.2mg/m</w:t>
            </w:r>
            <w:r>
              <w:rPr>
                <w:rFonts w:ascii="Times New Roman" w:hAnsi="Times New Roman" w:cs="Times New Roman"/>
                <w:color w:val="000000" w:themeColor="text1"/>
                <w:sz w:val="24"/>
                <w:vertAlign w:val="super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和0.13mg/m</w:t>
            </w:r>
            <w:r>
              <w:rPr>
                <w:rFonts w:ascii="Times New Roman" w:hAnsi="Times New Roman" w:cs="Times New Roman"/>
                <w:color w:val="000000" w:themeColor="text1"/>
                <w:sz w:val="24"/>
                <w:vertAlign w:val="super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，日均浓度分别为0.13mg/m</w:t>
            </w:r>
            <w:r>
              <w:rPr>
                <w:rFonts w:ascii="Times New Roman" w:hAnsi="Times New Roman" w:cs="Times New Roman"/>
                <w:color w:val="000000" w:themeColor="text1"/>
                <w:sz w:val="24"/>
                <w:vertAlign w:val="super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和0.062mg/m</w:t>
            </w:r>
            <w:r>
              <w:rPr>
                <w:rFonts w:ascii="Times New Roman" w:hAnsi="Times New Roman" w:cs="Times New Roman"/>
                <w:color w:val="000000" w:themeColor="text1"/>
                <w:sz w:val="24"/>
                <w:vertAlign w:val="superscript"/>
                <w14:textFill>
                  <w14:solidFill>
                    <w14:schemeClr w14:val="tx1"/>
                  </w14:solidFill>
                </w14:textFill>
              </w:rPr>
              <w:t>3</w:t>
            </w:r>
            <w:r>
              <w:rPr>
                <w:rFonts w:ascii="Times New Roman" w:hAnsi="Times New Roman" w:cs="Times New Roman"/>
                <w:color w:val="000000" w:themeColor="text1"/>
                <w:sz w:val="24"/>
                <w14:textFill>
                  <w14:solidFill>
                    <w14:schemeClr w14:val="tx1"/>
                  </w14:solidFill>
                </w14:textFill>
              </w:rPr>
              <w:t>，均能满足《环境空气质量标准》（GB3095-2012）二级标准。</w:t>
            </w:r>
          </w:p>
          <w:p>
            <w:pPr>
              <w:adjustRightInd w:val="0"/>
              <w:snapToGrid w:val="0"/>
              <w:spacing w:line="480" w:lineRule="exact"/>
              <w:ind w:firstLine="480" w:firstLineChars="20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工程施工区空气流通性较好，排放废气中的各项污染物能够很快扩散，不会引起局部大气环境质量的恶化。加之废气排放的不连续性和本项目工程施工期有限，排放的废气对区域的环境空气质量影响是较小的。</w:t>
            </w:r>
          </w:p>
          <w:p>
            <w:pPr>
              <w:adjustRightInd w:val="0"/>
              <w:snapToGrid w:val="0"/>
              <w:spacing w:line="480" w:lineRule="exact"/>
              <w:ind w:firstLine="480" w:firstLineChars="200"/>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6</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渠道淤泥恶臭</w:t>
            </w:r>
          </w:p>
          <w:p>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渠道清理</w:t>
            </w:r>
            <w:r>
              <w:rPr>
                <w:rFonts w:hint="default" w:ascii="Times New Roman" w:hAnsi="Times New Roman" w:cs="Times New Roman"/>
                <w:color w:val="000000" w:themeColor="text1"/>
                <w:sz w:val="24"/>
                <w14:textFill>
                  <w14:solidFill>
                    <w14:schemeClr w14:val="tx1"/>
                  </w14:solidFill>
                </w14:textFill>
              </w:rPr>
              <w:t>产生的清淤底泥在</w:t>
            </w:r>
            <w:r>
              <w:rPr>
                <w:rFonts w:hint="eastAsia" w:ascii="Times New Roman" w:hAnsi="Times New Roman" w:cs="Times New Roman"/>
                <w:color w:val="000000" w:themeColor="text1"/>
                <w:sz w:val="24"/>
                <w:lang w:val="en-US" w:eastAsia="zh-CN"/>
                <w14:textFill>
                  <w14:solidFill>
                    <w14:schemeClr w14:val="tx1"/>
                  </w14:solidFill>
                </w14:textFill>
              </w:rPr>
              <w:t>淤泥堆放场</w:t>
            </w:r>
            <w:r>
              <w:rPr>
                <w:rFonts w:hint="default" w:ascii="Times New Roman" w:hAnsi="Times New Roman" w:cs="Times New Roman"/>
                <w:color w:val="000000" w:themeColor="text1"/>
                <w:sz w:val="24"/>
                <w14:textFill>
                  <w14:solidFill>
                    <w14:schemeClr w14:val="tx1"/>
                  </w14:solidFill>
                </w14:textFill>
              </w:rPr>
              <w:t>堆放、</w:t>
            </w:r>
            <w:r>
              <w:rPr>
                <w:rFonts w:hint="eastAsia" w:ascii="Times New Roman" w:hAnsi="Times New Roman" w:cs="Times New Roman"/>
                <w:color w:val="000000" w:themeColor="text1"/>
                <w:sz w:val="24"/>
                <w:lang w:val="en-US" w:eastAsia="zh-CN"/>
                <w14:textFill>
                  <w14:solidFill>
                    <w14:schemeClr w14:val="tx1"/>
                  </w14:solidFill>
                </w14:textFill>
              </w:rPr>
              <w:t>干化</w:t>
            </w:r>
            <w:r>
              <w:rPr>
                <w:rFonts w:hint="default" w:ascii="Times New Roman" w:hAnsi="Times New Roman" w:cs="Times New Roman"/>
                <w:color w:val="000000" w:themeColor="text1"/>
                <w:sz w:val="24"/>
                <w14:textFill>
                  <w14:solidFill>
                    <w14:schemeClr w14:val="tx1"/>
                  </w14:solidFill>
                </w14:textFill>
              </w:rPr>
              <w:t>过程中会产生</w:t>
            </w:r>
            <w:r>
              <w:rPr>
                <w:rFonts w:hint="eastAsia" w:ascii="Times New Roman" w:hAnsi="Times New Roman" w:cs="Times New Roman"/>
                <w:color w:val="000000" w:themeColor="text1"/>
                <w:sz w:val="24"/>
                <w:lang w:val="en-US" w:eastAsia="zh-CN"/>
                <w14:textFill>
                  <w14:solidFill>
                    <w14:schemeClr w14:val="tx1"/>
                  </w14:solidFill>
                </w14:textFill>
              </w:rPr>
              <w:t>少量</w:t>
            </w:r>
            <w:r>
              <w:rPr>
                <w:rFonts w:hint="default" w:ascii="Times New Roman" w:hAnsi="Times New Roman" w:cs="Times New Roman"/>
                <w:color w:val="000000" w:themeColor="text1"/>
                <w:sz w:val="24"/>
                <w14:textFill>
                  <w14:solidFill>
                    <w14:schemeClr w14:val="tx1"/>
                  </w14:solidFill>
                </w14:textFill>
              </w:rPr>
              <w:t>恶臭气体，</w:t>
            </w:r>
            <w:r>
              <w:rPr>
                <w:rFonts w:hint="default" w:ascii="Times New Roman" w:hAnsi="Times New Roman" w:cs="Times New Roman"/>
                <w:b/>
                <w:bCs/>
                <w:color w:val="000000" w:themeColor="text1"/>
                <w:sz w:val="24"/>
                <w:lang w:eastAsia="zh-CN"/>
                <w14:textFill>
                  <w14:solidFill>
                    <w14:schemeClr w14:val="tx1"/>
                  </w14:solidFill>
                </w14:textFill>
              </w:rPr>
              <w:t>由于</w:t>
            </w:r>
            <w:r>
              <w:rPr>
                <w:rFonts w:hint="eastAsia" w:ascii="Times New Roman" w:hAnsi="Times New Roman" w:cs="Times New Roman"/>
                <w:b/>
                <w:bCs/>
                <w:color w:val="000000" w:themeColor="text1"/>
                <w:sz w:val="24"/>
                <w:lang w:val="en-US" w:eastAsia="zh-CN"/>
                <w14:textFill>
                  <w14:solidFill>
                    <w14:schemeClr w14:val="tx1"/>
                  </w14:solidFill>
                </w14:textFill>
              </w:rPr>
              <w:t>14个灌区渠系以灌溉为主，不涉及污水排放口，</w:t>
            </w:r>
            <w:r>
              <w:rPr>
                <w:rFonts w:hint="default" w:ascii="Times New Roman" w:hAnsi="Times New Roman" w:cs="Times New Roman"/>
                <w:b/>
                <w:bCs/>
                <w:color w:val="000000" w:themeColor="text1"/>
                <w:sz w:val="24"/>
                <w14:textFill>
                  <w14:solidFill>
                    <w14:schemeClr w14:val="tx1"/>
                  </w14:solidFill>
                </w14:textFill>
              </w:rPr>
              <w:t>清淤</w:t>
            </w:r>
            <w:r>
              <w:rPr>
                <w:rFonts w:hint="default" w:ascii="Times New Roman" w:hAnsi="Times New Roman" w:cs="Times New Roman"/>
                <w:b/>
                <w:bCs/>
                <w:color w:val="000000" w:themeColor="text1"/>
                <w:sz w:val="24"/>
                <w:lang w:eastAsia="zh-CN"/>
                <w14:textFill>
                  <w14:solidFill>
                    <w14:schemeClr w14:val="tx1"/>
                  </w14:solidFill>
                </w14:textFill>
              </w:rPr>
              <w:t>淤泥以</w:t>
            </w:r>
            <w:r>
              <w:rPr>
                <w:rFonts w:hint="eastAsia" w:ascii="Times New Roman" w:hAnsi="Times New Roman" w:cs="Times New Roman"/>
                <w:b/>
                <w:bCs/>
                <w:color w:val="000000" w:themeColor="text1"/>
                <w:sz w:val="24"/>
                <w:lang w:val="en-US" w:eastAsia="zh-CN"/>
                <w14:textFill>
                  <w14:solidFill>
                    <w14:schemeClr w14:val="tx1"/>
                  </w14:solidFill>
                </w14:textFill>
              </w:rPr>
              <w:t>多年沉积的</w:t>
            </w:r>
            <w:r>
              <w:rPr>
                <w:rFonts w:hint="default" w:ascii="Times New Roman" w:hAnsi="Times New Roman" w:cs="Times New Roman"/>
                <w:b/>
                <w:bCs/>
                <w:color w:val="000000" w:themeColor="text1"/>
                <w:sz w:val="24"/>
                <w:lang w:eastAsia="zh-CN"/>
                <w14:textFill>
                  <w14:solidFill>
                    <w14:schemeClr w14:val="tx1"/>
                  </w14:solidFill>
                </w14:textFill>
              </w:rPr>
              <w:t>砂石为主</w:t>
            </w:r>
            <w:r>
              <w:rPr>
                <w:rFonts w:hint="default" w:ascii="Times New Roman" w:hAnsi="Times New Roman" w:cs="Times New Roman"/>
                <w:b/>
                <w:bCs/>
                <w:color w:val="000000" w:themeColor="text1"/>
                <w:sz w:val="24"/>
                <w14:textFill>
                  <w14:solidFill>
                    <w14:schemeClr w14:val="tx1"/>
                  </w14:solidFill>
                </w14:textFill>
              </w:rPr>
              <w:t>，渗水性较好，</w:t>
            </w:r>
            <w:r>
              <w:rPr>
                <w:rFonts w:hint="default" w:ascii="Times New Roman" w:hAnsi="Times New Roman" w:cs="Times New Roman"/>
                <w:b/>
                <w:bCs/>
                <w:color w:val="000000" w:themeColor="text1"/>
                <w:sz w:val="24"/>
                <w:lang w:eastAsia="zh-CN"/>
                <w14:textFill>
                  <w14:solidFill>
                    <w14:schemeClr w14:val="tx1"/>
                  </w14:solidFill>
                </w14:textFill>
              </w:rPr>
              <w:t>腐质</w:t>
            </w:r>
            <w:r>
              <w:rPr>
                <w:rFonts w:hint="default" w:ascii="Times New Roman" w:hAnsi="Times New Roman" w:cs="Times New Roman"/>
                <w:b/>
                <w:bCs/>
                <w:color w:val="000000" w:themeColor="text1"/>
                <w:sz w:val="24"/>
                <w14:textFill>
                  <w14:solidFill>
                    <w14:schemeClr w14:val="tx1"/>
                  </w14:solidFill>
                </w14:textFill>
              </w:rPr>
              <w:t>很少，</w:t>
            </w:r>
            <w:r>
              <w:rPr>
                <w:rFonts w:hint="default" w:ascii="Times New Roman" w:hAnsi="Times New Roman" w:cs="Times New Roman"/>
                <w:b/>
                <w:bCs/>
                <w:color w:val="000000" w:themeColor="text1"/>
                <w:sz w:val="24"/>
                <w:lang w:eastAsia="zh-CN"/>
                <w14:textFill>
                  <w14:solidFill>
                    <w14:schemeClr w14:val="tx1"/>
                  </w14:solidFill>
                </w14:textFill>
              </w:rPr>
              <w:t>恶臭浓度值较低</w:t>
            </w:r>
            <w:r>
              <w:rPr>
                <w:rFonts w:hint="default" w:ascii="Times New Roman" w:hAnsi="Times New Roman" w:cs="Times New Roman"/>
                <w:b/>
                <w:bCs/>
                <w:color w:val="000000" w:themeColor="text1"/>
                <w:sz w:val="24"/>
                <w14:textFill>
                  <w14:solidFill>
                    <w14:schemeClr w14:val="tx1"/>
                  </w14:solidFill>
                </w14:textFill>
              </w:rPr>
              <w:t>，</w:t>
            </w:r>
            <w:r>
              <w:rPr>
                <w:rFonts w:hint="eastAsia" w:ascii="Times New Roman" w:hAnsi="Times New Roman" w:cs="Times New Roman"/>
                <w:b/>
                <w:bCs/>
                <w:color w:val="000000" w:themeColor="text1"/>
                <w:sz w:val="24"/>
                <w:lang w:eastAsia="zh-CN"/>
                <w14:textFill>
                  <w14:solidFill>
                    <w14:schemeClr w14:val="tx1"/>
                  </w14:solidFill>
                </w14:textFill>
              </w:rPr>
              <w:t>通过区域大气扩散，臭气浓度在堆放区外</w:t>
            </w:r>
            <w:r>
              <w:rPr>
                <w:rFonts w:hint="eastAsia" w:ascii="Times New Roman" w:hAnsi="Times New Roman" w:cs="Times New Roman"/>
                <w:b/>
                <w:bCs/>
                <w:color w:val="000000" w:themeColor="text1"/>
                <w:sz w:val="24"/>
                <w:lang w:val="en-US" w:eastAsia="zh-CN"/>
                <w14:textFill>
                  <w14:solidFill>
                    <w14:schemeClr w14:val="tx1"/>
                  </w14:solidFill>
                </w14:textFill>
              </w:rPr>
              <w:t>50m可达到极微（1级），</w:t>
            </w:r>
            <w:r>
              <w:rPr>
                <w:rFonts w:hint="default" w:ascii="Times New Roman" w:hAnsi="Times New Roman" w:cs="Times New Roman"/>
                <w:color w:val="000000" w:themeColor="text1"/>
                <w:sz w:val="24"/>
                <w14:textFill>
                  <w14:solidFill>
                    <w14:schemeClr w14:val="tx1"/>
                  </w14:solidFill>
                </w14:textFill>
              </w:rPr>
              <w:t>类比同类</w:t>
            </w:r>
            <w:r>
              <w:rPr>
                <w:rFonts w:hint="eastAsia" w:ascii="Times New Roman" w:hAnsi="Times New Roman" w:cs="Times New Roman"/>
                <w:color w:val="000000" w:themeColor="text1"/>
                <w:sz w:val="24"/>
                <w:lang w:val="en-US" w:eastAsia="zh-CN"/>
                <w14:textFill>
                  <w14:solidFill>
                    <w14:schemeClr w14:val="tx1"/>
                  </w14:solidFill>
                </w14:textFill>
              </w:rPr>
              <w:t>渠系</w:t>
            </w:r>
            <w:r>
              <w:rPr>
                <w:rFonts w:hint="default" w:ascii="Times New Roman" w:hAnsi="Times New Roman" w:cs="Times New Roman"/>
                <w:color w:val="000000" w:themeColor="text1"/>
                <w:sz w:val="24"/>
                <w14:textFill>
                  <w14:solidFill>
                    <w14:schemeClr w14:val="tx1"/>
                  </w14:solidFill>
                </w14:textFill>
              </w:rPr>
              <w:t>整治工程</w:t>
            </w:r>
            <w:r>
              <w:rPr>
                <w:rFonts w:hint="eastAsia" w:ascii="Times New Roman" w:hAnsi="Times New Roman" w:cs="Times New Roman"/>
                <w:color w:val="000000" w:themeColor="text1"/>
                <w:sz w:val="24"/>
                <w:lang w:val="en-US" w:eastAsia="zh-CN"/>
                <w14:textFill>
                  <w14:solidFill>
                    <w14:schemeClr w14:val="tx1"/>
                  </w14:solidFill>
                </w14:textFill>
              </w:rPr>
              <w:t>清淤</w:t>
            </w:r>
            <w:r>
              <w:rPr>
                <w:rFonts w:hint="default" w:ascii="Times New Roman" w:hAnsi="Times New Roman" w:cs="Times New Roman"/>
                <w:color w:val="000000" w:themeColor="text1"/>
                <w:sz w:val="24"/>
                <w14:textFill>
                  <w14:solidFill>
                    <w14:schemeClr w14:val="tx1"/>
                  </w14:solidFill>
                </w14:textFill>
              </w:rPr>
              <w:t>底泥臭气影响强度见下表。</w:t>
            </w:r>
          </w:p>
          <w:p>
            <w:pPr>
              <w:spacing w:line="240" w:lineRule="auto"/>
              <w:ind w:firstLine="422" w:firstLineChars="200"/>
              <w:jc w:val="center"/>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b/>
                <w:bCs/>
                <w:color w:val="000000" w:themeColor="text1"/>
                <w:sz w:val="21"/>
                <w:szCs w:val="21"/>
                <w14:textFill>
                  <w14:solidFill>
                    <w14:schemeClr w14:val="tx1"/>
                  </w14:solidFill>
                </w14:textFill>
              </w:rPr>
              <w:t>-2  底泥臭气强度影响距离</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3021"/>
              <w:gridCol w:w="3016"/>
              <w:gridCol w:w="302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3" w:hRule="atLeast"/>
                <w:jc w:val="center"/>
              </w:trPr>
              <w:tc>
                <w:tcPr>
                  <w:tcW w:w="3021"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距离</w:t>
                  </w:r>
                </w:p>
              </w:tc>
              <w:tc>
                <w:tcPr>
                  <w:tcW w:w="3016"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臭气感觉强度</w:t>
                  </w:r>
                </w:p>
              </w:tc>
              <w:tc>
                <w:tcPr>
                  <w:tcW w:w="3022"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级别</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3" w:hRule="atLeast"/>
                <w:jc w:val="center"/>
              </w:trPr>
              <w:tc>
                <w:tcPr>
                  <w:tcW w:w="3021"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堆放区</w:t>
                  </w:r>
                </w:p>
              </w:tc>
              <w:tc>
                <w:tcPr>
                  <w:tcW w:w="3016"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有较明显臭味</w:t>
                  </w:r>
                </w:p>
              </w:tc>
              <w:tc>
                <w:tcPr>
                  <w:tcW w:w="3022"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3" w:hRule="atLeast"/>
                <w:jc w:val="center"/>
              </w:trPr>
              <w:tc>
                <w:tcPr>
                  <w:tcW w:w="3021"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堆放区30m</w:t>
                  </w:r>
                </w:p>
              </w:tc>
              <w:tc>
                <w:tcPr>
                  <w:tcW w:w="3016"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轻微</w:t>
                  </w:r>
                </w:p>
              </w:tc>
              <w:tc>
                <w:tcPr>
                  <w:tcW w:w="3022"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3" w:hRule="atLeast"/>
                <w:jc w:val="center"/>
              </w:trPr>
              <w:tc>
                <w:tcPr>
                  <w:tcW w:w="3021"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堆放区50m</w:t>
                  </w:r>
                </w:p>
              </w:tc>
              <w:tc>
                <w:tcPr>
                  <w:tcW w:w="3016"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极微</w:t>
                  </w:r>
                </w:p>
              </w:tc>
              <w:tc>
                <w:tcPr>
                  <w:tcW w:w="3022"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1" w:hRule="atLeast"/>
                <w:jc w:val="center"/>
              </w:trPr>
              <w:tc>
                <w:tcPr>
                  <w:tcW w:w="3021"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80m外</w:t>
                  </w:r>
                </w:p>
              </w:tc>
              <w:tc>
                <w:tcPr>
                  <w:tcW w:w="3016"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w:t>
                  </w:r>
                </w:p>
              </w:tc>
              <w:tc>
                <w:tcPr>
                  <w:tcW w:w="3022" w:type="dxa"/>
                  <w:noWrap w:val="0"/>
                  <w:vAlign w:val="top"/>
                </w:tcPr>
                <w:p>
                  <w:pPr>
                    <w:spacing w:line="24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0级</w:t>
                  </w:r>
                </w:p>
              </w:tc>
            </w:tr>
          </w:tbl>
          <w:p>
            <w:pPr>
              <w:spacing w:line="360" w:lineRule="auto"/>
              <w:ind w:firstLine="480"/>
              <w:rPr>
                <w:rFonts w:hint="eastAsia" w:ascii="Times New Roman" w:hAnsi="Times New Roman" w:cs="Times New Roman" w:eastAsiaTheme="minorEastAsia"/>
                <w:color w:val="000000" w:themeColor="text1"/>
                <w:sz w:val="24"/>
                <w:lang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本项目污泥共设置</w:t>
            </w:r>
            <w:r>
              <w:rPr>
                <w:rFonts w:hint="eastAsia" w:ascii="Times New Roman" w:hAnsi="Times New Roman" w:cs="Times New Roman"/>
                <w:color w:val="000000" w:themeColor="text1"/>
                <w:sz w:val="24"/>
                <w:lang w:val="en-US" w:eastAsia="zh-CN"/>
                <w14:textFill>
                  <w14:solidFill>
                    <w14:schemeClr w14:val="tx1"/>
                  </w14:solidFill>
                </w14:textFill>
              </w:rPr>
              <w:t>11</w:t>
            </w:r>
            <w:r>
              <w:rPr>
                <w:rFonts w:hint="default" w:ascii="Times New Roman" w:hAnsi="Times New Roman" w:cs="Times New Roman"/>
                <w:color w:val="000000" w:themeColor="text1"/>
                <w:sz w:val="24"/>
                <w14:textFill>
                  <w14:solidFill>
                    <w14:schemeClr w14:val="tx1"/>
                  </w14:solidFill>
                </w14:textFill>
              </w:rPr>
              <w:t>个</w:t>
            </w:r>
            <w:r>
              <w:rPr>
                <w:rFonts w:hint="eastAsia" w:ascii="Times New Roman" w:hAnsi="Times New Roman" w:cs="Times New Roman"/>
                <w:color w:val="000000" w:themeColor="text1"/>
                <w:sz w:val="24"/>
                <w:lang w:val="en-US" w:eastAsia="zh-CN"/>
                <w14:textFill>
                  <w14:solidFill>
                    <w14:schemeClr w14:val="tx1"/>
                  </w14:solidFill>
                </w14:textFill>
              </w:rPr>
              <w:t>淤泥堆放场</w:t>
            </w:r>
            <w:r>
              <w:rPr>
                <w:rFonts w:hint="default" w:ascii="Times New Roman" w:hAnsi="Times New Roman" w:cs="Times New Roman"/>
                <w:color w:val="000000" w:themeColor="text1"/>
                <w:sz w:val="24"/>
                <w14:textFill>
                  <w14:solidFill>
                    <w14:schemeClr w14:val="tx1"/>
                  </w14:solidFill>
                </w14:textFill>
              </w:rPr>
              <w:t>，各个排泥场附近</w:t>
            </w:r>
            <w:r>
              <w:rPr>
                <w:rFonts w:hint="eastAsia"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14:textFill>
                  <w14:solidFill>
                    <w14:schemeClr w14:val="tx1"/>
                  </w14:solidFill>
                </w14:textFill>
              </w:rPr>
              <w:t>0m范围内均无</w:t>
            </w:r>
            <w:r>
              <w:rPr>
                <w:rFonts w:hint="eastAsia" w:ascii="Times New Roman" w:hAnsi="Times New Roman" w:cs="Times New Roman"/>
                <w:color w:val="000000" w:themeColor="text1"/>
                <w:sz w:val="24"/>
                <w:lang w:val="en-US" w:eastAsia="zh-CN"/>
                <w14:textFill>
                  <w14:solidFill>
                    <w14:schemeClr w14:val="tx1"/>
                  </w14:solidFill>
                </w14:textFill>
              </w:rPr>
              <w:t>较集中</w:t>
            </w:r>
            <w:r>
              <w:rPr>
                <w:rFonts w:hint="default" w:ascii="Times New Roman" w:hAnsi="Times New Roman" w:cs="Times New Roman"/>
                <w:color w:val="000000" w:themeColor="text1"/>
                <w:sz w:val="24"/>
                <w14:textFill>
                  <w14:solidFill>
                    <w14:schemeClr w14:val="tx1"/>
                  </w14:solidFill>
                </w14:textFill>
              </w:rPr>
              <w:t>居民住户等敏感目标，污泥堆放期间恶臭只对过往行人产生影响，且随施工期结束而消失；</w:t>
            </w:r>
            <w:r>
              <w:rPr>
                <w:rFonts w:hint="eastAsia" w:ascii="Times New Roman" w:hAnsi="Times New Roman" w:cs="Times New Roman"/>
                <w:color w:val="000000" w:themeColor="text1"/>
                <w:sz w:val="24"/>
                <w:lang w:eastAsia="zh-CN"/>
                <w14:textFill>
                  <w14:solidFill>
                    <w14:schemeClr w14:val="tx1"/>
                  </w14:solidFill>
                </w14:textFill>
              </w:rPr>
              <w:t>主要控制措施为</w:t>
            </w:r>
            <w:r>
              <w:rPr>
                <w:rFonts w:hint="default" w:ascii="Times New Roman" w:hAnsi="Times New Roman" w:cs="Times New Roman"/>
                <w:color w:val="000000" w:themeColor="text1"/>
                <w:sz w:val="24"/>
                <w14:textFill>
                  <w14:solidFill>
                    <w14:schemeClr w14:val="tx1"/>
                  </w14:solidFill>
                </w14:textFill>
              </w:rPr>
              <w:t>污泥</w:t>
            </w:r>
            <w:r>
              <w:rPr>
                <w:rFonts w:hint="eastAsia" w:ascii="Times New Roman" w:hAnsi="Times New Roman" w:cs="Times New Roman"/>
                <w:color w:val="000000" w:themeColor="text1"/>
                <w:sz w:val="24"/>
                <w:lang w:eastAsia="zh-CN"/>
                <w14:textFill>
                  <w14:solidFill>
                    <w14:schemeClr w14:val="tx1"/>
                  </w14:solidFill>
                </w14:textFill>
              </w:rPr>
              <w:t>及时经沉淀干化后混入</w:t>
            </w:r>
            <w:r>
              <w:rPr>
                <w:rFonts w:hint="eastAsia" w:ascii="Times New Roman" w:hAnsi="Times New Roman" w:cs="Times New Roman"/>
                <w:color w:val="000000" w:themeColor="text1"/>
                <w:sz w:val="24"/>
                <w:lang w:val="en-US" w:eastAsia="zh-CN"/>
                <w14:textFill>
                  <w14:solidFill>
                    <w14:schemeClr w14:val="tx1"/>
                  </w14:solidFill>
                </w14:textFill>
              </w:rPr>
              <w:t>砂石</w:t>
            </w:r>
            <w:r>
              <w:rPr>
                <w:rFonts w:hint="eastAsia" w:ascii="Times New Roman" w:hAnsi="Times New Roman" w:cs="Times New Roman"/>
                <w:color w:val="000000" w:themeColor="text1"/>
                <w:sz w:val="24"/>
                <w:lang w:eastAsia="zh-CN"/>
                <w14:textFill>
                  <w14:solidFill>
                    <w14:schemeClr w14:val="tx1"/>
                  </w14:solidFill>
                </w14:textFill>
              </w:rPr>
              <w:t>进行回填，避免长期堆存等</w:t>
            </w:r>
            <w:r>
              <w:rPr>
                <w:rFonts w:hint="default" w:ascii="Times New Roman" w:hAnsi="Times New Roman" w:cs="Times New Roman"/>
                <w:color w:val="000000" w:themeColor="text1"/>
                <w:sz w:val="24"/>
                <w14:textFill>
                  <w14:solidFill>
                    <w14:schemeClr w14:val="tx1"/>
                  </w14:solidFill>
                </w14:textFill>
              </w:rPr>
              <w:t>。综上，污泥恶臭对环境影响较小。</w:t>
            </w:r>
          </w:p>
          <w:p>
            <w:pPr>
              <w:adjustRightInd w:val="0"/>
              <w:snapToGrid w:val="0"/>
              <w:spacing w:line="480" w:lineRule="exact"/>
              <w:ind w:firstLine="482" w:firstLineChars="200"/>
              <w:rPr>
                <w:rFonts w:ascii="Times New Roman" w:hAnsi="Times New Roman" w:cs="Times New Roman"/>
                <w:b/>
                <w:bCs/>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4"/>
                <w14:textFill>
                  <w14:solidFill>
                    <w14:schemeClr w14:val="tx1"/>
                  </w14:solidFill>
                </w14:textFill>
              </w:rPr>
              <w:t>2、</w:t>
            </w:r>
            <w:r>
              <w:rPr>
                <w:rFonts w:ascii="Times New Roman" w:hAnsi="Times New Roman" w:cs="Times New Roman"/>
                <w:b/>
                <w:bCs/>
                <w:color w:val="000000" w:themeColor="text1"/>
                <w:sz w:val="24"/>
                <w:szCs w:val="24"/>
                <w14:textFill>
                  <w14:solidFill>
                    <w14:schemeClr w14:val="tx1"/>
                  </w14:solidFill>
                </w14:textFill>
              </w:rPr>
              <w:t>地表水环境影响分析</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本项目施工废水主要包含混凝土冲洗废水、基坑废水和车辆冲洗废水、施工人员生活污水</w:t>
            </w:r>
            <w:r>
              <w:rPr>
                <w:rFonts w:hint="eastAsia" w:ascii="Times New Roman" w:hAnsi="Times New Roman" w:cs="Times New Roman"/>
                <w:color w:val="000000" w:themeColor="text1"/>
                <w:sz w:val="24"/>
                <w:szCs w:val="24"/>
                <w:lang w:val="en-US" w:eastAsia="zh-CN"/>
                <w14:textFill>
                  <w14:solidFill>
                    <w14:schemeClr w14:val="tx1"/>
                  </w14:solidFill>
                </w14:textFill>
              </w:rPr>
              <w:t>等</w:t>
            </w:r>
            <w:r>
              <w:rPr>
                <w:rFonts w:hint="eastAsia" w:ascii="Times New Roman" w:hAnsi="Times New Roman" w:cs="Times New Roman"/>
                <w:color w:val="000000" w:themeColor="text1"/>
                <w:sz w:val="24"/>
                <w:szCs w:val="24"/>
                <w14:textFill>
                  <w14:solidFill>
                    <w14:schemeClr w14:val="tx1"/>
                  </w14:solidFill>
                </w14:textFill>
              </w:rPr>
              <w:t>。</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1</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混凝土冲洗废水</w:t>
            </w:r>
          </w:p>
          <w:p>
            <w:pPr>
              <w:tabs>
                <w:tab w:val="left" w:pos="6914"/>
              </w:tabs>
              <w:adjustRightInd w:val="0"/>
              <w:snapToGrid w:val="0"/>
              <w:spacing w:line="480" w:lineRule="exact"/>
              <w:ind w:firstLine="480" w:firstLineChars="200"/>
              <w:rPr>
                <w:rFonts w:hint="eastAsia" w:ascii="Times New Roman" w:hAnsi="Times New Roman" w:cs="Times New Roman" w:eastAsiaTheme="minorEastAsia"/>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本项目在</w:t>
            </w:r>
            <w:r>
              <w:rPr>
                <w:rFonts w:hint="eastAsia" w:ascii="Times New Roman" w:hAnsi="Times New Roman" w:cs="Times New Roman"/>
                <w:color w:val="000000" w:themeColor="text1"/>
                <w:sz w:val="24"/>
                <w:szCs w:val="24"/>
                <w:lang w:val="en-US" w:eastAsia="zh-CN"/>
                <w14:textFill>
                  <w14:solidFill>
                    <w14:schemeClr w14:val="tx1"/>
                  </w14:solidFill>
                </w14:textFill>
              </w:rPr>
              <w:t>各标段按需</w:t>
            </w:r>
            <w:r>
              <w:rPr>
                <w:rFonts w:hint="eastAsia" w:ascii="Times New Roman" w:hAnsi="Times New Roman" w:cs="Times New Roman"/>
                <w:color w:val="000000" w:themeColor="text1"/>
                <w:sz w:val="24"/>
                <w:szCs w:val="24"/>
                <w14:textFill>
                  <w14:solidFill>
                    <w14:schemeClr w14:val="tx1"/>
                  </w14:solidFill>
                </w14:textFill>
              </w:rPr>
              <w:t>设置一个移动砼拌合站，共设置</w:t>
            </w:r>
            <w:r>
              <w:rPr>
                <w:rFonts w:hint="eastAsia" w:ascii="Times New Roman" w:hAnsi="Times New Roman" w:cs="Times New Roman"/>
                <w:color w:val="000000" w:themeColor="text1"/>
                <w:sz w:val="24"/>
                <w:szCs w:val="24"/>
                <w:lang w:val="en-US" w:eastAsia="zh-CN"/>
                <w14:textFill>
                  <w14:solidFill>
                    <w14:schemeClr w14:val="tx1"/>
                  </w14:solidFill>
                </w14:textFill>
              </w:rPr>
              <w:t>14台</w:t>
            </w:r>
            <w:r>
              <w:rPr>
                <w:rFonts w:hint="eastAsia" w:ascii="Times New Roman" w:hAnsi="Times New Roman" w:cs="Times New Roman"/>
                <w:color w:val="000000" w:themeColor="text1"/>
                <w:sz w:val="24"/>
                <w:szCs w:val="24"/>
                <w14:textFill>
                  <w14:solidFill>
                    <w14:schemeClr w14:val="tx1"/>
                  </w14:solidFill>
                </w14:textFill>
              </w:rPr>
              <w:t>移动拌合站</w:t>
            </w:r>
            <w:r>
              <w:rPr>
                <w:rFonts w:hint="eastAsia" w:ascii="Times New Roman" w:hAnsi="Times New Roman" w:cs="Times New Roman"/>
                <w:color w:val="000000" w:themeColor="text1"/>
                <w:sz w:val="24"/>
                <w:szCs w:val="24"/>
                <w:lang w:val="en-US" w:eastAsia="zh-CN"/>
                <w14:textFill>
                  <w14:solidFill>
                    <w14:schemeClr w14:val="tx1"/>
                  </w14:solidFill>
                </w14:textFill>
              </w:rPr>
              <w:t>机</w:t>
            </w:r>
            <w:r>
              <w:rPr>
                <w:rFonts w:hint="eastAsia" w:ascii="Times New Roman" w:hAnsi="Times New Roman" w:cs="Times New Roman"/>
                <w:color w:val="000000" w:themeColor="text1"/>
                <w:sz w:val="24"/>
                <w:szCs w:val="24"/>
                <w14:textFill>
                  <w14:solidFill>
                    <w14:schemeClr w14:val="tx1"/>
                  </w14:solidFill>
                </w14:textFill>
              </w:rPr>
              <w:t>。</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根据水利工程的特点，混凝土拌和站冲洗废水属碱性废水，具有排放量小、间歇集中排放的特点，悬浮物含量较高，悬浮物主要成分为岩石碎屑形成的泥沙，废水中的悬浮物可达到5000mg</w:t>
            </w:r>
            <w:r>
              <w:rPr>
                <w:rFonts w:hint="eastAsia" w:ascii="Times New Roman" w:hAnsi="Times New Roman" w:cs="Times New Roman"/>
                <w:color w:val="000000" w:themeColor="text1"/>
                <w:sz w:val="24"/>
                <w:szCs w:val="24"/>
                <w:lang w:val="en-US" w:eastAsia="zh-CN"/>
                <w14:textFill>
                  <w14:solidFill>
                    <w14:schemeClr w14:val="tx1"/>
                  </w14:solidFill>
                </w14:textFill>
              </w:rPr>
              <w:t>/l</w:t>
            </w:r>
            <w:r>
              <w:rPr>
                <w:rFonts w:hint="eastAsia" w:ascii="Times New Roman" w:hAnsi="Times New Roman" w:cs="Times New Roman"/>
                <w:color w:val="000000" w:themeColor="text1"/>
                <w:sz w:val="24"/>
                <w:szCs w:val="24"/>
                <w14:textFill>
                  <w14:solidFill>
                    <w14:schemeClr w14:val="tx1"/>
                  </w14:solidFill>
                </w14:textFill>
              </w:rPr>
              <w:t>，pH可达到12。砼拌合站每天冲洗一次</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每次冲洗用水0.5m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14:textFill>
                  <w14:solidFill>
                    <w14:schemeClr w14:val="tx1"/>
                  </w14:solidFill>
                </w14:textFill>
              </w:rPr>
              <w:t>，排放系数取0.8，则</w:t>
            </w:r>
            <w:r>
              <w:rPr>
                <w:rFonts w:hint="eastAsia" w:ascii="Times New Roman" w:hAnsi="Times New Roman" w:cs="Times New Roman"/>
                <w:color w:val="000000" w:themeColor="text1"/>
                <w:sz w:val="24"/>
                <w:szCs w:val="24"/>
                <w:lang w:val="en-US" w:eastAsia="zh-CN"/>
                <w14:textFill>
                  <w14:solidFill>
                    <w14:schemeClr w14:val="tx1"/>
                  </w14:solidFill>
                </w14:textFill>
              </w:rPr>
              <w:t>每个灌区</w:t>
            </w:r>
            <w:r>
              <w:rPr>
                <w:rFonts w:hint="eastAsia" w:ascii="Times New Roman" w:hAnsi="Times New Roman" w:cs="Times New Roman"/>
                <w:color w:val="000000" w:themeColor="text1"/>
                <w:sz w:val="24"/>
                <w:szCs w:val="24"/>
                <w14:textFill>
                  <w14:solidFill>
                    <w14:schemeClr w14:val="tx1"/>
                  </w14:solidFill>
                </w14:textFill>
              </w:rPr>
              <w:t>施工期产生</w:t>
            </w:r>
            <w:r>
              <w:rPr>
                <w:rFonts w:hint="eastAsia" w:ascii="Times New Roman" w:hAnsi="Times New Roman" w:cs="Times New Roman"/>
                <w:color w:val="000000" w:themeColor="text1"/>
                <w:sz w:val="24"/>
                <w:szCs w:val="24"/>
                <w:lang w:val="en-US" w:eastAsia="zh-CN"/>
                <w14:textFill>
                  <w14:solidFill>
                    <w14:schemeClr w14:val="tx1"/>
                  </w14:solidFill>
                </w14:textFill>
              </w:rPr>
              <w:t>砼拌合</w:t>
            </w:r>
            <w:r>
              <w:rPr>
                <w:rFonts w:hint="eastAsia" w:ascii="Times New Roman" w:hAnsi="Times New Roman" w:cs="Times New Roman"/>
                <w:color w:val="000000" w:themeColor="text1"/>
                <w:sz w:val="24"/>
                <w:szCs w:val="24"/>
                <w14:textFill>
                  <w14:solidFill>
                    <w14:schemeClr w14:val="tx1"/>
                  </w14:solidFill>
                </w14:textFill>
              </w:rPr>
              <w:t>冲洗废水0.4m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14:textFill>
                  <w14:solidFill>
                    <w14:schemeClr w14:val="tx1"/>
                  </w14:solidFill>
                </w14:textFill>
              </w:rPr>
              <w:t>/d。根据移动混凝土拌和站的特点，每个搅拌机配备2个容积大于0.5m'的储水桶轮流使用，并注意定期清淤。每台班末的冲洗废水排入其中一个储水桶内，絮凝静置沉淀到再下一台班末，沉淀时间约6h，沉淀后上清液通过提升泵回用于混凝土拌和以及拌和系统的冲洗，泥渣</w:t>
            </w:r>
            <w:r>
              <w:rPr>
                <w:rFonts w:hint="eastAsia" w:ascii="Times New Roman" w:hAnsi="Times New Roman" w:cs="Times New Roman"/>
                <w:color w:val="000000" w:themeColor="text1"/>
                <w:sz w:val="24"/>
                <w:szCs w:val="24"/>
                <w:lang w:val="en-US" w:eastAsia="zh-CN"/>
                <w14:textFill>
                  <w14:solidFill>
                    <w14:schemeClr w14:val="tx1"/>
                  </w14:solidFill>
                </w14:textFill>
              </w:rPr>
              <w:t>作为建筑垃圾运至市政指定建筑垃圾处置场处置</w:t>
            </w:r>
            <w:r>
              <w:rPr>
                <w:rFonts w:hint="eastAsia" w:ascii="Times New Roman" w:hAnsi="Times New Roman" w:cs="Times New Roman"/>
                <w:color w:val="000000" w:themeColor="text1"/>
                <w:sz w:val="24"/>
                <w:szCs w:val="24"/>
                <w14:textFill>
                  <w14:solidFill>
                    <w14:schemeClr w14:val="tx1"/>
                  </w14:solidFill>
                </w14:textFill>
              </w:rPr>
              <w:t>。</w:t>
            </w:r>
          </w:p>
          <w:p>
            <w:pPr>
              <w:tabs>
                <w:tab w:val="left" w:pos="6914"/>
              </w:tabs>
              <w:adjustRightInd w:val="0"/>
              <w:snapToGrid w:val="0"/>
              <w:spacing w:line="480" w:lineRule="exact"/>
              <w:ind w:firstLine="482"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4"/>
                <w14:textFill>
                  <w14:solidFill>
                    <w14:schemeClr w14:val="tx1"/>
                  </w14:solidFill>
                </w14:textFill>
              </w:rPr>
              <w:t>混凝土拌和站冲洗废水经过沉淀后循环使用，</w:t>
            </w:r>
            <w:r>
              <w:rPr>
                <w:rFonts w:hint="eastAsia" w:ascii="Times New Roman" w:hAnsi="Times New Roman" w:cs="Times New Roman"/>
                <w:b/>
                <w:bCs/>
                <w:color w:val="000000" w:themeColor="text1"/>
                <w:sz w:val="24"/>
                <w:szCs w:val="24"/>
                <w:lang w:val="en-US" w:eastAsia="zh-CN"/>
                <w14:textFill>
                  <w14:solidFill>
                    <w14:schemeClr w14:val="tx1"/>
                  </w14:solidFill>
                </w14:textFill>
              </w:rPr>
              <w:t>禁止外排</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对地表水</w:t>
            </w:r>
            <w:r>
              <w:rPr>
                <w:rFonts w:hint="eastAsia" w:ascii="Times New Roman" w:hAnsi="Times New Roman" w:cs="Times New Roman"/>
                <w:color w:val="000000" w:themeColor="text1"/>
                <w:sz w:val="24"/>
                <w:szCs w:val="24"/>
                <w:lang w:val="en-US" w:eastAsia="zh-CN"/>
                <w14:textFill>
                  <w14:solidFill>
                    <w14:schemeClr w14:val="tx1"/>
                  </w14:solidFill>
                </w14:textFill>
              </w:rPr>
              <w:t>环境</w:t>
            </w:r>
            <w:r>
              <w:rPr>
                <w:rFonts w:hint="eastAsia" w:ascii="Times New Roman" w:hAnsi="Times New Roman" w:cs="Times New Roman"/>
                <w:color w:val="000000" w:themeColor="text1"/>
                <w:sz w:val="24"/>
                <w:szCs w:val="24"/>
                <w14:textFill>
                  <w14:solidFill>
                    <w14:schemeClr w14:val="tx1"/>
                  </w14:solidFill>
                </w14:textFill>
              </w:rPr>
              <w:t>影响较小。</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2</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基坑废水</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本项目</w:t>
            </w:r>
            <w:r>
              <w:rPr>
                <w:rFonts w:hint="eastAsia" w:ascii="Times New Roman" w:hAnsi="Times New Roman" w:cs="Times New Roman"/>
                <w:color w:val="000000" w:themeColor="text1"/>
                <w:sz w:val="24"/>
                <w:szCs w:val="24"/>
                <w:lang w:val="en-US" w:eastAsia="zh-CN"/>
                <w14:textFill>
                  <w14:solidFill>
                    <w14:schemeClr w14:val="tx1"/>
                  </w14:solidFill>
                </w14:textFill>
              </w:rPr>
              <w:t>在新管道开挖时</w:t>
            </w:r>
            <w:r>
              <w:rPr>
                <w:rFonts w:hint="eastAsia" w:ascii="Times New Roman" w:hAnsi="Times New Roman" w:cs="Times New Roman"/>
                <w:color w:val="000000" w:themeColor="text1"/>
                <w:sz w:val="24"/>
                <w:szCs w:val="24"/>
                <w14:textFill>
                  <w14:solidFill>
                    <w14:schemeClr w14:val="tx1"/>
                  </w14:solidFill>
                </w14:textFill>
              </w:rPr>
              <w:t>，将会产生基坑积水，开挖过程中产生的基坑废水含SS非常高，悬浮物含量一般为1500-4000mg</w:t>
            </w:r>
            <w:r>
              <w:rPr>
                <w:rFonts w:hint="eastAsia" w:ascii="Times New Roman" w:hAnsi="Times New Roman" w:cs="Times New Roman"/>
                <w:color w:val="000000" w:themeColor="text1"/>
                <w:sz w:val="24"/>
                <w:szCs w:val="24"/>
                <w:lang w:val="en-US" w:eastAsia="zh-CN"/>
                <w14:textFill>
                  <w14:solidFill>
                    <w14:schemeClr w14:val="tx1"/>
                  </w14:solidFill>
                </w14:textFill>
              </w:rPr>
              <w:t>/l</w:t>
            </w:r>
            <w:r>
              <w:rPr>
                <w:rFonts w:hint="eastAsia" w:ascii="Times New Roman" w:hAnsi="Times New Roman" w:cs="Times New Roman"/>
                <w:color w:val="000000" w:themeColor="text1"/>
                <w:sz w:val="24"/>
                <w:szCs w:val="24"/>
                <w14:textFill>
                  <w14:solidFill>
                    <w14:schemeClr w14:val="tx1"/>
                  </w14:solidFill>
                </w14:textFill>
              </w:rPr>
              <w:t>。基坑排水经潜水泵抽出后禁止</w:t>
            </w:r>
            <w:r>
              <w:rPr>
                <w:rFonts w:hint="eastAsia" w:ascii="Times New Roman" w:hAnsi="Times New Roman" w:cs="Times New Roman"/>
                <w:color w:val="000000" w:themeColor="text1"/>
                <w:sz w:val="24"/>
                <w:szCs w:val="24"/>
                <w:lang w:val="en-US" w:eastAsia="zh-CN"/>
                <w14:textFill>
                  <w14:solidFill>
                    <w14:schemeClr w14:val="tx1"/>
                  </w14:solidFill>
                </w14:textFill>
              </w:rPr>
              <w:t>排入渠道内</w:t>
            </w:r>
            <w:r>
              <w:rPr>
                <w:rFonts w:hint="eastAsia"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导入</w:t>
            </w:r>
            <w:r>
              <w:rPr>
                <w:rFonts w:hint="eastAsia" w:ascii="Times New Roman" w:hAnsi="Times New Roman" w:cs="Times New Roman"/>
                <w:color w:val="000000" w:themeColor="text1"/>
                <w:sz w:val="24"/>
                <w:szCs w:val="24"/>
                <w14:textFill>
                  <w14:solidFill>
                    <w14:schemeClr w14:val="tx1"/>
                  </w14:solidFill>
                </w14:textFill>
              </w:rPr>
              <w:t>沉淀池</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1口，</w:t>
            </w:r>
            <w:r>
              <w:rPr>
                <w:rFonts w:hint="eastAsia" w:ascii="Times New Roman" w:hAnsi="Times New Roman" w:cs="Times New Roman"/>
                <w:color w:val="000000" w:themeColor="text1"/>
                <w:sz w:val="24"/>
                <w:szCs w:val="24"/>
                <w14:textFill>
                  <w14:solidFill>
                    <w14:schemeClr w14:val="tx1"/>
                  </w14:solidFill>
                </w14:textFill>
              </w:rPr>
              <w:t>2m</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2m</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2m</w:t>
            </w:r>
            <w:r>
              <w:rPr>
                <w:rFonts w:hint="eastAsia" w:ascii="Times New Roman" w:hAnsi="Times New Roman" w:cs="Times New Roman"/>
                <w:color w:val="000000" w:themeColor="text1"/>
                <w:sz w:val="24"/>
                <w:szCs w:val="24"/>
                <w:lang w:val="en-US" w:eastAsia="zh-CN"/>
                <w14:textFill>
                  <w14:solidFill>
                    <w14:schemeClr w14:val="tx1"/>
                  </w14:solidFill>
                </w14:textFill>
              </w:rPr>
              <w:t>=8m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基坑废水</w:t>
            </w:r>
            <w:r>
              <w:rPr>
                <w:rFonts w:hint="eastAsia" w:ascii="Times New Roman" w:hAnsi="Times New Roman" w:cs="Times New Roman"/>
                <w:color w:val="000000" w:themeColor="text1"/>
                <w:sz w:val="24"/>
                <w:szCs w:val="24"/>
                <w14:textFill>
                  <w14:solidFill>
                    <w14:schemeClr w14:val="tx1"/>
                  </w14:solidFill>
                </w14:textFill>
              </w:rPr>
              <w:t>经沉淀处理后</w:t>
            </w:r>
            <w:r>
              <w:rPr>
                <w:rFonts w:hint="eastAsia" w:ascii="Times New Roman" w:hAnsi="Times New Roman" w:cs="Times New Roman"/>
                <w:color w:val="000000" w:themeColor="text1"/>
                <w:sz w:val="24"/>
                <w:szCs w:val="24"/>
                <w:lang w:val="en-US" w:eastAsia="zh-CN"/>
                <w14:textFill>
                  <w14:solidFill>
                    <w14:schemeClr w14:val="tx1"/>
                  </w14:solidFill>
                </w14:textFill>
              </w:rPr>
              <w:t>施工区域洒水降尘</w:t>
            </w:r>
            <w:r>
              <w:rPr>
                <w:rFonts w:hint="eastAsia"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不会</w:t>
            </w:r>
            <w:r>
              <w:rPr>
                <w:rFonts w:hint="eastAsia" w:ascii="Times New Roman" w:hAnsi="Times New Roman" w:cs="Times New Roman"/>
                <w:color w:val="000000" w:themeColor="text1"/>
                <w:sz w:val="24"/>
                <w:szCs w:val="24"/>
                <w14:textFill>
                  <w14:solidFill>
                    <w14:schemeClr w14:val="tx1"/>
                  </w14:solidFill>
                </w14:textFill>
              </w:rPr>
              <w:t>对地表水</w:t>
            </w:r>
            <w:r>
              <w:rPr>
                <w:rFonts w:hint="eastAsia" w:ascii="Times New Roman" w:hAnsi="Times New Roman" w:cs="Times New Roman"/>
                <w:color w:val="000000" w:themeColor="text1"/>
                <w:sz w:val="24"/>
                <w:szCs w:val="24"/>
                <w:lang w:val="en-US" w:eastAsia="zh-CN"/>
                <w14:textFill>
                  <w14:solidFill>
                    <w14:schemeClr w14:val="tx1"/>
                  </w14:solidFill>
                </w14:textFill>
              </w:rPr>
              <w:t>环境产生影响</w:t>
            </w:r>
            <w:r>
              <w:rPr>
                <w:rFonts w:hint="eastAsia" w:ascii="Times New Roman" w:hAnsi="Times New Roman" w:cs="Times New Roman"/>
                <w:color w:val="000000" w:themeColor="text1"/>
                <w:sz w:val="24"/>
                <w:szCs w:val="24"/>
                <w14:textFill>
                  <w14:solidFill>
                    <w14:schemeClr w14:val="tx1"/>
                  </w14:solidFill>
                </w14:textFill>
              </w:rPr>
              <w:t>。</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车辆冲洗废水</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本工程所在区域附近</w:t>
            </w:r>
            <w:r>
              <w:rPr>
                <w:rFonts w:hint="eastAsia" w:ascii="Times New Roman" w:hAnsi="Times New Roman" w:cs="Times New Roman"/>
                <w:color w:val="000000" w:themeColor="text1"/>
                <w:sz w:val="24"/>
                <w:szCs w:val="24"/>
                <w:lang w:val="en-US" w:eastAsia="zh-CN"/>
                <w14:textFill>
                  <w14:solidFill>
                    <w14:schemeClr w14:val="tx1"/>
                  </w14:solidFill>
                </w14:textFill>
              </w:rPr>
              <w:t>各个</w:t>
            </w:r>
            <w:r>
              <w:rPr>
                <w:rFonts w:hint="eastAsia" w:ascii="Times New Roman" w:hAnsi="Times New Roman" w:cs="Times New Roman"/>
                <w:color w:val="000000" w:themeColor="text1"/>
                <w:sz w:val="24"/>
                <w:szCs w:val="24"/>
                <w14:textFill>
                  <w14:solidFill>
                    <w14:schemeClr w14:val="tx1"/>
                  </w14:solidFill>
                </w14:textFill>
              </w:rPr>
              <w:t>乡镇具备修理条件，施工现场不考虑机械大修，本工程施工机械车辆的维修、保养等均在附近乡镇进行，施工区内不设置机修场地，只在</w:t>
            </w:r>
            <w:r>
              <w:rPr>
                <w:rFonts w:hint="eastAsia" w:ascii="Times New Roman" w:hAnsi="Times New Roman" w:cs="Times New Roman"/>
                <w:color w:val="000000" w:themeColor="text1"/>
                <w:sz w:val="24"/>
                <w:szCs w:val="24"/>
                <w:lang w:val="en-US" w:eastAsia="zh-CN"/>
                <w14:textFill>
                  <w14:solidFill>
                    <w14:schemeClr w14:val="tx1"/>
                  </w14:solidFill>
                </w14:textFill>
              </w:rPr>
              <w:t>临时施工场地</w:t>
            </w:r>
            <w:r>
              <w:rPr>
                <w:rFonts w:hint="eastAsia" w:ascii="Times New Roman" w:hAnsi="Times New Roman" w:cs="Times New Roman"/>
                <w:color w:val="000000" w:themeColor="text1"/>
                <w:sz w:val="24"/>
                <w:szCs w:val="24"/>
                <w14:textFill>
                  <w14:solidFill>
                    <w14:schemeClr w14:val="tx1"/>
                  </w14:solidFill>
                </w14:textFill>
              </w:rPr>
              <w:t>设置机械停放区和进行施工机械和车辆的冲洗，冲洗废水中主要污染物成分为悬浮物，不得随意排放，根据类比其他同类工程，洗车污水中悬浮物含量约在2000mg</w:t>
            </w:r>
            <w:r>
              <w:rPr>
                <w:rFonts w:hint="eastAsia" w:ascii="Times New Roman" w:hAnsi="Times New Roman" w:cs="Times New Roman"/>
                <w:color w:val="000000" w:themeColor="text1"/>
                <w:sz w:val="24"/>
                <w:szCs w:val="24"/>
                <w:lang w:val="en-US" w:eastAsia="zh-CN"/>
                <w14:textFill>
                  <w14:solidFill>
                    <w14:schemeClr w14:val="tx1"/>
                  </w14:solidFill>
                </w14:textFill>
              </w:rPr>
              <w:t>/l</w:t>
            </w:r>
            <w:r>
              <w:rPr>
                <w:rFonts w:hint="eastAsia" w:ascii="Times New Roman" w:hAnsi="Times New Roman" w:cs="Times New Roman"/>
                <w:color w:val="000000" w:themeColor="text1"/>
                <w:sz w:val="24"/>
                <w:szCs w:val="24"/>
                <w14:textFill>
                  <w14:solidFill>
                    <w14:schemeClr w14:val="tx1"/>
                  </w14:solidFill>
                </w14:textFill>
              </w:rPr>
              <w:t>。工程需每天冲洗的施工机械每天</w:t>
            </w:r>
            <w:r>
              <w:rPr>
                <w:rFonts w:hint="eastAsia" w:ascii="Times New Roman" w:hAnsi="Times New Roman" w:cs="Times New Roman"/>
                <w:color w:val="000000" w:themeColor="text1"/>
                <w:sz w:val="24"/>
                <w:szCs w:val="24"/>
                <w:lang w:val="en-US" w:eastAsia="zh-CN"/>
                <w14:textFill>
                  <w14:solidFill>
                    <w14:schemeClr w14:val="tx1"/>
                  </w14:solidFill>
                </w14:textFill>
              </w:rPr>
              <w:t>5</w:t>
            </w:r>
            <w:r>
              <w:rPr>
                <w:rFonts w:hint="eastAsia" w:ascii="Times New Roman" w:hAnsi="Times New Roman" w:cs="Times New Roman"/>
                <w:color w:val="000000" w:themeColor="text1"/>
                <w:sz w:val="24"/>
                <w:szCs w:val="24"/>
                <w14:textFill>
                  <w14:solidFill>
                    <w14:schemeClr w14:val="tx1"/>
                  </w14:solidFill>
                </w14:textFill>
              </w:rPr>
              <w:t>辆</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次，按平均每台机械设备冲洗水为0.</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hint="eastAsia" w:ascii="Times New Roman" w:hAnsi="Times New Roman" w:cs="Times New Roman"/>
                <w:color w:val="000000" w:themeColor="text1"/>
                <w:sz w:val="24"/>
                <w:szCs w:val="24"/>
                <w14:textFill>
                  <w14:solidFill>
                    <w14:schemeClr w14:val="tx1"/>
                  </w14:solidFill>
                </w14:textFill>
              </w:rPr>
              <w:t>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14:textFill>
                  <w14:solidFill>
                    <w14:schemeClr w14:val="tx1"/>
                  </w14:solidFill>
                </w14:textFill>
              </w:rPr>
              <w:t>计算，则废水产生量约为</w:t>
            </w:r>
            <w:r>
              <w:rPr>
                <w:rFonts w:hint="eastAsia" w:ascii="Times New Roman" w:hAnsi="Times New Roman" w:cs="Times New Roman"/>
                <w:color w:val="000000" w:themeColor="text1"/>
                <w:sz w:val="24"/>
                <w:szCs w:val="24"/>
                <w:lang w:val="en-US" w:eastAsia="zh-CN"/>
                <w14:textFill>
                  <w14:solidFill>
                    <w14:schemeClr w14:val="tx1"/>
                  </w14:solidFill>
                </w14:textFill>
              </w:rPr>
              <w:t>1.5</w:t>
            </w:r>
            <w:r>
              <w:rPr>
                <w:rFonts w:hint="eastAsia" w:ascii="Times New Roman" w:hAnsi="Times New Roman" w:cs="Times New Roman"/>
                <w:color w:val="000000" w:themeColor="text1"/>
                <w:sz w:val="24"/>
                <w:szCs w:val="24"/>
                <w14:textFill>
                  <w14:solidFill>
                    <w14:schemeClr w14:val="tx1"/>
                  </w14:solidFill>
                </w14:textFill>
              </w:rPr>
              <w:t>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14:textFill>
                  <w14:solidFill>
                    <w14:schemeClr w14:val="tx1"/>
                  </w14:solidFill>
                </w14:textFill>
              </w:rPr>
              <w:t>/d。设置简易小型</w:t>
            </w:r>
            <w:r>
              <w:rPr>
                <w:rFonts w:hint="eastAsia" w:ascii="Times New Roman" w:hAnsi="Times New Roman" w:cs="Times New Roman"/>
                <w:color w:val="000000" w:themeColor="text1"/>
                <w:sz w:val="24"/>
                <w:szCs w:val="24"/>
                <w:lang w:val="en-US" w:eastAsia="zh-CN"/>
                <w14:textFill>
                  <w14:solidFill>
                    <w14:schemeClr w14:val="tx1"/>
                  </w14:solidFill>
                </w14:textFill>
              </w:rPr>
              <w:t>隔油</w:t>
            </w:r>
            <w:r>
              <w:rPr>
                <w:rFonts w:hint="eastAsia" w:ascii="Times New Roman" w:hAnsi="Times New Roman" w:cs="Times New Roman"/>
                <w:color w:val="000000" w:themeColor="text1"/>
                <w:sz w:val="24"/>
                <w:szCs w:val="24"/>
                <w14:textFill>
                  <w14:solidFill>
                    <w14:schemeClr w14:val="tx1"/>
                  </w14:solidFill>
                </w14:textFill>
              </w:rPr>
              <w:t>沉淀池</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容积</w:t>
            </w:r>
            <w:r>
              <w:rPr>
                <w:rFonts w:hint="eastAsia" w:ascii="Times New Roman" w:hAnsi="Times New Roman" w:cs="Times New Roman"/>
                <w:color w:val="000000" w:themeColor="text1"/>
                <w:sz w:val="24"/>
                <w:szCs w:val="24"/>
                <w:lang w:val="en-US" w:eastAsia="zh-CN"/>
                <w14:textFill>
                  <w14:solidFill>
                    <w14:schemeClr w14:val="tx1"/>
                  </w14:solidFill>
                </w14:textFill>
              </w:rPr>
              <w:t>2</w:t>
            </w:r>
            <w:r>
              <w:rPr>
                <w:rFonts w:hint="eastAsia" w:ascii="Times New Roman" w:hAnsi="Times New Roman" w:cs="Times New Roman"/>
                <w:color w:val="000000" w:themeColor="text1"/>
                <w:sz w:val="24"/>
                <w:szCs w:val="24"/>
                <w14:textFill>
                  <w14:solidFill>
                    <w14:schemeClr w14:val="tx1"/>
                  </w14:solidFill>
                </w14:textFill>
              </w:rPr>
              <w:t>m</w:t>
            </w:r>
            <w:r>
              <w:rPr>
                <w:rFonts w:hint="eastAsia" w:ascii="Times New Roman" w:hAnsi="Times New Roman" w:cs="Times New Roman"/>
                <w:color w:val="000000" w:themeColor="text1"/>
                <w:sz w:val="24"/>
                <w:szCs w:val="24"/>
                <w:vertAlign w:val="superscript"/>
                <w14:textFill>
                  <w14:solidFill>
                    <w14:schemeClr w14:val="tx1"/>
                  </w14:solidFill>
                </w14:textFill>
              </w:rPr>
              <w:t>3</w:t>
            </w:r>
            <w:r>
              <w:rPr>
                <w:rFonts w:hint="eastAsia" w:ascii="Times New Roman" w:hAnsi="Times New Roman" w:cs="Times New Roman"/>
                <w:color w:val="000000" w:themeColor="text1"/>
                <w:sz w:val="24"/>
                <w:szCs w:val="24"/>
                <w14:textFill>
                  <w14:solidFill>
                    <w14:schemeClr w14:val="tx1"/>
                  </w14:solidFill>
                </w14:textFill>
              </w:rPr>
              <w:t>，每个</w:t>
            </w:r>
            <w:r>
              <w:rPr>
                <w:rFonts w:hint="eastAsia" w:ascii="Times New Roman" w:hAnsi="Times New Roman" w:cs="Times New Roman"/>
                <w:color w:val="000000" w:themeColor="text1"/>
                <w:sz w:val="24"/>
                <w:szCs w:val="24"/>
                <w:lang w:val="en-US" w:eastAsia="zh-CN"/>
                <w14:textFill>
                  <w14:solidFill>
                    <w14:schemeClr w14:val="tx1"/>
                  </w14:solidFill>
                </w14:textFill>
              </w:rPr>
              <w:t>临时施工场地各设置</w:t>
            </w:r>
            <w:r>
              <w:rPr>
                <w:rFonts w:hint="eastAsia" w:ascii="Times New Roman" w:hAnsi="Times New Roman" w:cs="Times New Roman"/>
                <w:color w:val="000000" w:themeColor="text1"/>
                <w:sz w:val="24"/>
                <w:szCs w:val="24"/>
                <w14:textFill>
                  <w14:solidFill>
                    <w14:schemeClr w14:val="tx1"/>
                  </w14:solidFill>
                </w14:textFill>
              </w:rPr>
              <w:t>1个</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，机械和车辆冲洗废水经相应沉淀处理后循环使用不外排。</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4</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施工人员生活污水</w:t>
            </w:r>
          </w:p>
          <w:p>
            <w:pPr>
              <w:tabs>
                <w:tab w:val="left" w:pos="6914"/>
              </w:tabs>
              <w:adjustRightInd w:val="0"/>
              <w:snapToGrid w:val="0"/>
              <w:spacing w:line="480" w:lineRule="exact"/>
              <w:ind w:firstLine="480" w:firstLineChars="20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本项目共设置</w:t>
            </w:r>
            <w:r>
              <w:rPr>
                <w:rFonts w:hint="eastAsia" w:ascii="Times New Roman" w:hAnsi="Times New Roman" w:cs="Times New Roman"/>
                <w:color w:val="000000" w:themeColor="text1"/>
                <w:sz w:val="24"/>
                <w:szCs w:val="24"/>
                <w:lang w:val="en-US" w:eastAsia="zh-CN"/>
                <w14:textFill>
                  <w14:solidFill>
                    <w14:schemeClr w14:val="tx1"/>
                  </w14:solidFill>
                </w14:textFill>
              </w:rPr>
              <w:t>14</w:t>
            </w:r>
            <w:r>
              <w:rPr>
                <w:rFonts w:hint="eastAsia" w:ascii="Times New Roman" w:hAnsi="Times New Roman" w:cs="Times New Roman"/>
                <w:color w:val="000000" w:themeColor="text1"/>
                <w:sz w:val="24"/>
                <w:szCs w:val="24"/>
                <w14:textFill>
                  <w14:solidFill>
                    <w14:schemeClr w14:val="tx1"/>
                  </w14:solidFill>
                </w14:textFill>
              </w:rPr>
              <w:t>个</w:t>
            </w:r>
            <w:r>
              <w:rPr>
                <w:rFonts w:hint="eastAsia" w:ascii="Times New Roman" w:hAnsi="Times New Roman" w:cs="Times New Roman"/>
                <w:color w:val="000000" w:themeColor="text1"/>
                <w:sz w:val="24"/>
                <w:szCs w:val="24"/>
                <w:lang w:val="en-US" w:eastAsia="zh-CN"/>
                <w14:textFill>
                  <w14:solidFill>
                    <w14:schemeClr w14:val="tx1"/>
                  </w14:solidFill>
                </w14:textFill>
              </w:rPr>
              <w:t>临时施工场地（各自单独施工无交叉）</w:t>
            </w:r>
            <w:r>
              <w:rPr>
                <w:rFonts w:hint="eastAsia" w:ascii="Times New Roman" w:hAnsi="Times New Roman" w:cs="Times New Roman"/>
                <w:color w:val="000000" w:themeColor="text1"/>
                <w:sz w:val="24"/>
                <w:szCs w:val="24"/>
                <w14:textFill>
                  <w14:solidFill>
                    <w14:schemeClr w14:val="tx1"/>
                  </w14:solidFill>
                </w14:textFill>
              </w:rPr>
              <w:t>，施工人员均租用当地民房住宿，各作业点施工人员依托附近居民旱厕上厕所，不需要单独设置早厕。本项目施工高峰期施工人数以</w:t>
            </w:r>
            <w:r>
              <w:rPr>
                <w:rFonts w:hint="eastAsia" w:ascii="Times New Roman" w:hAnsi="Times New Roman" w:cs="Times New Roman"/>
                <w:color w:val="000000" w:themeColor="text1"/>
                <w:sz w:val="24"/>
                <w:szCs w:val="24"/>
                <w:lang w:val="en-US" w:eastAsia="zh-CN"/>
                <w14:textFill>
                  <w14:solidFill>
                    <w14:schemeClr w14:val="tx1"/>
                  </w14:solidFill>
                </w14:textFill>
              </w:rPr>
              <w:t>50</w:t>
            </w:r>
            <w:r>
              <w:rPr>
                <w:rFonts w:hint="eastAsia" w:ascii="Times New Roman" w:hAnsi="Times New Roman" w:cs="Times New Roman"/>
                <w:color w:val="000000" w:themeColor="text1"/>
                <w:sz w:val="24"/>
                <w:szCs w:val="24"/>
                <w14:textFill>
                  <w14:solidFill>
                    <w14:schemeClr w14:val="tx1"/>
                  </w14:solidFill>
                </w14:textFill>
              </w:rPr>
              <w:t>0人计，用水定额按50L/人</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d计取，则施工期产生的生活</w:t>
            </w:r>
            <w:r>
              <w:rPr>
                <w:rFonts w:hint="eastAsia" w:ascii="Times New Roman" w:hAnsi="Times New Roman" w:cs="Times New Roman"/>
                <w:color w:val="000000" w:themeColor="text1"/>
                <w:sz w:val="24"/>
                <w:szCs w:val="24"/>
                <w:lang w:val="en-US" w:eastAsia="zh-CN"/>
                <w14:textFill>
                  <w14:solidFill>
                    <w14:schemeClr w14:val="tx1"/>
                  </w14:solidFill>
                </w14:textFill>
              </w:rPr>
              <w:t>污</w:t>
            </w:r>
            <w:r>
              <w:rPr>
                <w:rFonts w:hint="eastAsia" w:ascii="Times New Roman" w:hAnsi="Times New Roman" w:cs="Times New Roman"/>
                <w:color w:val="000000" w:themeColor="text1"/>
                <w:sz w:val="24"/>
                <w:szCs w:val="24"/>
                <w14:textFill>
                  <w14:solidFill>
                    <w14:schemeClr w14:val="tx1"/>
                  </w14:solidFill>
                </w14:textFill>
              </w:rPr>
              <w:t>水约为Q=</w:t>
            </w:r>
            <w:r>
              <w:rPr>
                <w:rFonts w:hint="eastAsia" w:ascii="Times New Roman" w:hAnsi="Times New Roman" w:cs="Times New Roman"/>
                <w:color w:val="000000" w:themeColor="text1"/>
                <w:sz w:val="24"/>
                <w:szCs w:val="24"/>
                <w:lang w:val="en-US" w:eastAsia="zh-CN"/>
                <w14:textFill>
                  <w14:solidFill>
                    <w14:schemeClr w14:val="tx1"/>
                  </w14:solidFill>
                </w14:textFill>
              </w:rPr>
              <w:t>25m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lang w:val="en-US" w:eastAsia="zh-CN"/>
                <w14:textFill>
                  <w14:solidFill>
                    <w14:schemeClr w14:val="tx1"/>
                  </w14:solidFill>
                </w14:textFill>
              </w:rPr>
              <w:t>/d（平均每个灌区约1.78m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lang w:val="en-US" w:eastAsia="zh-CN"/>
                <w14:textFill>
                  <w14:solidFill>
                    <w14:schemeClr w14:val="tx1"/>
                  </w14:solidFill>
                </w14:textFill>
              </w:rPr>
              <w:t>/d），依托居民既有旱厕收集处理后可用于周边耕地的农肥。</w:t>
            </w:r>
          </w:p>
          <w:p>
            <w:pPr>
              <w:tabs>
                <w:tab w:val="left" w:pos="6914"/>
              </w:tabs>
              <w:adjustRightInd w:val="0"/>
              <w:snapToGrid w:val="0"/>
              <w:spacing w:line="48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综上所述，本项目施工期在采取以上污染防治措施后，施工期废水可实现循环利用或合理处置，不会对地表水环境造成影响。</w:t>
            </w:r>
          </w:p>
          <w:p>
            <w:pPr>
              <w:tabs>
                <w:tab w:val="left" w:pos="6914"/>
              </w:tabs>
              <w:adjustRightInd w:val="0"/>
              <w:snapToGrid w:val="0"/>
              <w:spacing w:line="480" w:lineRule="exact"/>
              <w:ind w:firstLine="482" w:firstLineChars="200"/>
              <w:rPr>
                <w:rFonts w:ascii="Times New Roman" w:hAnsi="Times New Roman" w:cs="Times New Roman"/>
                <w:b/>
                <w:color w:val="000000" w:themeColor="text1"/>
                <w:sz w:val="24"/>
                <w:szCs w:val="24"/>
                <w14:textFill>
                  <w14:solidFill>
                    <w14:schemeClr w14:val="tx1"/>
                  </w14:solidFill>
                </w14:textFill>
              </w:rPr>
            </w:pPr>
            <w:r>
              <w:rPr>
                <w:rFonts w:hint="eastAsia" w:ascii="Times New Roman" w:hAnsi="Times New Roman" w:cs="Times New Roman"/>
                <w:b/>
                <w:color w:val="000000" w:themeColor="text1"/>
                <w:sz w:val="24"/>
                <w:szCs w:val="24"/>
                <w14:textFill>
                  <w14:solidFill>
                    <w14:schemeClr w14:val="tx1"/>
                  </w14:solidFill>
                </w14:textFill>
              </w:rPr>
              <w:t>3、</w:t>
            </w:r>
            <w:r>
              <w:rPr>
                <w:rFonts w:ascii="Times New Roman" w:hAnsi="Times New Roman" w:cs="Times New Roman"/>
                <w:b/>
                <w:color w:val="000000" w:themeColor="text1"/>
                <w:sz w:val="24"/>
                <w:szCs w:val="24"/>
                <w14:textFill>
                  <w14:solidFill>
                    <w14:schemeClr w14:val="tx1"/>
                  </w14:solidFill>
                </w14:textFill>
              </w:rPr>
              <w:t>声环境影响分析</w:t>
            </w:r>
          </w:p>
          <w:p>
            <w:pPr>
              <w:tabs>
                <w:tab w:val="left" w:pos="6914"/>
              </w:tabs>
              <w:adjustRightInd w:val="0"/>
              <w:snapToGrid w:val="0"/>
              <w:spacing w:line="48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工程施工噪声源主要包括：场地清理和工程开挖等使用施工机械的固定声源噪声以及施工运输车辆的流动噪声声源。施工过程中产生的噪声对周围区域环境有一定的影响。这种影响是短期的、暂时的，而且具有局部路段特性。</w:t>
            </w:r>
          </w:p>
          <w:p>
            <w:pPr>
              <w:tabs>
                <w:tab w:val="left" w:pos="6914"/>
              </w:tabs>
              <w:adjustRightInd w:val="0"/>
              <w:snapToGrid w:val="0"/>
              <w:spacing w:line="48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施工噪声可近似视为点声源处理，其衰减模式如下：</w:t>
            </w:r>
          </w:p>
          <w:p>
            <w:pPr>
              <w:autoSpaceDE w:val="0"/>
              <w:autoSpaceDN w:val="0"/>
              <w:adjustRightInd w:val="0"/>
              <w:snapToGrid w:val="0"/>
              <w:spacing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Lp=Lpo-20lg(r/ro)-△L</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式中：Lp——距声源r米处的施工噪声预测值，dB(A)；</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      Lpo——距声源ro米处的参考声级，dB(A)；</w:t>
            </w:r>
          </w:p>
          <w:p>
            <w:pPr>
              <w:autoSpaceDE w:val="0"/>
              <w:autoSpaceDN w:val="0"/>
              <w:adjustRightInd w:val="0"/>
              <w:snapToGrid w:val="0"/>
              <w:spacing w:line="360" w:lineRule="auto"/>
              <w:ind w:firstLine="1200" w:firstLineChars="5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ro——Lpo噪声的测点距离（5米或1米），m。</w:t>
            </w:r>
          </w:p>
          <w:p>
            <w:pPr>
              <w:autoSpaceDE w:val="0"/>
              <w:autoSpaceDN w:val="0"/>
              <w:adjustRightInd w:val="0"/>
              <w:snapToGrid w:val="0"/>
              <w:spacing w:line="360" w:lineRule="auto"/>
              <w:ind w:firstLine="1200" w:firstLineChars="5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△L——采取各种措施后的噪声衰减量，dB(A)。</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施工期主要噪声源有施工机械如挖掘机、运输汽车</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打夯机</w:t>
            </w:r>
            <w:r>
              <w:rPr>
                <w:rFonts w:ascii="Times New Roman" w:hAnsi="Times New Roman" w:cs="Times New Roman"/>
                <w:color w:val="000000" w:themeColor="text1"/>
                <w:sz w:val="24"/>
                <w:szCs w:val="24"/>
                <w14:textFill>
                  <w14:solidFill>
                    <w14:schemeClr w14:val="tx1"/>
                  </w14:solidFill>
                </w14:textFill>
              </w:rPr>
              <w:t>等。根据上式，估算出主要施工机械噪声随距离的衰减结果见表4-</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jc w:val="center"/>
              <w:rPr>
                <w:rFonts w:ascii="Times New Roman" w:hAnsi="Times New Roman" w:eastAsia="宋体" w:cs="Times New Roman"/>
                <w:b/>
                <w:bCs/>
                <w:color w:val="000000" w:themeColor="text1"/>
                <w:szCs w:val="21"/>
                <w14:textFill>
                  <w14:solidFill>
                    <w14:schemeClr w14:val="tx1"/>
                  </w14:solidFill>
                </w14:textFill>
              </w:rPr>
            </w:pPr>
            <w:r>
              <w:rPr>
                <w:rFonts w:ascii="Times New Roman" w:hAnsi="Times New Roman" w:eastAsia="宋体" w:cs="Times New Roman"/>
                <w:b/>
                <w:bCs/>
                <w:color w:val="000000" w:themeColor="text1"/>
                <w:szCs w:val="21"/>
                <w14:textFill>
                  <w14:solidFill>
                    <w14:schemeClr w14:val="tx1"/>
                  </w14:solidFill>
                </w14:textFill>
              </w:rPr>
              <w:t>表4-</w:t>
            </w:r>
            <w:r>
              <w:rPr>
                <w:rFonts w:hint="eastAsia" w:ascii="Times New Roman" w:hAnsi="Times New Roman" w:eastAsia="宋体" w:cs="Times New Roman"/>
                <w:b/>
                <w:bCs/>
                <w:color w:val="000000" w:themeColor="text1"/>
                <w:szCs w:val="21"/>
                <w:lang w:val="en-US" w:eastAsia="zh-CN"/>
                <w14:textFill>
                  <w14:solidFill>
                    <w14:schemeClr w14:val="tx1"/>
                  </w14:solidFill>
                </w14:textFill>
              </w:rPr>
              <w:t>3</w:t>
            </w:r>
            <w:r>
              <w:rPr>
                <w:rFonts w:ascii="Times New Roman" w:hAnsi="Times New Roman" w:eastAsia="宋体" w:cs="Times New Roman"/>
                <w:b/>
                <w:bCs/>
                <w:color w:val="000000" w:themeColor="text1"/>
                <w:szCs w:val="21"/>
                <w14:textFill>
                  <w14:solidFill>
                    <w14:schemeClr w14:val="tx1"/>
                  </w14:solidFill>
                </w14:textFill>
              </w:rPr>
              <w:t xml:space="preserve">  主要施工机械在不同距离的噪声预测值       Leq[dB(A)]</w:t>
            </w:r>
          </w:p>
          <w:tbl>
            <w:tblPr>
              <w:tblStyle w:val="26"/>
              <w:tblW w:w="89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760"/>
              <w:gridCol w:w="880"/>
              <w:gridCol w:w="733"/>
              <w:gridCol w:w="774"/>
              <w:gridCol w:w="719"/>
              <w:gridCol w:w="719"/>
              <w:gridCol w:w="892"/>
              <w:gridCol w:w="919"/>
              <w:gridCol w:w="852"/>
              <w:gridCol w:w="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958" w:type="dxa"/>
                  <w:vMerge w:val="restart"/>
                  <w:vAlign w:val="center"/>
                </w:tcPr>
                <w:p>
                  <w:pPr>
                    <w:pStyle w:val="21"/>
                    <w:jc w:val="center"/>
                    <w:rPr>
                      <w:rFonts w:ascii="Times New Roman" w:hAnsi="Times New Roman"/>
                      <w:b/>
                      <w:color w:val="000000" w:themeColor="text1"/>
                      <w:sz w:val="21"/>
                      <w:szCs w:val="21"/>
                      <w14:textFill>
                        <w14:solidFill>
                          <w14:schemeClr w14:val="tx1"/>
                        </w14:solidFill>
                      </w14:textFill>
                    </w:rPr>
                  </w:pPr>
                  <w:r>
                    <w:rPr>
                      <w:rFonts w:ascii="Times New Roman" w:hAnsi="Times New Roman"/>
                      <w:b/>
                      <w:color w:val="000000" w:themeColor="text1"/>
                      <w:sz w:val="21"/>
                      <w:szCs w:val="21"/>
                      <w:lang w:bidi="ar"/>
                      <w14:textFill>
                        <w14:solidFill>
                          <w14:schemeClr w14:val="tx1"/>
                        </w14:solidFill>
                      </w14:textFill>
                    </w:rPr>
                    <w:t>机械名称</w:t>
                  </w:r>
                </w:p>
              </w:tc>
              <w:tc>
                <w:tcPr>
                  <w:tcW w:w="8021" w:type="dxa"/>
                  <w:gridSpan w:val="10"/>
                  <w:vAlign w:val="center"/>
                </w:tcPr>
                <w:p>
                  <w:pPr>
                    <w:pStyle w:val="21"/>
                    <w:jc w:val="center"/>
                    <w:rPr>
                      <w:rFonts w:ascii="Times New Roman" w:hAnsi="Times New Roman"/>
                      <w:b/>
                      <w:color w:val="000000" w:themeColor="text1"/>
                      <w:sz w:val="21"/>
                      <w:szCs w:val="21"/>
                      <w14:textFill>
                        <w14:solidFill>
                          <w14:schemeClr w14:val="tx1"/>
                        </w14:solidFill>
                      </w14:textFill>
                    </w:rPr>
                  </w:pPr>
                  <w:r>
                    <w:rPr>
                      <w:rFonts w:ascii="Times New Roman" w:hAnsi="Times New Roman"/>
                      <w:b/>
                      <w:color w:val="000000" w:themeColor="text1"/>
                      <w:sz w:val="21"/>
                      <w:szCs w:val="21"/>
                      <w:lang w:bidi="ar"/>
                      <w14:textFill>
                        <w14:solidFill>
                          <w14:schemeClr w14:val="tx1"/>
                        </w14:solidFill>
                      </w14:textFill>
                    </w:rPr>
                    <w:t>噪声预测值dB(A)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958" w:type="dxa"/>
                  <w:vMerge w:val="continue"/>
                  <w:vAlign w:val="center"/>
                </w:tcPr>
                <w:p>
                  <w:pPr>
                    <w:rPr>
                      <w:rFonts w:ascii="Times New Roman" w:hAnsi="Times New Roman"/>
                      <w:color w:val="000000" w:themeColor="text1"/>
                      <w:szCs w:val="21"/>
                      <w14:textFill>
                        <w14:solidFill>
                          <w14:schemeClr w14:val="tx1"/>
                        </w14:solidFill>
                      </w14:textFill>
                    </w:rPr>
                  </w:pPr>
                </w:p>
              </w:tc>
              <w:tc>
                <w:tcPr>
                  <w:tcW w:w="760"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1m</w:t>
                  </w:r>
                </w:p>
              </w:tc>
              <w:tc>
                <w:tcPr>
                  <w:tcW w:w="880"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10m</w:t>
                  </w:r>
                </w:p>
              </w:tc>
              <w:tc>
                <w:tcPr>
                  <w:tcW w:w="733"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20m</w:t>
                  </w:r>
                </w:p>
              </w:tc>
              <w:tc>
                <w:tcPr>
                  <w:tcW w:w="774"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30m</w:t>
                  </w:r>
                </w:p>
              </w:tc>
              <w:tc>
                <w:tcPr>
                  <w:tcW w:w="719"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40m</w:t>
                  </w:r>
                </w:p>
              </w:tc>
              <w:tc>
                <w:tcPr>
                  <w:tcW w:w="719"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50m</w:t>
                  </w:r>
                </w:p>
              </w:tc>
              <w:tc>
                <w:tcPr>
                  <w:tcW w:w="892"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100m</w:t>
                  </w:r>
                </w:p>
              </w:tc>
              <w:tc>
                <w:tcPr>
                  <w:tcW w:w="919"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150m</w:t>
                  </w:r>
                </w:p>
              </w:tc>
              <w:tc>
                <w:tcPr>
                  <w:tcW w:w="852"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200m</w:t>
                  </w:r>
                </w:p>
              </w:tc>
              <w:tc>
                <w:tcPr>
                  <w:tcW w:w="773" w:type="dxa"/>
                  <w:vAlign w:val="center"/>
                </w:tcPr>
                <w:p>
                  <w:pPr>
                    <w:pStyle w:val="21"/>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lang w:bidi="ar"/>
                      <w14:textFill>
                        <w14:solidFill>
                          <w14:schemeClr w14:val="tx1"/>
                        </w14:solidFill>
                      </w14:textFill>
                    </w:rPr>
                    <w:t>300m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挖掘机</w:t>
                  </w:r>
                </w:p>
              </w:tc>
              <w:tc>
                <w:tcPr>
                  <w:tcW w:w="76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85</w:t>
                  </w:r>
                </w:p>
              </w:tc>
              <w:tc>
                <w:tcPr>
                  <w:tcW w:w="88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65</w:t>
                  </w:r>
                </w:p>
              </w:tc>
              <w:tc>
                <w:tcPr>
                  <w:tcW w:w="73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59</w:t>
                  </w:r>
                </w:p>
              </w:tc>
              <w:tc>
                <w:tcPr>
                  <w:tcW w:w="774"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55</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53</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51</w:t>
                  </w:r>
                </w:p>
              </w:tc>
              <w:tc>
                <w:tcPr>
                  <w:tcW w:w="89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45</w:t>
                  </w:r>
                </w:p>
              </w:tc>
              <w:tc>
                <w:tcPr>
                  <w:tcW w:w="9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41</w:t>
                  </w:r>
                </w:p>
              </w:tc>
              <w:tc>
                <w:tcPr>
                  <w:tcW w:w="85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39</w:t>
                  </w:r>
                </w:p>
              </w:tc>
              <w:tc>
                <w:tcPr>
                  <w:tcW w:w="77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dxa"/>
                  <w:vAlign w:val="center"/>
                </w:tcPr>
                <w:p>
                  <w:pPr>
                    <w:jc w:val="center"/>
                    <w:rPr>
                      <w:rFonts w:ascii="Times New Roman" w:hAnsi="Times New Roman"/>
                      <w:color w:val="000000" w:themeColor="text1"/>
                      <w:szCs w:val="21"/>
                      <w14:textFill>
                        <w14:solidFill>
                          <w14:schemeClr w14:val="tx1"/>
                        </w14:solidFill>
                      </w14:textFill>
                    </w:rPr>
                  </w:pPr>
                  <w:r>
                    <w:rPr>
                      <w:rFonts w:hint="default" w:ascii="Times New Roman" w:hAnsi="Times New Roman" w:cs="Times New Roman"/>
                    </w:rPr>
                    <w:t>拌和机</w:t>
                  </w:r>
                </w:p>
              </w:tc>
              <w:tc>
                <w:tcPr>
                  <w:tcW w:w="76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90</w:t>
                  </w:r>
                </w:p>
              </w:tc>
              <w:tc>
                <w:tcPr>
                  <w:tcW w:w="88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70</w:t>
                  </w:r>
                </w:p>
              </w:tc>
              <w:tc>
                <w:tcPr>
                  <w:tcW w:w="73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64</w:t>
                  </w:r>
                </w:p>
              </w:tc>
              <w:tc>
                <w:tcPr>
                  <w:tcW w:w="774"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60</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58</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56</w:t>
                  </w:r>
                </w:p>
              </w:tc>
              <w:tc>
                <w:tcPr>
                  <w:tcW w:w="89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50</w:t>
                  </w:r>
                </w:p>
              </w:tc>
              <w:tc>
                <w:tcPr>
                  <w:tcW w:w="9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46</w:t>
                  </w:r>
                </w:p>
              </w:tc>
              <w:tc>
                <w:tcPr>
                  <w:tcW w:w="85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44</w:t>
                  </w:r>
                </w:p>
              </w:tc>
              <w:tc>
                <w:tcPr>
                  <w:tcW w:w="77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推土机</w:t>
                  </w:r>
                </w:p>
              </w:tc>
              <w:tc>
                <w:tcPr>
                  <w:tcW w:w="76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87</w:t>
                  </w:r>
                </w:p>
              </w:tc>
              <w:tc>
                <w:tcPr>
                  <w:tcW w:w="88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67</w:t>
                  </w:r>
                </w:p>
              </w:tc>
              <w:tc>
                <w:tcPr>
                  <w:tcW w:w="73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61</w:t>
                  </w:r>
                </w:p>
              </w:tc>
              <w:tc>
                <w:tcPr>
                  <w:tcW w:w="774"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57</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55</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53</w:t>
                  </w:r>
                </w:p>
              </w:tc>
              <w:tc>
                <w:tcPr>
                  <w:tcW w:w="89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47</w:t>
                  </w:r>
                </w:p>
              </w:tc>
              <w:tc>
                <w:tcPr>
                  <w:tcW w:w="9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43</w:t>
                  </w:r>
                </w:p>
              </w:tc>
              <w:tc>
                <w:tcPr>
                  <w:tcW w:w="85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41</w:t>
                  </w:r>
                </w:p>
              </w:tc>
              <w:tc>
                <w:tcPr>
                  <w:tcW w:w="77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dxa"/>
                  <w:vAlign w:val="center"/>
                </w:tcPr>
                <w:p>
                  <w:pPr>
                    <w:jc w:val="center"/>
                    <w:rPr>
                      <w:rFonts w:ascii="Times New Roman" w:hAnsi="Times New Roman"/>
                      <w:color w:val="000000" w:themeColor="text1"/>
                      <w:szCs w:val="21"/>
                      <w14:textFill>
                        <w14:solidFill>
                          <w14:schemeClr w14:val="tx1"/>
                        </w14:solidFill>
                      </w14:textFill>
                    </w:rPr>
                  </w:pPr>
                  <w:r>
                    <w:rPr>
                      <w:rFonts w:hint="default" w:ascii="Times New Roman" w:hAnsi="Times New Roman" w:cs="Times New Roman"/>
                    </w:rPr>
                    <w:t>机动翻斗车</w:t>
                  </w:r>
                </w:p>
              </w:tc>
              <w:tc>
                <w:tcPr>
                  <w:tcW w:w="76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80</w:t>
                  </w:r>
                </w:p>
              </w:tc>
              <w:tc>
                <w:tcPr>
                  <w:tcW w:w="88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60</w:t>
                  </w:r>
                </w:p>
              </w:tc>
              <w:tc>
                <w:tcPr>
                  <w:tcW w:w="73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54</w:t>
                  </w:r>
                </w:p>
              </w:tc>
              <w:tc>
                <w:tcPr>
                  <w:tcW w:w="774"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50</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48</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46</w:t>
                  </w:r>
                </w:p>
              </w:tc>
              <w:tc>
                <w:tcPr>
                  <w:tcW w:w="89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40</w:t>
                  </w:r>
                </w:p>
              </w:tc>
              <w:tc>
                <w:tcPr>
                  <w:tcW w:w="9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36</w:t>
                  </w:r>
                </w:p>
              </w:tc>
              <w:tc>
                <w:tcPr>
                  <w:tcW w:w="85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34</w:t>
                  </w:r>
                </w:p>
              </w:tc>
              <w:tc>
                <w:tcPr>
                  <w:tcW w:w="77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dxa"/>
                  <w:vAlign w:val="center"/>
                </w:tcPr>
                <w:p>
                  <w:pPr>
                    <w:jc w:val="center"/>
                    <w:rPr>
                      <w:rFonts w:ascii="Times New Roman" w:hAnsi="Times New Roman"/>
                      <w:color w:val="000000" w:themeColor="text1"/>
                      <w:szCs w:val="21"/>
                      <w14:textFill>
                        <w14:solidFill>
                          <w14:schemeClr w14:val="tx1"/>
                        </w14:solidFill>
                      </w14:textFill>
                    </w:rPr>
                  </w:pPr>
                  <w:r>
                    <w:rPr>
                      <w:rFonts w:hint="default" w:ascii="Times New Roman" w:hAnsi="Times New Roman" w:cs="Times New Roman"/>
                    </w:rPr>
                    <w:t>潜水泵</w:t>
                  </w:r>
                </w:p>
              </w:tc>
              <w:tc>
                <w:tcPr>
                  <w:tcW w:w="76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85</w:t>
                  </w:r>
                </w:p>
              </w:tc>
              <w:tc>
                <w:tcPr>
                  <w:tcW w:w="88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65</w:t>
                  </w:r>
                </w:p>
              </w:tc>
              <w:tc>
                <w:tcPr>
                  <w:tcW w:w="73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59</w:t>
                  </w:r>
                </w:p>
              </w:tc>
              <w:tc>
                <w:tcPr>
                  <w:tcW w:w="774"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55</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53</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51</w:t>
                  </w:r>
                </w:p>
              </w:tc>
              <w:tc>
                <w:tcPr>
                  <w:tcW w:w="89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45</w:t>
                  </w:r>
                </w:p>
              </w:tc>
              <w:tc>
                <w:tcPr>
                  <w:tcW w:w="9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41</w:t>
                  </w:r>
                </w:p>
              </w:tc>
              <w:tc>
                <w:tcPr>
                  <w:tcW w:w="85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39</w:t>
                  </w:r>
                </w:p>
              </w:tc>
              <w:tc>
                <w:tcPr>
                  <w:tcW w:w="77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打夯机</w:t>
                  </w:r>
                </w:p>
              </w:tc>
              <w:tc>
                <w:tcPr>
                  <w:tcW w:w="76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90</w:t>
                  </w:r>
                </w:p>
              </w:tc>
              <w:tc>
                <w:tcPr>
                  <w:tcW w:w="88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70</w:t>
                  </w:r>
                </w:p>
              </w:tc>
              <w:tc>
                <w:tcPr>
                  <w:tcW w:w="73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64</w:t>
                  </w:r>
                </w:p>
              </w:tc>
              <w:tc>
                <w:tcPr>
                  <w:tcW w:w="774"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60</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58</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56</w:t>
                  </w:r>
                </w:p>
              </w:tc>
              <w:tc>
                <w:tcPr>
                  <w:tcW w:w="89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50</w:t>
                  </w:r>
                </w:p>
              </w:tc>
              <w:tc>
                <w:tcPr>
                  <w:tcW w:w="9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46</w:t>
                  </w:r>
                </w:p>
              </w:tc>
              <w:tc>
                <w:tcPr>
                  <w:tcW w:w="85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44</w:t>
                  </w:r>
                </w:p>
              </w:tc>
              <w:tc>
                <w:tcPr>
                  <w:tcW w:w="77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振捣器</w:t>
                  </w:r>
                </w:p>
              </w:tc>
              <w:tc>
                <w:tcPr>
                  <w:tcW w:w="76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103</w:t>
                  </w:r>
                </w:p>
              </w:tc>
              <w:tc>
                <w:tcPr>
                  <w:tcW w:w="880"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83</w:t>
                  </w:r>
                </w:p>
              </w:tc>
              <w:tc>
                <w:tcPr>
                  <w:tcW w:w="73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77</w:t>
                  </w:r>
                </w:p>
              </w:tc>
              <w:tc>
                <w:tcPr>
                  <w:tcW w:w="774"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71</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65</w:t>
                  </w:r>
                </w:p>
              </w:tc>
              <w:tc>
                <w:tcPr>
                  <w:tcW w:w="7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63</w:t>
                  </w:r>
                </w:p>
              </w:tc>
              <w:tc>
                <w:tcPr>
                  <w:tcW w:w="89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59</w:t>
                  </w:r>
                </w:p>
              </w:tc>
              <w:tc>
                <w:tcPr>
                  <w:tcW w:w="919"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56</w:t>
                  </w:r>
                </w:p>
              </w:tc>
              <w:tc>
                <w:tcPr>
                  <w:tcW w:w="852"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50</w:t>
                  </w:r>
                </w:p>
              </w:tc>
              <w:tc>
                <w:tcPr>
                  <w:tcW w:w="773" w:type="dxa"/>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49</w:t>
                  </w:r>
                </w:p>
              </w:tc>
            </w:tr>
          </w:tbl>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由表中可以看出，施工期间各机械噪声级昼间在施工点50m范围内超出标准限值，夜间在距施工点150m外噪声衰减值才符合《建筑施工场界环境噪声排放标准》(GB12523-2011)的要求。</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本项目</w:t>
            </w:r>
            <w:r>
              <w:rPr>
                <w:rFonts w:hint="eastAsia" w:ascii="Times New Roman" w:hAnsi="Times New Roman" w:cs="Times New Roman"/>
                <w:color w:val="000000" w:themeColor="text1"/>
                <w:sz w:val="24"/>
                <w:szCs w:val="24"/>
                <w:lang w:val="en-US" w:eastAsia="zh-CN"/>
                <w14:textFill>
                  <w14:solidFill>
                    <w14:schemeClr w14:val="tx1"/>
                  </w14:solidFill>
                </w14:textFill>
              </w:rPr>
              <w:t>各渠道、管道长度均较短，涉及宣汉县内多个乡镇</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因此需要视具体情况采取噪声防治措施；另一方面，施工运输车辆行驶产生的交通噪声也是不能忽视的，根据经验分析，运输车辆行驶噪声将对运输道路两侧各50m范围内的声环境敏感点产生比较显著的影响。由于施工机械声压级较高，施工时对施工现场及周围环境将产生一定影响，不仅使附近的居民受到不同程度的施工噪声影响，也对施工机械的操作工人及现场施工人员造成严重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从地理位置分布接可知，施工区域均远离当地集中居住区，渠道和管道沿线以散居农户为主，</w:t>
            </w:r>
            <w:r>
              <w:rPr>
                <w:rFonts w:ascii="Times New Roman" w:hAnsi="Times New Roman" w:cs="Times New Roman"/>
                <w:color w:val="000000" w:themeColor="text1"/>
                <w:sz w:val="24"/>
                <w:szCs w:val="24"/>
                <w14:textFill>
                  <w14:solidFill>
                    <w14:schemeClr w14:val="tx1"/>
                  </w14:solidFill>
                </w14:textFill>
              </w:rPr>
              <w:t>施工期要做好噪声防治措施，尽量减少并避免项目施工对周边居民的影响。噪声防治措施：</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合理安排施工时间，杜绝夜间（22:00~06:00）施工，禁止高噪声施工设备在午休时间（12:00~14:00），若遇中高考等特殊禁噪时期，应落实相应要求。若必须连续进行强噪声作业时，施工单位应事先征得周围居民和单位的同意，并向当地城管部门申报。</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（2）选用符合国家标准的低噪声设备，定期加强对设备的维修保养，避免由于设备非正常工作而产生高噪声污染。</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（3）加强施工管理，轻拿轻放施工器械和施工材料；运输车辆进入现场应减速、并减少鸣笛等；施工监理单位应做好噪声控制措施，确保施工场界噪声达标排放，减轻对沿线居民造成影响。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（4）施工运输车辆应按照有关部门同意的运输路线行进，运输时间应避开居民进出高峰期、午休和夜间，同时严格限速、限载管理，禁止鸣笛。</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（5）合理制定施工计划，加快施工进度，减少对周围居民影响。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（6）施工前应在沿线张贴告示，充分征求区域居民和学校的意见，尽可能避免因噪声影响引起纠纷，施工单位应听取周围居民和学校的意见，接受公众监督。</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（7）根据施工布置，加工场（钢筋加工等）均设置在距离散户区较远（大于300m）处，加工噪声通过距离衰减等可降低对周围住户的影响。</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评价认为，本项目施工阶段采取以上噪声防治措施后，场界噪声可达到《建筑施工场界环境噪声排放标准》（GB12523-2011）规定的限值，实现达标排放，对周围环境的影响甚微。</w:t>
            </w:r>
          </w:p>
          <w:p>
            <w:pPr>
              <w:autoSpaceDE w:val="0"/>
              <w:autoSpaceDN w:val="0"/>
              <w:adjustRightInd w:val="0"/>
              <w:snapToGrid w:val="0"/>
              <w:spacing w:line="360" w:lineRule="auto"/>
              <w:ind w:firstLine="482" w:firstLineChars="200"/>
              <w:rPr>
                <w:rFonts w:ascii="Times New Roman" w:hAnsi="Times New Roman" w:cs="Times New Roman"/>
                <w:b/>
                <w:color w:val="000000" w:themeColor="text1"/>
                <w:sz w:val="24"/>
                <w:szCs w:val="24"/>
                <w14:textFill>
                  <w14:solidFill>
                    <w14:schemeClr w14:val="tx1"/>
                  </w14:solidFill>
                </w14:textFill>
              </w:rPr>
            </w:pPr>
            <w:r>
              <w:rPr>
                <w:rFonts w:hint="eastAsia" w:ascii="Times New Roman" w:hAnsi="Times New Roman" w:cs="Times New Roman"/>
                <w:b/>
                <w:color w:val="000000" w:themeColor="text1"/>
                <w:sz w:val="24"/>
                <w:szCs w:val="24"/>
                <w14:textFill>
                  <w14:solidFill>
                    <w14:schemeClr w14:val="tx1"/>
                  </w14:solidFill>
                </w14:textFill>
              </w:rPr>
              <w:t>4、</w:t>
            </w:r>
            <w:r>
              <w:rPr>
                <w:rFonts w:ascii="Times New Roman" w:hAnsi="Times New Roman" w:cs="Times New Roman"/>
                <w:b/>
                <w:color w:val="000000" w:themeColor="text1"/>
                <w:sz w:val="24"/>
                <w:szCs w:val="24"/>
                <w14:textFill>
                  <w14:solidFill>
                    <w14:schemeClr w14:val="tx1"/>
                  </w14:solidFill>
                </w14:textFill>
              </w:rPr>
              <w:t>固体废物</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kern w:val="0"/>
                <w:sz w:val="24"/>
                <w:szCs w:val="24"/>
                <w14:textFill>
                  <w14:solidFill>
                    <w14:schemeClr w14:val="tx1"/>
                  </w14:solidFill>
                </w14:textFill>
              </w:rPr>
              <w:t>（1）</w:t>
            </w:r>
            <w:r>
              <w:rPr>
                <w:rFonts w:ascii="Times New Roman" w:hAnsi="Times New Roman" w:cs="Times New Roman"/>
                <w:color w:val="000000" w:themeColor="text1"/>
                <w:kern w:val="0"/>
                <w:sz w:val="24"/>
                <w:szCs w:val="24"/>
                <w14:textFill>
                  <w14:solidFill>
                    <w14:schemeClr w14:val="tx1"/>
                  </w14:solidFill>
                </w14:textFill>
              </w:rPr>
              <w:t>土石方</w:t>
            </w:r>
          </w:p>
          <w:p>
            <w:pPr>
              <w:autoSpaceDE w:val="0"/>
              <w:autoSpaceDN w:val="0"/>
              <w:adjustRightInd w:val="0"/>
              <w:snapToGrid w:val="0"/>
              <w:spacing w:line="360" w:lineRule="auto"/>
              <w:ind w:firstLine="480" w:firstLineChars="200"/>
              <w:rPr>
                <w:rFonts w:hint="eastAsia" w:ascii="Times New Roman" w:hAnsi="Times New Roman" w:cs="Times New Roman" w:eastAsiaTheme="minorEastAsia"/>
                <w:color w:val="000000" w:themeColor="text1"/>
                <w:kern w:val="0"/>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通过前述土石方平衡分析，</w:t>
            </w:r>
            <w:r>
              <w:rPr>
                <w:rFonts w:ascii="Times New Roman" w:hAnsi="Times New Roman" w:cs="Times New Roman"/>
                <w:color w:val="000000" w:themeColor="text1"/>
                <w:sz w:val="24"/>
                <w:szCs w:val="24"/>
                <w14:textFill>
                  <w14:solidFill>
                    <w14:schemeClr w14:val="tx1"/>
                  </w14:solidFill>
                </w14:textFill>
              </w:rPr>
              <w:t>本工程表土剥离</w:t>
            </w:r>
            <w:r>
              <w:rPr>
                <w:rFonts w:hint="eastAsia" w:ascii="Times New Roman" w:hAnsi="Times New Roman" w:cs="Times New Roman"/>
                <w:color w:val="000000" w:themeColor="text1"/>
                <w:sz w:val="24"/>
                <w:szCs w:val="24"/>
                <w:lang w:val="en-US" w:eastAsia="zh-CN"/>
                <w14:textFill>
                  <w14:solidFill>
                    <w14:schemeClr w14:val="tx1"/>
                  </w14:solidFill>
                </w14:textFill>
              </w:rPr>
              <w:t>5.7091</w:t>
            </w:r>
            <w:r>
              <w:rPr>
                <w:rFonts w:ascii="Times New Roman" w:hAnsi="Times New Roman" w:cs="Times New Roman"/>
                <w:color w:val="000000" w:themeColor="text1"/>
                <w:sz w:val="24"/>
                <w:szCs w:val="24"/>
                <w14:textFill>
                  <w14:solidFill>
                    <w14:schemeClr w14:val="tx1"/>
                  </w14:solidFill>
                </w14:textFill>
              </w:rPr>
              <w:t>万m</w:t>
            </w:r>
            <w:r>
              <w:rPr>
                <w:rFonts w:ascii="Times New Roman" w:hAnsi="Times New Roman" w:cs="Times New Roman"/>
                <w:color w:val="000000" w:themeColor="text1"/>
                <w:sz w:val="24"/>
                <w:szCs w:val="24"/>
                <w:vertAlign w:val="superscript"/>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，全部作为</w:t>
            </w:r>
            <w:r>
              <w:rPr>
                <w:rFonts w:hint="eastAsia" w:ascii="Times New Roman" w:hAnsi="Times New Roman" w:cs="Times New Roman"/>
                <w:color w:val="000000" w:themeColor="text1"/>
                <w:sz w:val="24"/>
                <w:szCs w:val="24"/>
                <w:lang w:val="en-US" w:eastAsia="zh-CN"/>
                <w14:textFill>
                  <w14:solidFill>
                    <w14:schemeClr w14:val="tx1"/>
                  </w14:solidFill>
                </w14:textFill>
              </w:rPr>
              <w:t>回填和临时工程的迹地恢复</w:t>
            </w: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开挖石方0.0248</w:t>
            </w:r>
            <w:r>
              <w:rPr>
                <w:rFonts w:ascii="Times New Roman" w:hAnsi="Times New Roman" w:cs="Times New Roman"/>
                <w:color w:val="000000" w:themeColor="text1"/>
                <w:sz w:val="24"/>
                <w:szCs w:val="24"/>
                <w14:textFill>
                  <w14:solidFill>
                    <w14:schemeClr w14:val="tx1"/>
                  </w14:solidFill>
                </w14:textFill>
              </w:rPr>
              <w:t>m</w:t>
            </w:r>
            <w:r>
              <w:rPr>
                <w:rFonts w:ascii="Times New Roman" w:hAnsi="Times New Roman" w:cs="Times New Roman"/>
                <w:color w:val="000000" w:themeColor="text1"/>
                <w:sz w:val="24"/>
                <w:szCs w:val="24"/>
                <w:vertAlign w:val="superscript"/>
                <w14:textFill>
                  <w14:solidFill>
                    <w14:schemeClr w14:val="tx1"/>
                  </w14:solidFill>
                </w14:textFill>
              </w:rPr>
              <w:t>3</w:t>
            </w:r>
            <w:r>
              <w:rPr>
                <w:rFonts w:hint="eastAsia" w:ascii="Times New Roman" w:hAnsi="Times New Roman" w:cs="Times New Roman"/>
                <w:color w:val="000000" w:themeColor="text1"/>
                <w:sz w:val="24"/>
                <w:szCs w:val="24"/>
                <w:vertAlign w:val="baseline"/>
                <w:lang w:eastAsia="zh-CN"/>
                <w14:textFill>
                  <w14:solidFill>
                    <w14:schemeClr w14:val="tx1"/>
                  </w14:solidFill>
                </w14:textFill>
              </w:rPr>
              <w:t>，</w:t>
            </w:r>
            <w:r>
              <w:rPr>
                <w:rFonts w:hint="eastAsia" w:ascii="Times New Roman" w:hAnsi="Times New Roman" w:cs="Times New Roman"/>
                <w:kern w:val="0"/>
                <w:sz w:val="24"/>
                <w:szCs w:val="24"/>
                <w:vertAlign w:val="baseline"/>
                <w:lang w:val="en-US" w:eastAsia="zh-CN"/>
              </w:rPr>
              <w:t>均</w:t>
            </w:r>
            <w:r>
              <w:rPr>
                <w:rFonts w:hint="eastAsia" w:ascii="Times New Roman" w:hAnsi="Times New Roman" w:cs="Times New Roman"/>
                <w:kern w:val="0"/>
                <w:sz w:val="24"/>
                <w:szCs w:val="24"/>
                <w:lang w:val="en-US" w:eastAsia="zh-CN"/>
              </w:rPr>
              <w:t>用于渠堤基础回填，</w:t>
            </w:r>
            <w:r>
              <w:rPr>
                <w:rFonts w:hint="eastAsia" w:ascii="Times New Roman" w:hAnsi="Times New Roman" w:cs="Times New Roman"/>
                <w:color w:val="000000" w:themeColor="text1"/>
                <w:sz w:val="24"/>
                <w:szCs w:val="24"/>
                <w:lang w:val="en-US" w:eastAsia="zh-CN"/>
                <w14:textFill>
                  <w14:solidFill>
                    <w14:schemeClr w14:val="tx1"/>
                  </w14:solidFill>
                </w14:textFill>
              </w:rPr>
              <w:t>工程总体无弃方产生。</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szCs w:val="24"/>
                <w:lang w:val="en-US" w:eastAsia="zh-CN"/>
                <w14:textFill>
                  <w14:solidFill>
                    <w14:schemeClr w14:val="tx1"/>
                  </w14:solidFill>
                </w14:textFill>
              </w:rPr>
            </w:pPr>
            <w:r>
              <w:rPr>
                <w:rFonts w:hint="eastAsia" w:ascii="Times New Roman" w:hAnsi="Times New Roman" w:cs="Times New Roman"/>
                <w:color w:val="000000" w:themeColor="text1"/>
                <w:kern w:val="0"/>
                <w:sz w:val="24"/>
                <w:szCs w:val="24"/>
                <w14:textFill>
                  <w14:solidFill>
                    <w14:schemeClr w14:val="tx1"/>
                  </w14:solidFill>
                </w14:textFill>
              </w:rPr>
              <w:t>（2）</w:t>
            </w:r>
            <w:r>
              <w:rPr>
                <w:rFonts w:ascii="Times New Roman" w:hAnsi="Times New Roman" w:cs="Times New Roman"/>
                <w:color w:val="000000" w:themeColor="text1"/>
                <w:kern w:val="0"/>
                <w:sz w:val="24"/>
                <w:szCs w:val="24"/>
                <w14:textFill>
                  <w14:solidFill>
                    <w14:schemeClr w14:val="tx1"/>
                  </w14:solidFill>
                </w14:textFill>
              </w:rPr>
              <w:t>建筑垃圾</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施工活动产生的废弃建筑</w:t>
            </w:r>
            <w:r>
              <w:rPr>
                <w:rFonts w:hint="eastAsia" w:ascii="Times New Roman" w:hAnsi="Times New Roman" w:cs="Times New Roman"/>
                <w:color w:val="000000" w:themeColor="text1"/>
                <w:sz w:val="24"/>
                <w:szCs w:val="24"/>
                <w:lang w:val="en-US" w:eastAsia="zh-CN"/>
                <w14:textFill>
                  <w14:solidFill>
                    <w14:schemeClr w14:val="tx1"/>
                  </w14:solidFill>
                </w14:textFill>
              </w:rPr>
              <w:t>垃圾主要来自于破损渠堤和提灌站的拆除，14个灌区整治建筑垃圾产生量35.8t，约</w:t>
            </w:r>
            <w:r>
              <w:rPr>
                <w:rFonts w:ascii="Times New Roman" w:hAnsi="Times New Roman" w:cs="Times New Roman"/>
                <w:color w:val="000000" w:themeColor="text1"/>
                <w:sz w:val="24"/>
                <w:szCs w:val="24"/>
                <w14:textFill>
                  <w14:solidFill>
                    <w14:schemeClr w14:val="tx1"/>
                  </w14:solidFill>
                </w14:textFill>
              </w:rPr>
              <w:t>应分类集中收集，</w:t>
            </w:r>
            <w:r>
              <w:rPr>
                <w:rFonts w:hint="eastAsia" w:ascii="Times New Roman" w:hAnsi="Times New Roman" w:cs="Times New Roman"/>
                <w:color w:val="000000" w:themeColor="text1"/>
                <w:sz w:val="24"/>
                <w:szCs w:val="24"/>
                <w:lang w:val="en-US" w:eastAsia="zh-CN"/>
                <w14:textFill>
                  <w14:solidFill>
                    <w14:schemeClr w14:val="tx1"/>
                  </w14:solidFill>
                </w14:textFill>
              </w:rPr>
              <w:t>可以利用的</w:t>
            </w:r>
            <w:r>
              <w:rPr>
                <w:rFonts w:ascii="Times New Roman" w:hAnsi="Times New Roman" w:cs="Times New Roman"/>
                <w:color w:val="000000" w:themeColor="text1"/>
                <w:sz w:val="24"/>
                <w:szCs w:val="24"/>
                <w14:textFill>
                  <w14:solidFill>
                    <w14:schemeClr w14:val="tx1"/>
                  </w14:solidFill>
                </w14:textFill>
              </w:rPr>
              <w:t>进行综合利用</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不可利用的及时清运</w:t>
            </w:r>
            <w:r>
              <w:rPr>
                <w:rFonts w:hint="eastAsia" w:ascii="Times New Roman" w:hAnsi="Times New Roman" w:cs="Times New Roman"/>
                <w:color w:val="000000" w:themeColor="text1"/>
                <w:sz w:val="24"/>
                <w:szCs w:val="24"/>
                <w14:textFill>
                  <w14:solidFill>
                    <w14:schemeClr w14:val="tx1"/>
                  </w14:solidFill>
                </w14:textFill>
              </w:rPr>
              <w:t>至市政指定建筑垃圾处置场处置</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szCs w:val="24"/>
                <w:lang w:val="en-US" w:eastAsia="zh-CN"/>
                <w14:textFill>
                  <w14:solidFill>
                    <w14:schemeClr w14:val="tx1"/>
                  </w14:solidFill>
                </w14:textFill>
              </w:rPr>
            </w:pPr>
            <w:r>
              <w:rPr>
                <w:rFonts w:hint="eastAsia" w:ascii="Times New Roman" w:hAnsi="Times New Roman" w:cs="Times New Roman"/>
                <w:color w:val="000000" w:themeColor="text1"/>
                <w:kern w:val="0"/>
                <w:sz w:val="24"/>
                <w:szCs w:val="24"/>
                <w:lang w:val="en-US" w:eastAsia="zh-CN"/>
                <w14:textFill>
                  <w14:solidFill>
                    <w14:schemeClr w14:val="tx1"/>
                  </w14:solidFill>
                </w14:textFill>
              </w:rPr>
              <w:t>（3）破损管道</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szCs w:val="24"/>
                <w:lang w:val="en-US" w:eastAsia="zh-CN"/>
                <w14:textFill>
                  <w14:solidFill>
                    <w14:schemeClr w14:val="tx1"/>
                  </w14:solidFill>
                </w14:textFill>
              </w:rPr>
            </w:pPr>
            <w:r>
              <w:rPr>
                <w:rFonts w:hint="eastAsia" w:ascii="Times New Roman" w:hAnsi="Times New Roman" w:cs="Times New Roman"/>
                <w:color w:val="000000" w:themeColor="text1"/>
                <w:kern w:val="0"/>
                <w:sz w:val="24"/>
                <w:szCs w:val="24"/>
                <w:lang w:val="en-US" w:eastAsia="zh-CN"/>
                <w14:textFill>
                  <w14:solidFill>
                    <w14:schemeClr w14:val="tx1"/>
                  </w14:solidFill>
                </w14:textFill>
              </w:rPr>
              <w:t>部分破损管道无法修复需要进行更换，产生的废钢管外售废品回收站。</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4</w:t>
            </w:r>
            <w:r>
              <w:rPr>
                <w:rFonts w:hint="eastAsia" w:ascii="Times New Roman" w:hAnsi="Times New Roman" w:cs="Times New Roman"/>
                <w:color w:val="000000" w:themeColor="text1"/>
                <w:kern w:val="0"/>
                <w:sz w:val="24"/>
                <w:szCs w:val="24"/>
                <w14:textFill>
                  <w14:solidFill>
                    <w14:schemeClr w14:val="tx1"/>
                  </w14:solidFill>
                </w14:textFill>
              </w:rPr>
              <w:t>）清淤淤泥</w:t>
            </w:r>
          </w:p>
          <w:p>
            <w:pPr>
              <w:autoSpaceDE w:val="0"/>
              <w:autoSpaceDN w:val="0"/>
              <w:adjustRightInd w:val="0"/>
              <w:snapToGrid w:val="0"/>
              <w:spacing w:line="360" w:lineRule="auto"/>
              <w:ind w:firstLine="480" w:firstLineChars="200"/>
              <w:rPr>
                <w:rFonts w:ascii="Times New Roman" w:hAnsi="Times New Roman" w:cs="Times New Roman"/>
                <w:b/>
                <w:bCs/>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kern w:val="0"/>
                <w:sz w:val="24"/>
                <w:szCs w:val="24"/>
                <w14:textFill>
                  <w14:solidFill>
                    <w14:schemeClr w14:val="tx1"/>
                  </w14:solidFill>
                </w14:textFill>
              </w:rPr>
              <w:t>经现场踏勘及查阅相关资料，</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渠道</w:t>
            </w:r>
            <w:r>
              <w:rPr>
                <w:rFonts w:hint="eastAsia" w:ascii="Times New Roman" w:hAnsi="Times New Roman" w:cs="Times New Roman"/>
                <w:color w:val="000000" w:themeColor="text1"/>
                <w:kern w:val="0"/>
                <w:sz w:val="24"/>
                <w:szCs w:val="24"/>
                <w14:textFill>
                  <w14:solidFill>
                    <w14:schemeClr w14:val="tx1"/>
                  </w14:solidFill>
                </w14:textFill>
              </w:rPr>
              <w:t>淤泥基本以</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多年沉积</w:t>
            </w:r>
            <w:r>
              <w:rPr>
                <w:rFonts w:hint="eastAsia" w:ascii="Times New Roman" w:hAnsi="Times New Roman" w:cs="Times New Roman"/>
                <w:color w:val="000000" w:themeColor="text1"/>
                <w:kern w:val="0"/>
                <w:sz w:val="24"/>
                <w:szCs w:val="24"/>
                <w14:textFill>
                  <w14:solidFill>
                    <w14:schemeClr w14:val="tx1"/>
                  </w14:solidFill>
                </w14:textFill>
              </w:rPr>
              <w:t>砂石为主，渗水性较好，腐质很少，恶臭浓度值较低，产生的淤泥量</w:t>
            </w:r>
            <w:r>
              <w:rPr>
                <w:rFonts w:hint="eastAsia" w:ascii="Times New Roman" w:hAnsi="Times New Roman" w:cs="Times New Roman"/>
                <w:color w:val="000000" w:themeColor="text1"/>
                <w:kern w:val="0"/>
                <w:sz w:val="24"/>
                <w:szCs w:val="24"/>
                <w:lang w:val="en-US" w:eastAsia="zh-CN"/>
                <w14:textFill>
                  <w14:solidFill>
                    <w14:schemeClr w14:val="tx1"/>
                  </w14:solidFill>
                </w14:textFill>
              </w:rPr>
              <w:t>较少</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14个灌区共计产生</w:t>
            </w:r>
            <w:r>
              <w:rPr>
                <w:rFonts w:hint="eastAsia" w:ascii="Times New Roman" w:hAnsi="Times New Roman" w:cs="Times New Roman"/>
                <w:color w:val="000000" w:themeColor="text1"/>
                <w:kern w:val="0"/>
                <w:sz w:val="24"/>
                <w:szCs w:val="24"/>
                <w14:textFill>
                  <w14:solidFill>
                    <w14:schemeClr w14:val="tx1"/>
                  </w14:solidFill>
                </w14:textFill>
              </w:rPr>
              <w:t>5298m</w:t>
            </w:r>
            <w:r>
              <w:rPr>
                <w:rFonts w:hint="eastAsia" w:ascii="Times New Roman" w:hAnsi="Times New Roman" w:cs="Times New Roman"/>
                <w:color w:val="000000" w:themeColor="text1"/>
                <w:kern w:val="0"/>
                <w:sz w:val="24"/>
                <w:szCs w:val="24"/>
                <w:vertAlign w:val="superscript"/>
                <w14:textFill>
                  <w14:solidFill>
                    <w14:schemeClr w14:val="tx1"/>
                  </w14:solidFill>
                </w14:textFill>
              </w:rPr>
              <w:t>3</w:t>
            </w:r>
            <w:r>
              <w:rPr>
                <w:rFonts w:hint="eastAsia" w:ascii="Times New Roman" w:hAnsi="Times New Roman" w:cs="Times New Roman"/>
                <w:color w:val="000000" w:themeColor="text1"/>
                <w:kern w:val="0"/>
                <w:sz w:val="24"/>
                <w:szCs w:val="24"/>
                <w14:textFill>
                  <w14:solidFill>
                    <w14:schemeClr w14:val="tx1"/>
                  </w14:solidFill>
                </w14:textFill>
              </w:rPr>
              <w:t>），产生的淤泥在</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各标段设置的淤泥堆放场</w:t>
            </w:r>
            <w:r>
              <w:rPr>
                <w:rFonts w:hint="eastAsia" w:ascii="Times New Roman" w:hAnsi="Times New Roman" w:cs="Times New Roman"/>
                <w:color w:val="000000" w:themeColor="text1"/>
                <w:kern w:val="0"/>
                <w:sz w:val="24"/>
                <w:szCs w:val="24"/>
                <w14:textFill>
                  <w14:solidFill>
                    <w14:schemeClr w14:val="tx1"/>
                  </w14:solidFill>
                </w14:textFill>
              </w:rPr>
              <w:t>内</w:t>
            </w:r>
            <w:r>
              <w:rPr>
                <w:rFonts w:hint="eastAsia" w:ascii="Times New Roman" w:hAnsi="Times New Roman" w:cs="Times New Roman"/>
                <w:color w:val="000000" w:themeColor="text1"/>
                <w:kern w:val="0"/>
                <w:sz w:val="24"/>
                <w:szCs w:val="24"/>
                <w:lang w:val="en-US" w:eastAsia="zh-CN"/>
                <w14:textFill>
                  <w14:solidFill>
                    <w14:schemeClr w14:val="tx1"/>
                  </w14:solidFill>
                </w14:textFill>
              </w:rPr>
              <w:t>经</w:t>
            </w:r>
            <w:r>
              <w:rPr>
                <w:rFonts w:hint="eastAsia" w:ascii="Times New Roman" w:hAnsi="Times New Roman" w:cs="Times New Roman"/>
                <w:color w:val="000000" w:themeColor="text1"/>
                <w:kern w:val="0"/>
                <w:sz w:val="24"/>
                <w:szCs w:val="24"/>
                <w14:textFill>
                  <w14:solidFill>
                    <w14:schemeClr w14:val="tx1"/>
                  </w14:solidFill>
                </w14:textFill>
              </w:rPr>
              <w:t>淤泥沉淀池（</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每个淤泥堆放场各设置</w:t>
            </w:r>
            <w:r>
              <w:rPr>
                <w:rFonts w:hint="eastAsia" w:ascii="Times New Roman" w:hAnsi="Times New Roman" w:cs="Times New Roman"/>
                <w:color w:val="000000" w:themeColor="text1"/>
                <w:kern w:val="0"/>
                <w:sz w:val="24"/>
                <w:szCs w:val="24"/>
                <w14:textFill>
                  <w14:solidFill>
                    <w14:schemeClr w14:val="tx1"/>
                  </w14:solidFill>
                </w14:textFill>
              </w:rPr>
              <w:t>1口，</w:t>
            </w:r>
            <w:r>
              <w:rPr>
                <w:rFonts w:hint="eastAsia" w:ascii="Times New Roman" w:hAnsi="Times New Roman" w:cs="Times New Roman"/>
                <w:color w:val="000000" w:themeColor="text1"/>
                <w:kern w:val="0"/>
                <w:sz w:val="24"/>
                <w:szCs w:val="24"/>
                <w:lang w:val="en-US" w:eastAsia="zh-CN"/>
                <w14:textFill>
                  <w14:solidFill>
                    <w14:schemeClr w14:val="tx1"/>
                  </w14:solidFill>
                </w14:textFill>
              </w:rPr>
              <w:t>2</w:t>
            </w:r>
            <w:r>
              <w:rPr>
                <w:rFonts w:hint="eastAsia" w:ascii="Times New Roman" w:hAnsi="Times New Roman" w:cs="Times New Roman"/>
                <w:color w:val="000000" w:themeColor="text1"/>
                <w:kern w:val="0"/>
                <w:sz w:val="24"/>
                <w:szCs w:val="24"/>
                <w14:textFill>
                  <w14:solidFill>
                    <w14:schemeClr w14:val="tx1"/>
                  </w14:solidFill>
                </w14:textFill>
              </w:rPr>
              <w:t>m</w:t>
            </w:r>
            <w:r>
              <w:rPr>
                <w:rFonts w:hint="eastAsia" w:ascii="Times New Roman" w:hAnsi="Times New Roman" w:cs="Times New Roman"/>
                <w:color w:val="000000" w:themeColor="text1"/>
                <w:kern w:val="0"/>
                <w:sz w:val="24"/>
                <w:szCs w:val="24"/>
                <w:vertAlign w:val="superscript"/>
                <w14:textFill>
                  <w14:solidFill>
                    <w14:schemeClr w14:val="tx1"/>
                  </w14:solidFill>
                </w14:textFill>
              </w:rPr>
              <w:t>3</w:t>
            </w:r>
            <w:r>
              <w:rPr>
                <w:rFonts w:hint="eastAsia" w:ascii="Times New Roman" w:hAnsi="Times New Roman" w:cs="Times New Roman"/>
                <w:color w:val="000000" w:themeColor="text1"/>
                <w:kern w:val="0"/>
                <w:sz w:val="24"/>
                <w:szCs w:val="24"/>
                <w14:textFill>
                  <w14:solidFill>
                    <w14:schemeClr w14:val="tx1"/>
                  </w14:solidFill>
                </w14:textFill>
              </w:rPr>
              <w:t>）沉淀后添加少量砂土干化脱水后用于平整场地。</w:t>
            </w:r>
            <w:r>
              <w:rPr>
                <w:rFonts w:hint="eastAsia" w:ascii="Times New Roman" w:hAnsi="Times New Roman" w:cs="Times New Roman"/>
                <w:b/>
                <w:bCs/>
                <w:color w:val="000000" w:themeColor="text1"/>
                <w:kern w:val="0"/>
                <w:sz w:val="24"/>
                <w:szCs w:val="24"/>
                <w14:textFill>
                  <w14:solidFill>
                    <w14:schemeClr w14:val="tx1"/>
                  </w14:solidFill>
                </w14:textFill>
              </w:rPr>
              <w:t>评价要求清淤淤泥禁止</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再次</w:t>
            </w:r>
            <w:r>
              <w:rPr>
                <w:rFonts w:hint="eastAsia" w:ascii="Times New Roman" w:hAnsi="Times New Roman" w:cs="Times New Roman"/>
                <w:b/>
                <w:bCs/>
                <w:color w:val="000000" w:themeColor="text1"/>
                <w:kern w:val="0"/>
                <w:sz w:val="24"/>
                <w:szCs w:val="24"/>
                <w14:textFill>
                  <w14:solidFill>
                    <w14:schemeClr w14:val="tx1"/>
                  </w14:solidFill>
                </w14:textFill>
              </w:rPr>
              <w:t>排入</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渠道或耕地内</w:t>
            </w:r>
            <w:r>
              <w:rPr>
                <w:rFonts w:hint="eastAsia" w:ascii="Times New Roman" w:hAnsi="Times New Roman" w:cs="Times New Roman"/>
                <w:b/>
                <w:bCs/>
                <w:color w:val="000000" w:themeColor="text1"/>
                <w:kern w:val="0"/>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5</w:t>
            </w:r>
            <w:r>
              <w:rPr>
                <w:rFonts w:hint="eastAsia" w:ascii="Times New Roman" w:hAnsi="Times New Roman" w:cs="Times New Roman"/>
                <w:color w:val="000000" w:themeColor="text1"/>
                <w:kern w:val="0"/>
                <w:sz w:val="24"/>
                <w:szCs w:val="24"/>
                <w14:textFill>
                  <w14:solidFill>
                    <w14:schemeClr w14:val="tx1"/>
                  </w14:solidFill>
                </w14:textFill>
              </w:rPr>
              <w:t>）</w:t>
            </w:r>
            <w:r>
              <w:rPr>
                <w:rFonts w:ascii="Times New Roman" w:hAnsi="Times New Roman" w:cs="Times New Roman"/>
                <w:color w:val="000000" w:themeColor="text1"/>
                <w:kern w:val="0"/>
                <w:sz w:val="24"/>
                <w:szCs w:val="24"/>
                <w14:textFill>
                  <w14:solidFill>
                    <w14:schemeClr w14:val="tx1"/>
                  </w14:solidFill>
                </w14:textFill>
              </w:rPr>
              <w:t>生活垃圾</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项目施工期间，各类施工人员较为集中，产生的生活垃圾按0.2kg/人·日计，施工人员最多以</w:t>
            </w:r>
            <w:r>
              <w:rPr>
                <w:rFonts w:hint="eastAsia" w:ascii="Times New Roman" w:hAnsi="Times New Roman" w:cs="Times New Roman"/>
                <w:color w:val="000000" w:themeColor="text1"/>
                <w:sz w:val="24"/>
                <w14:textFill>
                  <w14:solidFill>
                    <w14:schemeClr w14:val="tx1"/>
                  </w14:solidFill>
                </w14:textFill>
              </w:rPr>
              <w:t>5</w:t>
            </w:r>
            <w:r>
              <w:rPr>
                <w:rFonts w:ascii="Times New Roman" w:hAnsi="Times New Roman" w:cs="Times New Roman"/>
                <w:color w:val="000000" w:themeColor="text1"/>
                <w:sz w:val="24"/>
                <w14:textFill>
                  <w14:solidFill>
                    <w14:schemeClr w14:val="tx1"/>
                  </w14:solidFill>
                </w14:textFill>
              </w:rPr>
              <w:t>0</w:t>
            </w:r>
            <w:r>
              <w:rPr>
                <w:rFonts w:hint="eastAsia" w:ascii="Times New Roman" w:hAnsi="Times New Roman" w:cs="Times New Roman"/>
                <w:color w:val="000000" w:themeColor="text1"/>
                <w:sz w:val="24"/>
                <w:lang w:val="en-US" w:eastAsia="zh-CN"/>
                <w14:textFill>
                  <w14:solidFill>
                    <w14:schemeClr w14:val="tx1"/>
                  </w14:solidFill>
                </w14:textFill>
              </w:rPr>
              <w:t>0</w:t>
            </w:r>
            <w:r>
              <w:rPr>
                <w:rFonts w:ascii="Times New Roman" w:hAnsi="Times New Roman" w:cs="Times New Roman"/>
                <w:color w:val="000000" w:themeColor="text1"/>
                <w:sz w:val="24"/>
                <w14:textFill>
                  <w14:solidFill>
                    <w14:schemeClr w14:val="tx1"/>
                  </w14:solidFill>
                </w14:textFill>
              </w:rPr>
              <w:t>人计，因此在建设期施工人员产生的生活垃圾总量为</w:t>
            </w:r>
            <w:r>
              <w:rPr>
                <w:rFonts w:hint="eastAsia" w:ascii="Times New Roman" w:hAnsi="Times New Roman" w:cs="Times New Roman"/>
                <w:color w:val="000000" w:themeColor="text1"/>
                <w:sz w:val="24"/>
                <w14:textFill>
                  <w14:solidFill>
                    <w14:schemeClr w14:val="tx1"/>
                  </w14:solidFill>
                </w14:textFill>
              </w:rPr>
              <w:t>1</w:t>
            </w:r>
            <w:r>
              <w:rPr>
                <w:rFonts w:ascii="Times New Roman" w:hAnsi="Times New Roman" w:cs="Times New Roman"/>
                <w:color w:val="000000" w:themeColor="text1"/>
                <w:sz w:val="24"/>
                <w14:textFill>
                  <w14:solidFill>
                    <w14:schemeClr w14:val="tx1"/>
                  </w14:solidFill>
                </w14:textFill>
              </w:rPr>
              <w:t>0</w:t>
            </w:r>
            <w:r>
              <w:rPr>
                <w:rFonts w:hint="eastAsia" w:ascii="Times New Roman" w:hAnsi="Times New Roman" w:cs="Times New Roman"/>
                <w:color w:val="000000" w:themeColor="text1"/>
                <w:sz w:val="24"/>
                <w:lang w:val="en-US" w:eastAsia="zh-CN"/>
                <w14:textFill>
                  <w14:solidFill>
                    <w14:schemeClr w14:val="tx1"/>
                  </w14:solidFill>
                </w14:textFill>
              </w:rPr>
              <w:t>0</w:t>
            </w:r>
            <w:r>
              <w:rPr>
                <w:rFonts w:ascii="Times New Roman" w:hAnsi="Times New Roman" w:cs="Times New Roman"/>
                <w:color w:val="000000" w:themeColor="text1"/>
                <w:sz w:val="24"/>
                <w14:textFill>
                  <w14:solidFill>
                    <w14:schemeClr w14:val="tx1"/>
                  </w14:solidFill>
                </w14:textFill>
              </w:rPr>
              <w:t>kg/d。生活垃圾集中收集后</w:t>
            </w:r>
            <w:r>
              <w:rPr>
                <w:rFonts w:hint="eastAsia" w:ascii="Times New Roman" w:hAnsi="Times New Roman" w:cs="Times New Roman"/>
                <w:color w:val="000000" w:themeColor="text1"/>
                <w:sz w:val="24"/>
                <w14:textFill>
                  <w14:solidFill>
                    <w14:schemeClr w14:val="tx1"/>
                  </w14:solidFill>
                </w14:textFill>
              </w:rPr>
              <w:t>交由</w:t>
            </w:r>
            <w:r>
              <w:rPr>
                <w:rFonts w:ascii="Times New Roman" w:hAnsi="Times New Roman" w:cs="Times New Roman"/>
                <w:color w:val="000000" w:themeColor="text1"/>
                <w:sz w:val="24"/>
                <w14:textFill>
                  <w14:solidFill>
                    <w14:schemeClr w14:val="tx1"/>
                  </w14:solidFill>
                </w14:textFill>
              </w:rPr>
              <w:t>环卫部门处置</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本次评价要求建设单位在施工过程中：1）土石方堆放在规定的临时堆土场内并用防尘网遮盖，禁止随意临河堆放；2）建筑垃圾及时清理、清运，不得随意倾倒进入</w:t>
            </w:r>
            <w:r>
              <w:rPr>
                <w:rFonts w:hint="eastAsia" w:ascii="Times New Roman" w:hAnsi="Times New Roman" w:cs="Times New Roman"/>
                <w:color w:val="000000" w:themeColor="text1"/>
                <w:sz w:val="24"/>
                <w:szCs w:val="24"/>
                <w:lang w:val="en-US" w:eastAsia="zh-CN"/>
                <w14:textFill>
                  <w14:solidFill>
                    <w14:schemeClr w14:val="tx1"/>
                  </w14:solidFill>
                </w14:textFill>
              </w:rPr>
              <w:t>渠道</w:t>
            </w:r>
            <w:r>
              <w:rPr>
                <w:rFonts w:ascii="Times New Roman" w:hAnsi="Times New Roman" w:cs="Times New Roman"/>
                <w:color w:val="000000" w:themeColor="text1"/>
                <w:sz w:val="24"/>
                <w:szCs w:val="24"/>
                <w14:textFill>
                  <w14:solidFill>
                    <w14:schemeClr w14:val="tx1"/>
                  </w14:solidFill>
                </w14:textFill>
              </w:rPr>
              <w:t>；3）生活垃圾采用塑料垃圾袋封装后委托环卫部门清运，禁止</w:t>
            </w:r>
            <w:r>
              <w:rPr>
                <w:rFonts w:hint="eastAsia" w:ascii="Times New Roman" w:hAnsi="Times New Roman" w:cs="Times New Roman"/>
                <w:color w:val="000000" w:themeColor="text1"/>
                <w:sz w:val="24"/>
                <w:szCs w:val="24"/>
                <w:lang w:val="en-US" w:eastAsia="zh-CN"/>
                <w14:textFill>
                  <w14:solidFill>
                    <w14:schemeClr w14:val="tx1"/>
                  </w14:solidFill>
                </w14:textFill>
              </w:rPr>
              <w:t>丢弃于渠道内</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综上所述，评价认为在采取上述措施后本工程产生的固体废物可以得到妥善管理和处置，不会造成</w:t>
            </w:r>
            <w:r>
              <w:rPr>
                <w:rFonts w:hint="eastAsia" w:ascii="Times New Roman" w:hAnsi="Times New Roman" w:cs="Times New Roman"/>
                <w:color w:val="000000" w:themeColor="text1"/>
                <w:sz w:val="24"/>
                <w:szCs w:val="24"/>
                <w:lang w:val="en-US" w:eastAsia="zh-CN"/>
                <w14:textFill>
                  <w14:solidFill>
                    <w14:schemeClr w14:val="tx1"/>
                  </w14:solidFill>
                </w14:textFill>
              </w:rPr>
              <w:t>水体</w:t>
            </w:r>
            <w:r>
              <w:rPr>
                <w:rFonts w:ascii="Times New Roman" w:hAnsi="Times New Roman" w:cs="Times New Roman"/>
                <w:color w:val="000000" w:themeColor="text1"/>
                <w:sz w:val="24"/>
                <w:szCs w:val="24"/>
                <w14:textFill>
                  <w14:solidFill>
                    <w14:schemeClr w14:val="tx1"/>
                  </w14:solidFill>
                </w14:textFill>
              </w:rPr>
              <w:t>污染</w:t>
            </w:r>
            <w:r>
              <w:rPr>
                <w:rFonts w:hint="eastAsia" w:ascii="Times New Roman" w:hAnsi="Times New Roman" w:cs="Times New Roman"/>
                <w:color w:val="000000" w:themeColor="text1"/>
                <w:sz w:val="24"/>
                <w:szCs w:val="24"/>
                <w14:textFill>
                  <w14:solidFill>
                    <w14:schemeClr w14:val="tx1"/>
                  </w14:solidFill>
                </w14:textFill>
              </w:rPr>
              <w:t>影响</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2" w:firstLineChars="200"/>
              <w:rPr>
                <w:rFonts w:ascii="Times New Roman" w:hAnsi="Times New Roman" w:cs="Times New Roman"/>
                <w:b/>
                <w:color w:val="000000" w:themeColor="text1"/>
                <w:sz w:val="24"/>
                <w:szCs w:val="24"/>
                <w14:textFill>
                  <w14:solidFill>
                    <w14:schemeClr w14:val="tx1"/>
                  </w14:solidFill>
                </w14:textFill>
              </w:rPr>
            </w:pPr>
            <w:r>
              <w:rPr>
                <w:rFonts w:hint="eastAsia" w:ascii="Times New Roman" w:hAnsi="Times New Roman" w:cs="Times New Roman"/>
                <w:b/>
                <w:color w:val="000000" w:themeColor="text1"/>
                <w:sz w:val="24"/>
                <w:szCs w:val="24"/>
                <w14:textFill>
                  <w14:solidFill>
                    <w14:schemeClr w14:val="tx1"/>
                  </w14:solidFill>
                </w14:textFill>
              </w:rPr>
              <w:t>5、</w:t>
            </w:r>
            <w:r>
              <w:rPr>
                <w:rFonts w:hint="eastAsia" w:ascii="Times New Roman" w:hAnsi="Times New Roman" w:cs="Times New Roman"/>
                <w:b/>
                <w:color w:val="000000" w:themeColor="text1"/>
                <w:sz w:val="24"/>
                <w:szCs w:val="24"/>
                <w:lang w:val="en-US" w:eastAsia="zh-CN"/>
                <w14:textFill>
                  <w14:solidFill>
                    <w14:schemeClr w14:val="tx1"/>
                  </w14:solidFill>
                </w14:textFill>
              </w:rPr>
              <w:t>土壤及</w:t>
            </w:r>
            <w:r>
              <w:rPr>
                <w:rFonts w:ascii="Times New Roman" w:hAnsi="Times New Roman" w:cs="Times New Roman"/>
                <w:b/>
                <w:color w:val="000000" w:themeColor="text1"/>
                <w:sz w:val="24"/>
                <w:szCs w:val="24"/>
                <w14:textFill>
                  <w14:solidFill>
                    <w14:schemeClr w14:val="tx1"/>
                  </w14:solidFill>
                </w14:textFill>
              </w:rPr>
              <w:t>地下水环境影响分析</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施工过程中主要产生的生活污水、施工废水均得到妥善处置，不会对周围</w:t>
            </w:r>
            <w:r>
              <w:rPr>
                <w:rFonts w:hint="eastAsia" w:ascii="Times New Roman" w:hAnsi="Times New Roman" w:cs="Times New Roman"/>
                <w:color w:val="000000" w:themeColor="text1"/>
                <w:sz w:val="24"/>
                <w:szCs w:val="24"/>
                <w:lang w:val="en-US" w:eastAsia="zh-CN"/>
                <w14:textFill>
                  <w14:solidFill>
                    <w14:schemeClr w14:val="tx1"/>
                  </w14:solidFill>
                </w14:textFill>
              </w:rPr>
              <w:t>土壤及</w:t>
            </w:r>
            <w:r>
              <w:rPr>
                <w:rFonts w:ascii="Times New Roman" w:hAnsi="Times New Roman" w:cs="Times New Roman"/>
                <w:color w:val="000000" w:themeColor="text1"/>
                <w:sz w:val="24"/>
                <w:szCs w:val="24"/>
                <w14:textFill>
                  <w14:solidFill>
                    <w14:schemeClr w14:val="tx1"/>
                  </w14:solidFill>
                </w14:textFill>
              </w:rPr>
              <w:t>地下水环境造成明显影响。</w:t>
            </w:r>
          </w:p>
          <w:p>
            <w:pPr>
              <w:autoSpaceDE w:val="0"/>
              <w:autoSpaceDN w:val="0"/>
              <w:adjustRightInd w:val="0"/>
              <w:snapToGrid w:val="0"/>
              <w:spacing w:line="360" w:lineRule="auto"/>
              <w:ind w:firstLine="480" w:firstLineChars="200"/>
              <w:rPr>
                <w:rFonts w:ascii="Times New Roman" w:hAnsi="Times New Roman" w:cs="Times New Roman"/>
                <w:bCs/>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在施工过程中原辅料、废料堆放过程降雨淋滤过程中会产生废水通过土壤渗透至地下水系中，可能会对</w:t>
            </w:r>
            <w:r>
              <w:rPr>
                <w:rFonts w:hint="eastAsia" w:ascii="Times New Roman" w:hAnsi="Times New Roman" w:cs="Times New Roman"/>
                <w:color w:val="000000" w:themeColor="text1"/>
                <w:sz w:val="24"/>
                <w:szCs w:val="24"/>
                <w:lang w:val="en-US" w:eastAsia="zh-CN"/>
                <w14:textFill>
                  <w14:solidFill>
                    <w14:schemeClr w14:val="tx1"/>
                  </w14:solidFill>
                </w14:textFill>
              </w:rPr>
              <w:t>土壤及</w:t>
            </w:r>
            <w:r>
              <w:rPr>
                <w:rFonts w:ascii="Times New Roman" w:hAnsi="Times New Roman" w:cs="Times New Roman"/>
                <w:color w:val="000000" w:themeColor="text1"/>
                <w:sz w:val="24"/>
                <w:szCs w:val="24"/>
                <w14:textFill>
                  <w14:solidFill>
                    <w14:schemeClr w14:val="tx1"/>
                  </w14:solidFill>
                </w14:textFill>
              </w:rPr>
              <w:t>地下水造成一定影响。由于土壤对污染物有一定阻滞、吸附和分解等自净能力，原辅料和废料在堆放过程中采用防水雨布进行遮盖，因此施工过程中对</w:t>
            </w:r>
            <w:r>
              <w:rPr>
                <w:rFonts w:hint="eastAsia" w:ascii="Times New Roman" w:hAnsi="Times New Roman" w:cs="Times New Roman"/>
                <w:color w:val="000000" w:themeColor="text1"/>
                <w:sz w:val="24"/>
                <w:szCs w:val="24"/>
                <w:lang w:val="en-US" w:eastAsia="zh-CN"/>
                <w14:textFill>
                  <w14:solidFill>
                    <w14:schemeClr w14:val="tx1"/>
                  </w14:solidFill>
                </w14:textFill>
              </w:rPr>
              <w:t>土壤及</w:t>
            </w:r>
            <w:r>
              <w:rPr>
                <w:rFonts w:ascii="Times New Roman" w:hAnsi="Times New Roman" w:cs="Times New Roman"/>
                <w:color w:val="000000" w:themeColor="text1"/>
                <w:sz w:val="24"/>
                <w:szCs w:val="24"/>
                <w14:textFill>
                  <w14:solidFill>
                    <w14:schemeClr w14:val="tx1"/>
                  </w14:solidFill>
                </w14:textFill>
              </w:rPr>
              <w:t>地下水的影响很小。</w:t>
            </w:r>
          </w:p>
          <w:p>
            <w:pPr>
              <w:autoSpaceDE w:val="0"/>
              <w:autoSpaceDN w:val="0"/>
              <w:adjustRightInd w:val="0"/>
              <w:snapToGrid w:val="0"/>
              <w:spacing w:line="360" w:lineRule="auto"/>
              <w:ind w:firstLine="562" w:firstLineChars="200"/>
              <w:rPr>
                <w:rFonts w:ascii="Times New Roman" w:hAnsi="Times New Roman" w:cs="Times New Roman"/>
                <w:b/>
                <w:bCs/>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8"/>
                <w:szCs w:val="28"/>
                <w14:textFill>
                  <w14:solidFill>
                    <w14:schemeClr w14:val="tx1"/>
                  </w14:solidFill>
                </w14:textFill>
              </w:rPr>
              <w:t>8</w:t>
            </w:r>
            <w:r>
              <w:rPr>
                <w:rFonts w:hint="eastAsia" w:ascii="Times New Roman" w:hAnsi="Times New Roman" w:cs="Times New Roman"/>
                <w:b/>
                <w:bCs/>
                <w:color w:val="000000" w:themeColor="text1"/>
                <w:sz w:val="24"/>
                <w:szCs w:val="24"/>
                <w14:textFill>
                  <w14:solidFill>
                    <w14:schemeClr w14:val="tx1"/>
                  </w14:solidFill>
                </w14:textFill>
              </w:rPr>
              <w:t>、</w:t>
            </w:r>
            <w:r>
              <w:rPr>
                <w:rFonts w:ascii="Times New Roman" w:hAnsi="Times New Roman" w:cs="Times New Roman"/>
                <w:b/>
                <w:bCs/>
                <w:color w:val="000000" w:themeColor="text1"/>
                <w:sz w:val="24"/>
                <w:szCs w:val="24"/>
                <w14:textFill>
                  <w14:solidFill>
                    <w14:schemeClr w14:val="tx1"/>
                  </w14:solidFill>
                </w14:textFill>
              </w:rPr>
              <w:t>社会影响</w:t>
            </w:r>
          </w:p>
          <w:p>
            <w:pPr>
              <w:autoSpaceDE w:val="0"/>
              <w:autoSpaceDN w:val="0"/>
              <w:adjustRightInd w:val="0"/>
              <w:snapToGrid w:val="0"/>
              <w:spacing w:line="360" w:lineRule="auto"/>
              <w:ind w:firstLine="480" w:firstLineChars="200"/>
              <w:rPr>
                <w:rFonts w:ascii="Times New Roman" w:hAnsi="Times New Roman" w:cs="Times New Roman"/>
                <w:bCs/>
                <w:color w:val="000000" w:themeColor="text1"/>
                <w:sz w:val="24"/>
                <w:szCs w:val="24"/>
                <w14:textFill>
                  <w14:solidFill>
                    <w14:schemeClr w14:val="tx1"/>
                  </w14:solidFill>
                </w14:textFill>
              </w:rPr>
            </w:pPr>
            <w:r>
              <w:rPr>
                <w:rFonts w:ascii="Times New Roman" w:hAnsi="Times New Roman" w:cs="Times New Roman"/>
                <w:bCs/>
                <w:color w:val="000000" w:themeColor="text1"/>
                <w:sz w:val="24"/>
                <w:szCs w:val="24"/>
                <w14:textFill>
                  <w14:solidFill>
                    <w14:schemeClr w14:val="tx1"/>
                  </w14:solidFill>
                </w14:textFill>
              </w:rPr>
              <w:t>本项目施工期对社会环境主要影响表现在施工车辆进出频繁，影响周围交通；施工期噪声、扬尘等影响居民的正常生活。但上述影响在采取本环评中提出的措施后，均可以得到有效的控制，可将其影响程度降至最低。</w:t>
            </w:r>
            <w:r>
              <w:rPr>
                <w:rFonts w:hint="eastAsia" w:ascii="Times New Roman" w:hAnsi="Times New Roman" w:cs="Times New Roman"/>
                <w:bCs/>
                <w:color w:val="000000" w:themeColor="text1"/>
                <w:sz w:val="24"/>
                <w:szCs w:val="24"/>
                <w14:textFill>
                  <w14:solidFill>
                    <w14:schemeClr w14:val="tx1"/>
                  </w14:solidFill>
                </w14:textFill>
              </w:rPr>
              <w:t>项目为线性工程，对某段交通影响是短期的，并且随着施工的结束影响也会消失</w:t>
            </w:r>
            <w:r>
              <w:rPr>
                <w:rFonts w:ascii="Times New Roman" w:hAnsi="Times New Roman" w:cs="Times New Roman"/>
                <w:bCs/>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综上所处，本项目施工过程中产生的大气影响、废水影响、噪声影响、生态影响和社会影响随着施工期的结束而结束，在建设单位严格落实各项措施后不会对</w:t>
            </w:r>
            <w:r>
              <w:rPr>
                <w:rFonts w:hint="eastAsia" w:ascii="Times New Roman" w:hAnsi="Times New Roman" w:cs="Times New Roman"/>
                <w:color w:val="000000" w:themeColor="text1"/>
                <w:sz w:val="24"/>
                <w:szCs w:val="24"/>
                <w:lang w:val="en-US" w:eastAsia="zh-CN"/>
                <w14:textFill>
                  <w14:solidFill>
                    <w14:schemeClr w14:val="tx1"/>
                  </w14:solidFill>
                </w14:textFill>
              </w:rPr>
              <w:t>生态</w:t>
            </w:r>
            <w:r>
              <w:rPr>
                <w:rFonts w:ascii="Times New Roman" w:hAnsi="Times New Roman" w:cs="Times New Roman"/>
                <w:color w:val="000000" w:themeColor="text1"/>
                <w:sz w:val="24"/>
                <w:szCs w:val="24"/>
                <w14:textFill>
                  <w14:solidFill>
                    <w14:schemeClr w14:val="tx1"/>
                  </w14:solidFill>
                </w14:textFill>
              </w:rPr>
              <w:t>环境造成</w:t>
            </w:r>
            <w:r>
              <w:rPr>
                <w:rFonts w:hint="eastAsia" w:ascii="Times New Roman" w:hAnsi="Times New Roman" w:cs="Times New Roman"/>
                <w:color w:val="000000" w:themeColor="text1"/>
                <w:sz w:val="24"/>
                <w:szCs w:val="24"/>
                <w:lang w:val="en-US" w:eastAsia="zh-CN"/>
                <w14:textFill>
                  <w14:solidFill>
                    <w14:schemeClr w14:val="tx1"/>
                  </w14:solidFill>
                </w14:textFill>
              </w:rPr>
              <w:t>较大</w:t>
            </w:r>
            <w:r>
              <w:rPr>
                <w:rFonts w:ascii="Times New Roman" w:hAnsi="Times New Roman" w:cs="Times New Roman"/>
                <w:color w:val="000000" w:themeColor="text1"/>
                <w:sz w:val="24"/>
                <w:szCs w:val="24"/>
                <w14:textFill>
                  <w14:solidFill>
                    <w14:schemeClr w14:val="tx1"/>
                  </w14:solidFill>
                </w14:textFill>
              </w:rPr>
              <w:t>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autoSpaceDE w:val="0"/>
              <w:autoSpaceDN w:val="0"/>
              <w:adjustRightInd w:val="0"/>
              <w:snapToGrid w:val="0"/>
              <w:spacing w:line="360" w:lineRule="auto"/>
              <w:jc w:val="center"/>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运营期生态环境影响分析</w:t>
            </w:r>
          </w:p>
        </w:tc>
        <w:tc>
          <w:tcPr>
            <w:tcW w:w="9536" w:type="dxa"/>
            <w:vAlign w:val="center"/>
          </w:tcPr>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 w:val="24"/>
                <w:szCs w:val="24"/>
                <w14:textFill>
                  <w14:solidFill>
                    <w14:schemeClr w14:val="tx1"/>
                  </w14:solidFill>
                </w14:textFill>
              </w:rPr>
              <w:t>本项目运营期不产生废气、废水</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无固定人员值守</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重建后提灌站会有</w:t>
            </w:r>
            <w:r>
              <w:rPr>
                <w:rFonts w:hint="eastAsia" w:ascii="Times New Roman" w:hAnsi="Times New Roman" w:cs="Times New Roman"/>
                <w:color w:val="000000" w:themeColor="text1"/>
                <w:kern w:val="0"/>
                <w:sz w:val="24"/>
                <w:szCs w:val="24"/>
                <w14:textFill>
                  <w14:solidFill>
                    <w14:schemeClr w14:val="tx1"/>
                  </w14:solidFill>
                </w14:textFill>
              </w:rPr>
              <w:t>噪声</w:t>
            </w:r>
            <w:r>
              <w:rPr>
                <w:rFonts w:hint="eastAsia" w:ascii="Times New Roman" w:hAnsi="Times New Roman" w:cs="Times New Roman"/>
                <w:color w:val="000000" w:themeColor="text1"/>
                <w:kern w:val="0"/>
                <w:sz w:val="24"/>
                <w:szCs w:val="24"/>
                <w:lang w:val="en-US" w:eastAsia="zh-CN"/>
                <w14:textFill>
                  <w14:solidFill>
                    <w14:schemeClr w14:val="tx1"/>
                  </w14:solidFill>
                </w14:textFill>
              </w:rPr>
              <w:t>产生</w:t>
            </w:r>
            <w:r>
              <w:rPr>
                <w:rFonts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渠道内累计</w:t>
            </w:r>
            <w:r>
              <w:rPr>
                <w:rFonts w:hint="eastAsia" w:ascii="Times New Roman" w:hAnsi="Times New Roman" w:cs="Times New Roman"/>
                <w:color w:val="000000" w:themeColor="text1"/>
                <w:kern w:val="0"/>
                <w:sz w:val="24"/>
                <w:szCs w:val="24"/>
                <w14:textFill>
                  <w14:solidFill>
                    <w14:schemeClr w14:val="tx1"/>
                  </w14:solidFill>
                </w14:textFill>
              </w:rPr>
              <w:t>的少量生活垃圾由环卫部门处理</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并安排人员定期对渠道沉积物进行清掏</w:t>
            </w:r>
            <w:r>
              <w:rPr>
                <w:rFonts w:hint="eastAsia" w:ascii="Times New Roman" w:hAnsi="Times New Roman" w:cs="Times New Roman"/>
                <w:color w:val="000000" w:themeColor="text1"/>
                <w:kern w:val="0"/>
                <w:sz w:val="24"/>
                <w:szCs w:val="24"/>
                <w14:textFill>
                  <w14:solidFill>
                    <w14:schemeClr w14:val="tx1"/>
                  </w14:solidFill>
                </w14:textFill>
              </w:rPr>
              <w:t>，不会对区域生态环境产生明显影响。</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kern w:val="0"/>
                <w:sz w:val="24"/>
                <w:szCs w:val="24"/>
                <w14:textFill>
                  <w14:solidFill>
                    <w14:schemeClr w14:val="tx1"/>
                  </w14:solidFill>
                </w14:textFill>
              </w:rPr>
            </w:pPr>
            <w:r>
              <w:rPr>
                <w:rFonts w:hint="eastAsia" w:ascii="Times New Roman" w:hAnsi="Times New Roman" w:cs="Times New Roman"/>
                <w:b/>
                <w:bCs/>
                <w:color w:val="000000" w:themeColor="text1"/>
                <w:kern w:val="0"/>
                <w:sz w:val="24"/>
                <w:szCs w:val="24"/>
                <w14:textFill>
                  <w14:solidFill>
                    <w14:schemeClr w14:val="tx1"/>
                  </w14:solidFill>
                </w14:textFill>
              </w:rPr>
              <w:t>一、生态环境正效益分析</w:t>
            </w:r>
          </w:p>
          <w:p>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color w:val="000000" w:themeColor="text1"/>
                <w:kern w:val="0"/>
                <w:sz w:val="24"/>
                <w:szCs w:val="24"/>
                <w:lang w:val="en-US" w:eastAsia="zh-CN"/>
                <w14:textFill>
                  <w14:solidFill>
                    <w14:schemeClr w14:val="tx1"/>
                  </w14:solidFill>
                </w14:textFill>
              </w:rPr>
            </w:pPr>
            <w:r>
              <w:rPr>
                <w:rFonts w:hint="eastAsia" w:ascii="Times New Roman" w:hAnsi="Times New Roman" w:cs="Times New Roman"/>
                <w:b/>
                <w:bCs/>
                <w:color w:val="000000" w:themeColor="text1"/>
                <w:kern w:val="0"/>
                <w:sz w:val="24"/>
                <w:szCs w:val="24"/>
                <w14:textFill>
                  <w14:solidFill>
                    <w14:schemeClr w14:val="tx1"/>
                  </w14:solidFill>
                </w14:textFill>
              </w:rPr>
              <w:t>本项目</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涉及的各个</w:t>
            </w:r>
            <w:r>
              <w:rPr>
                <w:rFonts w:hint="eastAsia" w:ascii="Times New Roman" w:hAnsi="Times New Roman" w:cs="Times New Roman"/>
                <w:b/>
                <w:bCs/>
                <w:color w:val="000000" w:themeColor="text1"/>
                <w:kern w:val="0"/>
                <w:sz w:val="24"/>
                <w:szCs w:val="24"/>
                <w14:textFill>
                  <w14:solidFill>
                    <w14:schemeClr w14:val="tx1"/>
                  </w14:solidFill>
                </w14:textFill>
              </w:rPr>
              <w:t>渠系</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整治完成</w:t>
            </w:r>
            <w:r>
              <w:rPr>
                <w:rFonts w:hint="eastAsia" w:ascii="Times New Roman" w:hAnsi="Times New Roman" w:cs="Times New Roman"/>
                <w:b/>
                <w:bCs/>
                <w:color w:val="000000" w:themeColor="text1"/>
                <w:kern w:val="0"/>
                <w:sz w:val="24"/>
                <w:szCs w:val="24"/>
                <w14:textFill>
                  <w14:solidFill>
                    <w14:schemeClr w14:val="tx1"/>
                  </w14:solidFill>
                </w14:textFill>
              </w:rPr>
              <w:t>后，将</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进一步完善</w:t>
            </w:r>
            <w:r>
              <w:rPr>
                <w:rFonts w:hint="eastAsia" w:ascii="Times New Roman" w:hAnsi="Times New Roman" w:cs="Times New Roman"/>
                <w:b/>
                <w:bCs/>
                <w:color w:val="000000" w:themeColor="text1"/>
                <w:kern w:val="0"/>
                <w:sz w:val="24"/>
                <w:szCs w:val="24"/>
                <w14:textFill>
                  <w14:solidFill>
                    <w14:schemeClr w14:val="tx1"/>
                  </w14:solidFill>
                </w14:textFill>
              </w:rPr>
              <w:t>灌渠水面，</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完善</w:t>
            </w:r>
            <w:r>
              <w:rPr>
                <w:rFonts w:hint="eastAsia" w:ascii="Times New Roman" w:hAnsi="Times New Roman" w:cs="Times New Roman"/>
                <w:b/>
                <w:bCs/>
                <w:color w:val="000000" w:themeColor="text1"/>
                <w:kern w:val="0"/>
                <w:sz w:val="24"/>
                <w:szCs w:val="24"/>
                <w14:textFill>
                  <w14:solidFill>
                    <w14:schemeClr w14:val="tx1"/>
                  </w14:solidFill>
                </w14:textFill>
              </w:rPr>
              <w:t>渠系周边、灌区潮湿环境，这些区域将利于两栖、爬行动物的栖息</w:t>
            </w:r>
            <w:r>
              <w:rPr>
                <w:rFonts w:hint="eastAsia" w:ascii="Times New Roman" w:hAnsi="Times New Roman" w:cs="Times New Roman"/>
                <w:b/>
                <w:bCs/>
                <w:color w:val="000000" w:themeColor="text1"/>
                <w:kern w:val="0"/>
                <w:sz w:val="24"/>
                <w:szCs w:val="24"/>
                <w:lang w:eastAsia="zh-CN"/>
                <w14:textFill>
                  <w14:solidFill>
                    <w14:schemeClr w14:val="tx1"/>
                  </w14:solidFill>
                </w14:textFill>
              </w:rPr>
              <w:t>；</w:t>
            </w:r>
            <w:r>
              <w:rPr>
                <w:rFonts w:hint="eastAsia" w:ascii="Times New Roman" w:hAnsi="Times New Roman" w:cs="Times New Roman"/>
                <w:b/>
                <w:bCs/>
                <w:color w:val="000000" w:themeColor="text1"/>
                <w:kern w:val="0"/>
                <w:sz w:val="24"/>
                <w:szCs w:val="24"/>
                <w14:textFill>
                  <w14:solidFill>
                    <w14:schemeClr w14:val="tx1"/>
                  </w14:solidFill>
                </w14:textFill>
              </w:rPr>
              <w:t>灌区</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供水系统的完善，将</w:t>
            </w:r>
            <w:r>
              <w:rPr>
                <w:rFonts w:hint="eastAsia" w:ascii="Times New Roman" w:hAnsi="Times New Roman" w:cs="Times New Roman"/>
                <w:b/>
                <w:bCs/>
                <w:color w:val="000000" w:themeColor="text1"/>
                <w:kern w:val="0"/>
                <w:sz w:val="24"/>
                <w:szCs w:val="24"/>
                <w14:textFill>
                  <w14:solidFill>
                    <w14:schemeClr w14:val="tx1"/>
                  </w14:solidFill>
                </w14:textFill>
              </w:rPr>
              <w:t>提高区域土地生产力</w:t>
            </w:r>
            <w:r>
              <w:rPr>
                <w:rFonts w:hint="eastAsia" w:ascii="Times New Roman" w:hAnsi="Times New Roman" w:cs="Times New Roman"/>
                <w:b/>
                <w:bCs/>
                <w:color w:val="000000" w:themeColor="text1"/>
                <w:kern w:val="0"/>
                <w:sz w:val="24"/>
                <w:szCs w:val="24"/>
                <w:lang w:eastAsia="zh-CN"/>
                <w14:textFill>
                  <w14:solidFill>
                    <w14:schemeClr w14:val="tx1"/>
                  </w14:solidFill>
                </w14:textFill>
              </w:rPr>
              <w:t>，</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更有利于农作物生长发育，</w:t>
            </w:r>
            <w:r>
              <w:rPr>
                <w:rFonts w:hint="eastAsia" w:ascii="Times New Roman" w:hAnsi="Times New Roman" w:cs="Times New Roman"/>
                <w:b/>
                <w:bCs/>
                <w:color w:val="000000" w:themeColor="text1"/>
                <w:kern w:val="0"/>
                <w:sz w:val="24"/>
                <w:szCs w:val="24"/>
                <w14:textFill>
                  <w14:solidFill>
                    <w14:schemeClr w14:val="tx1"/>
                  </w14:solidFill>
                </w14:textFill>
              </w:rPr>
              <w:t>鸟类在灌区觅食范围也将增加，这些均利于鸟类的数量增加</w:t>
            </w:r>
            <w:r>
              <w:rPr>
                <w:rFonts w:hint="eastAsia" w:ascii="Times New Roman" w:hAnsi="Times New Roman" w:cs="Times New Roman"/>
                <w:b/>
                <w:bCs/>
                <w:color w:val="000000" w:themeColor="text1"/>
                <w:kern w:val="0"/>
                <w:sz w:val="24"/>
                <w:szCs w:val="24"/>
                <w:lang w:eastAsia="zh-CN"/>
                <w14:textFill>
                  <w14:solidFill>
                    <w14:schemeClr w14:val="tx1"/>
                  </w14:solidFill>
                </w14:textFill>
              </w:rPr>
              <w:t>，</w:t>
            </w:r>
            <w:r>
              <w:rPr>
                <w:rFonts w:hint="eastAsia" w:ascii="Times New Roman" w:hAnsi="Times New Roman" w:cs="Times New Roman"/>
                <w:b/>
                <w:bCs/>
                <w:color w:val="000000" w:themeColor="text1"/>
                <w:kern w:val="0"/>
                <w:sz w:val="24"/>
                <w:szCs w:val="24"/>
                <w14:textFill>
                  <w14:solidFill>
                    <w14:schemeClr w14:val="tx1"/>
                  </w14:solidFill>
                </w14:textFill>
              </w:rPr>
              <w:t>啮齿类动物在灌区觅食范围也将增加，这些有利于兽类数量的增加。工程建成后，</w:t>
            </w: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原有因渠道破损、堤岸垮塌造成的耕作土流失情况得到治理，灌面得到改善，对改善水生生态环境、减少水土流失、农作物生物量增加具有积极的生态正效益</w:t>
            </w:r>
            <w:r>
              <w:rPr>
                <w:rFonts w:hint="eastAsia" w:ascii="Times New Roman" w:hAnsi="Times New Roman" w:cs="Times New Roman"/>
                <w:b/>
                <w:bCs/>
                <w:color w:val="000000" w:themeColor="text1"/>
                <w:kern w:val="0"/>
                <w:sz w:val="24"/>
                <w:szCs w:val="24"/>
                <w14:textFill>
                  <w14:solidFill>
                    <w14:schemeClr w14:val="tx1"/>
                  </w14:solidFill>
                </w14:textFill>
              </w:rPr>
              <w:t>。</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kern w:val="0"/>
                <w:sz w:val="24"/>
                <w:szCs w:val="24"/>
                <w14:textFill>
                  <w14:solidFill>
                    <w14:schemeClr w14:val="tx1"/>
                  </w14:solidFill>
                </w14:textFill>
              </w:rPr>
            </w:pPr>
            <w:r>
              <w:rPr>
                <w:rFonts w:hint="eastAsia" w:ascii="Times New Roman" w:hAnsi="Times New Roman" w:cs="Times New Roman"/>
                <w:b/>
                <w:bCs/>
                <w:color w:val="000000" w:themeColor="text1"/>
                <w:kern w:val="0"/>
                <w:sz w:val="24"/>
                <w:szCs w:val="24"/>
                <w14:textFill>
                  <w14:solidFill>
                    <w14:schemeClr w14:val="tx1"/>
                  </w14:solidFill>
                </w14:textFill>
              </w:rPr>
              <w:t>二</w:t>
            </w:r>
            <w:r>
              <w:rPr>
                <w:rFonts w:ascii="Times New Roman" w:hAnsi="Times New Roman" w:cs="Times New Roman"/>
                <w:b/>
                <w:bCs/>
                <w:color w:val="000000" w:themeColor="text1"/>
                <w:kern w:val="0"/>
                <w:sz w:val="24"/>
                <w:szCs w:val="24"/>
                <w14:textFill>
                  <w14:solidFill>
                    <w14:schemeClr w14:val="tx1"/>
                  </w14:solidFill>
                </w14:textFill>
              </w:rPr>
              <w:t>、地表水环境影响</w:t>
            </w:r>
          </w:p>
          <w:p>
            <w:pPr>
              <w:autoSpaceDE w:val="0"/>
              <w:autoSpaceDN w:val="0"/>
              <w:adjustRightInd w:val="0"/>
              <w:snapToGrid w:val="0"/>
              <w:spacing w:line="360" w:lineRule="auto"/>
              <w:ind w:firstLine="480" w:firstLineChars="200"/>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在运营期，本项目本身不涉及污水排放。</w:t>
            </w:r>
          </w:p>
          <w:p>
            <w:pPr>
              <w:autoSpaceDE w:val="0"/>
              <w:autoSpaceDN w:val="0"/>
              <w:adjustRightInd w:val="0"/>
              <w:snapToGrid w:val="0"/>
              <w:spacing w:line="360" w:lineRule="auto"/>
              <w:ind w:firstLine="480" w:firstLineChars="200"/>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通过现场踏勘和走访，宣汉县各乡镇每次农田灌溉均计划灌溉亩数、时间、亩均用水量、每方田接水和结束时间，避免了农灌退水的资源浪费；同时，可能出现的田间退水通过末级渠系进入田间修建的山坪塘存放利用，有效避免了因农田过量施肥带来的退水污染问题。</w:t>
            </w:r>
          </w:p>
          <w:p>
            <w:pPr>
              <w:autoSpaceDE w:val="0"/>
              <w:autoSpaceDN w:val="0"/>
              <w:adjustRightInd w:val="0"/>
              <w:snapToGrid w:val="0"/>
              <w:spacing w:line="360" w:lineRule="auto"/>
              <w:jc w:val="center"/>
            </w:pPr>
            <w:r>
              <w:drawing>
                <wp:inline distT="0" distB="0" distL="114300" distR="114300">
                  <wp:extent cx="2578100" cy="2186940"/>
                  <wp:effectExtent l="0" t="0" r="12700" b="381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01"/>
                          <a:stretch>
                            <a:fillRect/>
                          </a:stretch>
                        </pic:blipFill>
                        <pic:spPr>
                          <a:xfrm>
                            <a:off x="0" y="0"/>
                            <a:ext cx="2578100" cy="21869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86355" cy="2179320"/>
                  <wp:effectExtent l="0" t="0" r="4445" b="1143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02"/>
                          <a:stretch>
                            <a:fillRect/>
                          </a:stretch>
                        </pic:blipFill>
                        <pic:spPr>
                          <a:xfrm>
                            <a:off x="0" y="0"/>
                            <a:ext cx="2586355" cy="2179320"/>
                          </a:xfrm>
                          <a:prstGeom prst="rect">
                            <a:avLst/>
                          </a:prstGeom>
                          <a:noFill/>
                          <a:ln>
                            <a:noFill/>
                          </a:ln>
                        </pic:spPr>
                      </pic:pic>
                    </a:graphicData>
                  </a:graphic>
                </wp:inline>
              </w:drawing>
            </w:r>
          </w:p>
          <w:p>
            <w:pPr>
              <w:autoSpaceDE w:val="0"/>
              <w:autoSpaceDN w:val="0"/>
              <w:adjustRightInd w:val="0"/>
              <w:snapToGrid w:val="0"/>
              <w:spacing w:line="360" w:lineRule="auto"/>
              <w:jc w:val="center"/>
              <w:rPr>
                <w:rFonts w:hint="eastAsia" w:ascii="Times New Roman" w:hAnsi="Times New Roman" w:cs="Times New Roman"/>
                <w:bCs/>
                <w:color w:val="000000" w:themeColor="text1"/>
                <w:sz w:val="24"/>
                <w:szCs w:val="24"/>
                <w:lang w:val="en-US" w:eastAsia="zh-CN"/>
                <w14:textFill>
                  <w14:solidFill>
                    <w14:schemeClr w14:val="tx1"/>
                  </w14:solidFill>
                </w14:textFill>
              </w:rPr>
            </w:pPr>
            <w:r>
              <w:drawing>
                <wp:inline distT="0" distB="0" distL="114300" distR="114300">
                  <wp:extent cx="2570480" cy="2292350"/>
                  <wp:effectExtent l="0" t="0" r="1270" b="1270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03"/>
                          <a:stretch>
                            <a:fillRect/>
                          </a:stretch>
                        </pic:blipFill>
                        <pic:spPr>
                          <a:xfrm>
                            <a:off x="0" y="0"/>
                            <a:ext cx="2570480" cy="22923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86990" cy="2279015"/>
                  <wp:effectExtent l="0" t="0" r="3810" b="6985"/>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104"/>
                          <a:stretch>
                            <a:fillRect/>
                          </a:stretch>
                        </pic:blipFill>
                        <pic:spPr>
                          <a:xfrm>
                            <a:off x="0" y="0"/>
                            <a:ext cx="2586990" cy="2279015"/>
                          </a:xfrm>
                          <a:prstGeom prst="rect">
                            <a:avLst/>
                          </a:prstGeom>
                          <a:noFill/>
                          <a:ln>
                            <a:noFill/>
                          </a:ln>
                        </pic:spPr>
                      </pic:pic>
                    </a:graphicData>
                  </a:graphic>
                </wp:inline>
              </w:drawing>
            </w:r>
          </w:p>
          <w:p>
            <w:pPr>
              <w:autoSpaceDE w:val="0"/>
              <w:autoSpaceDN w:val="0"/>
              <w:adjustRightInd w:val="0"/>
              <w:snapToGrid w:val="0"/>
              <w:spacing w:line="360" w:lineRule="auto"/>
              <w:jc w:val="center"/>
              <w:rPr>
                <w:rFonts w:hint="default" w:ascii="Times New Roman" w:hAnsi="Times New Roman" w:cs="Times New Roman"/>
                <w:b/>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lang w:val="en-US" w:eastAsia="zh-CN"/>
                <w14:textFill>
                  <w14:solidFill>
                    <w14:schemeClr w14:val="tx1"/>
                  </w14:solidFill>
                </w14:textFill>
              </w:rPr>
              <w:t>图4-1  渠道退水、未利用水进入山坪塘存放利用（不汇入河流）</w:t>
            </w:r>
          </w:p>
          <w:p>
            <w:pPr>
              <w:autoSpaceDE w:val="0"/>
              <w:autoSpaceDN w:val="0"/>
              <w:adjustRightInd w:val="0"/>
              <w:snapToGrid w:val="0"/>
              <w:spacing w:line="360" w:lineRule="auto"/>
              <w:ind w:firstLine="480" w:firstLineChars="200"/>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本次渠道、管道整治工程仅对输水水工构筑物进行整治，过水量不会明显增加，退水水质不因本项目的实施发生明显变化，</w:t>
            </w:r>
            <w:r>
              <w:rPr>
                <w:rFonts w:hint="eastAsia" w:ascii="Times New Roman" w:hAnsi="Times New Roman" w:cs="Times New Roman"/>
                <w:bCs/>
                <w:color w:val="000000" w:themeColor="text1"/>
                <w:sz w:val="24"/>
                <w:szCs w:val="24"/>
                <w:u w:val="single"/>
                <w:lang w:val="en-US" w:eastAsia="zh-CN"/>
                <w14:textFill>
                  <w14:solidFill>
                    <w14:schemeClr w14:val="tx1"/>
                  </w14:solidFill>
                </w14:textFill>
              </w:rPr>
              <w:t>本次整治后对区域地表水环境的影响不会增加。</w:t>
            </w:r>
          </w:p>
          <w:p>
            <w:pPr>
              <w:autoSpaceDE w:val="0"/>
              <w:autoSpaceDN w:val="0"/>
              <w:adjustRightInd w:val="0"/>
              <w:snapToGrid w:val="0"/>
              <w:spacing w:line="360" w:lineRule="auto"/>
              <w:ind w:firstLine="480" w:firstLineChars="200"/>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default" w:ascii="Times New Roman" w:hAnsi="Times New Roman" w:cs="Times New Roman"/>
                <w:bCs/>
                <w:color w:val="000000" w:themeColor="text1"/>
                <w:sz w:val="24"/>
                <w:szCs w:val="24"/>
                <w:lang w:val="en-US" w:eastAsia="zh-CN"/>
                <w14:textFill>
                  <w14:solidFill>
                    <w14:schemeClr w14:val="tx1"/>
                  </w14:solidFill>
                </w14:textFill>
              </w:rPr>
              <w:t>本工程</w:t>
            </w:r>
            <w:r>
              <w:rPr>
                <w:rFonts w:hint="eastAsia" w:ascii="Times New Roman" w:hAnsi="Times New Roman" w:cs="Times New Roman"/>
                <w:bCs/>
                <w:color w:val="000000" w:themeColor="text1"/>
                <w:sz w:val="24"/>
                <w:szCs w:val="24"/>
                <w:lang w:val="en-US" w:eastAsia="zh-CN"/>
                <w14:textFill>
                  <w14:solidFill>
                    <w14:schemeClr w14:val="tx1"/>
                  </w14:solidFill>
                </w14:textFill>
              </w:rPr>
              <w:t>属于川东北经济区-达州-宣汉的丘陵、低山</w:t>
            </w:r>
            <w:r>
              <w:rPr>
                <w:rFonts w:hint="default" w:ascii="Times New Roman" w:hAnsi="Times New Roman" w:cs="Times New Roman"/>
                <w:bCs/>
                <w:color w:val="000000" w:themeColor="text1"/>
                <w:sz w:val="24"/>
                <w:szCs w:val="24"/>
                <w:lang w:val="en-US" w:eastAsia="zh-CN"/>
                <w14:textFill>
                  <w14:solidFill>
                    <w14:schemeClr w14:val="tx1"/>
                  </w14:solidFill>
                </w14:textFill>
              </w:rPr>
              <w:t>经济区，</w:t>
            </w:r>
            <w:r>
              <w:rPr>
                <w:rFonts w:hint="eastAsia" w:ascii="Times New Roman" w:hAnsi="Times New Roman" w:cs="Times New Roman"/>
                <w:bCs/>
                <w:color w:val="000000" w:themeColor="text1"/>
                <w:sz w:val="24"/>
                <w:szCs w:val="24"/>
                <w:lang w:val="en-US" w:eastAsia="zh-CN"/>
                <w14:textFill>
                  <w14:solidFill>
                    <w14:schemeClr w14:val="tx1"/>
                  </w14:solidFill>
                </w14:textFill>
              </w:rPr>
              <w:t>查阅相关资料，对于高标准农田，</w:t>
            </w:r>
            <w:r>
              <w:rPr>
                <w:rFonts w:hint="default" w:ascii="Times New Roman" w:hAnsi="Times New Roman" w:cs="Times New Roman"/>
                <w:bCs/>
                <w:color w:val="000000" w:themeColor="text1"/>
                <w:sz w:val="24"/>
                <w:szCs w:val="24"/>
                <w:lang w:val="en-US" w:eastAsia="zh-CN"/>
                <w14:textFill>
                  <w14:solidFill>
                    <w14:schemeClr w14:val="tx1"/>
                  </w14:solidFill>
                </w14:textFill>
              </w:rPr>
              <w:t>污染物排放管控要求主要是</w:t>
            </w:r>
            <w:r>
              <w:rPr>
                <w:rFonts w:hint="default" w:ascii="Times New Roman" w:hAnsi="Times New Roman" w:cs="Times New Roman"/>
                <w:bCs/>
                <w:color w:val="000000" w:themeColor="text1"/>
                <w:sz w:val="24"/>
                <w:szCs w:val="24"/>
                <w:u w:val="single"/>
                <w:lang w:val="en-US" w:eastAsia="zh-CN"/>
                <w14:textFill>
                  <w14:solidFill>
                    <w14:schemeClr w14:val="tx1"/>
                  </w14:solidFill>
                </w14:textFill>
              </w:rPr>
              <w:t>化肥、农药利用率达43%，测土配方施肥技术推广覆盖率保持在90%以上</w:t>
            </w:r>
            <w:r>
              <w:rPr>
                <w:rFonts w:hint="default" w:ascii="Times New Roman" w:hAnsi="Times New Roman" w:cs="Times New Roman"/>
                <w:bCs/>
                <w:color w:val="000000" w:themeColor="text1"/>
                <w:sz w:val="24"/>
                <w:szCs w:val="24"/>
                <w:lang w:val="en-US" w:eastAsia="zh-CN"/>
                <w14:textFill>
                  <w14:solidFill>
                    <w14:schemeClr w14:val="tx1"/>
                  </w14:solidFill>
                </w14:textFill>
              </w:rPr>
              <w:t>，控制农村面源污染，采取灌排分离等措施控制农田氮</w:t>
            </w:r>
            <w:r>
              <w:rPr>
                <w:rFonts w:hint="eastAsia" w:ascii="Times New Roman" w:hAnsi="Times New Roman" w:cs="Times New Roman"/>
                <w:bCs/>
                <w:color w:val="000000" w:themeColor="text1"/>
                <w:sz w:val="24"/>
                <w:szCs w:val="24"/>
                <w:lang w:val="en-US"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磷流失，因此，</w:t>
            </w:r>
            <w:r>
              <w:rPr>
                <w:rFonts w:hint="eastAsia" w:ascii="Times New Roman" w:hAnsi="Times New Roman" w:cs="Times New Roman"/>
                <w:bCs/>
                <w:color w:val="000000" w:themeColor="text1"/>
                <w:sz w:val="24"/>
                <w:szCs w:val="24"/>
                <w:lang w:val="en-US" w:eastAsia="zh-CN"/>
                <w14:textFill>
                  <w14:solidFill>
                    <w14:schemeClr w14:val="tx1"/>
                  </w14:solidFill>
                </w14:textFill>
              </w:rPr>
              <w:t>随着相关施肥技术的发展和大力宣传，</w:t>
            </w:r>
            <w:r>
              <w:rPr>
                <w:rFonts w:hint="default" w:ascii="Times New Roman" w:hAnsi="Times New Roman" w:cs="Times New Roman"/>
                <w:bCs/>
                <w:color w:val="000000" w:themeColor="text1"/>
                <w:sz w:val="24"/>
                <w:szCs w:val="24"/>
                <w:lang w:val="en-US" w:eastAsia="zh-CN"/>
                <w14:textFill>
                  <w14:solidFill>
                    <w14:schemeClr w14:val="tx1"/>
                  </w14:solidFill>
                </w14:textFill>
              </w:rPr>
              <w:t>农业的面源污染将逐步减小。同时，</w:t>
            </w:r>
            <w:r>
              <w:rPr>
                <w:rFonts w:hint="eastAsia" w:ascii="Times New Roman" w:hAnsi="Times New Roman" w:cs="Times New Roman"/>
                <w:bCs/>
                <w:color w:val="000000" w:themeColor="text1"/>
                <w:sz w:val="24"/>
                <w:szCs w:val="24"/>
                <w:lang w:val="en-US" w:eastAsia="zh-CN"/>
                <w14:textFill>
                  <w14:solidFill>
                    <w14:schemeClr w14:val="tx1"/>
                  </w14:solidFill>
                </w14:textFill>
              </w:rPr>
              <w:t>各个</w:t>
            </w:r>
            <w:r>
              <w:rPr>
                <w:rFonts w:hint="default" w:ascii="Times New Roman" w:hAnsi="Times New Roman" w:cs="Times New Roman"/>
                <w:bCs/>
                <w:color w:val="000000" w:themeColor="text1"/>
                <w:sz w:val="24"/>
                <w:szCs w:val="24"/>
                <w:lang w:val="en-US" w:eastAsia="zh-CN"/>
                <w14:textFill>
                  <w14:solidFill>
                    <w14:schemeClr w14:val="tx1"/>
                  </w14:solidFill>
                </w14:textFill>
              </w:rPr>
              <w:t>灌区</w:t>
            </w:r>
            <w:r>
              <w:rPr>
                <w:rFonts w:hint="eastAsia" w:ascii="Times New Roman" w:hAnsi="Times New Roman" w:cs="Times New Roman"/>
                <w:bCs/>
                <w:color w:val="000000" w:themeColor="text1"/>
                <w:sz w:val="24"/>
                <w:szCs w:val="24"/>
                <w:lang w:val="en-US" w:eastAsia="zh-CN"/>
                <w14:textFill>
                  <w14:solidFill>
                    <w14:schemeClr w14:val="tx1"/>
                  </w14:solidFill>
                </w14:textFill>
              </w:rPr>
              <w:t>应进一步宣传</w:t>
            </w:r>
            <w:r>
              <w:rPr>
                <w:rFonts w:hint="default" w:ascii="Times New Roman" w:hAnsi="Times New Roman" w:cs="Times New Roman"/>
                <w:bCs/>
                <w:color w:val="000000" w:themeColor="text1"/>
                <w:sz w:val="24"/>
                <w:szCs w:val="24"/>
                <w:lang w:val="en-US" w:eastAsia="zh-CN"/>
                <w14:textFill>
                  <w14:solidFill>
                    <w14:schemeClr w14:val="tx1"/>
                  </w14:solidFill>
                </w14:textFill>
              </w:rPr>
              <w:t>使用环保农药及化肥，</w:t>
            </w:r>
            <w:r>
              <w:rPr>
                <w:rFonts w:hint="eastAsia" w:ascii="Times New Roman" w:hAnsi="Times New Roman" w:cs="Times New Roman"/>
                <w:bCs/>
                <w:color w:val="000000" w:themeColor="text1"/>
                <w:sz w:val="24"/>
                <w:szCs w:val="24"/>
                <w:lang w:val="en-US" w:eastAsia="zh-CN"/>
                <w14:textFill>
                  <w14:solidFill>
                    <w14:schemeClr w14:val="tx1"/>
                  </w14:solidFill>
                </w14:textFill>
              </w:rPr>
              <w:t>合理调度</w:t>
            </w:r>
            <w:r>
              <w:rPr>
                <w:rFonts w:hint="default" w:ascii="Times New Roman" w:hAnsi="Times New Roman" w:cs="Times New Roman"/>
                <w:bCs/>
                <w:color w:val="000000" w:themeColor="text1"/>
                <w:sz w:val="24"/>
                <w:szCs w:val="24"/>
                <w:lang w:val="en-US" w:eastAsia="zh-CN"/>
                <w14:textFill>
                  <w14:solidFill>
                    <w14:schemeClr w14:val="tx1"/>
                  </w14:solidFill>
                </w14:textFill>
              </w:rPr>
              <w:t>节约水资源，农业的面源污染</w:t>
            </w:r>
            <w:r>
              <w:rPr>
                <w:rFonts w:hint="eastAsia" w:ascii="Times New Roman" w:hAnsi="Times New Roman" w:cs="Times New Roman"/>
                <w:bCs/>
                <w:color w:val="000000" w:themeColor="text1"/>
                <w:sz w:val="24"/>
                <w:szCs w:val="24"/>
                <w:lang w:val="en-US" w:eastAsia="zh-CN"/>
                <w14:textFill>
                  <w14:solidFill>
                    <w14:schemeClr w14:val="tx1"/>
                  </w14:solidFill>
                </w14:textFill>
              </w:rPr>
              <w:t>也</w:t>
            </w:r>
            <w:r>
              <w:rPr>
                <w:rFonts w:hint="default" w:ascii="Times New Roman" w:hAnsi="Times New Roman" w:cs="Times New Roman"/>
                <w:bCs/>
                <w:color w:val="000000" w:themeColor="text1"/>
                <w:sz w:val="24"/>
                <w:szCs w:val="24"/>
                <w:lang w:val="en-US" w:eastAsia="zh-CN"/>
                <w14:textFill>
                  <w14:solidFill>
                    <w14:schemeClr w14:val="tx1"/>
                  </w14:solidFill>
                </w14:textFill>
              </w:rPr>
              <w:t>将逐步减小。本项目实施后，灌溉水利用系数提高，农业的面源污染逐步减小，灌溉退水年化学需氧量、氨氮</w:t>
            </w:r>
            <w:r>
              <w:rPr>
                <w:rFonts w:hint="eastAsia" w:ascii="Times New Roman" w:hAnsi="Times New Roman" w:cs="Times New Roman"/>
                <w:bCs/>
                <w:color w:val="000000" w:themeColor="text1"/>
                <w:sz w:val="24"/>
                <w:szCs w:val="24"/>
                <w:lang w:val="en-US" w:eastAsia="zh-CN"/>
                <w14:textFill>
                  <w14:solidFill>
                    <w14:schemeClr w14:val="tx1"/>
                  </w14:solidFill>
                </w14:textFill>
              </w:rPr>
              <w:t>、总磷等</w:t>
            </w:r>
            <w:r>
              <w:rPr>
                <w:rFonts w:hint="default" w:ascii="Times New Roman" w:hAnsi="Times New Roman" w:cs="Times New Roman"/>
                <w:bCs/>
                <w:color w:val="000000" w:themeColor="text1"/>
                <w:sz w:val="24"/>
                <w:szCs w:val="24"/>
                <w:lang w:val="en-US" w:eastAsia="zh-CN"/>
                <w14:textFill>
                  <w14:solidFill>
                    <w14:schemeClr w14:val="tx1"/>
                  </w14:solidFill>
                </w14:textFill>
              </w:rPr>
              <w:t>排放量</w:t>
            </w:r>
            <w:r>
              <w:rPr>
                <w:rFonts w:hint="eastAsia" w:ascii="Times New Roman" w:hAnsi="Times New Roman" w:cs="Times New Roman"/>
                <w:bCs/>
                <w:color w:val="000000" w:themeColor="text1"/>
                <w:sz w:val="24"/>
                <w:szCs w:val="24"/>
                <w:lang w:val="en-US" w:eastAsia="zh-CN"/>
                <w14:textFill>
                  <w14:solidFill>
                    <w14:schemeClr w14:val="tx1"/>
                  </w14:solidFill>
                </w14:textFill>
              </w:rPr>
              <w:t>将逐年</w:t>
            </w:r>
            <w:r>
              <w:rPr>
                <w:rFonts w:hint="default" w:ascii="Times New Roman" w:hAnsi="Times New Roman" w:cs="Times New Roman"/>
                <w:bCs/>
                <w:color w:val="000000" w:themeColor="text1"/>
                <w:sz w:val="24"/>
                <w:szCs w:val="24"/>
                <w:lang w:val="en-US" w:eastAsia="zh-CN"/>
                <w14:textFill>
                  <w14:solidFill>
                    <w14:schemeClr w14:val="tx1"/>
                  </w14:solidFill>
                </w14:textFill>
              </w:rPr>
              <w:t>减少，对所在区域的水质改善具有</w:t>
            </w:r>
            <w:r>
              <w:rPr>
                <w:rFonts w:hint="eastAsia" w:ascii="Times New Roman" w:hAnsi="Times New Roman" w:cs="Times New Roman"/>
                <w:bCs/>
                <w:color w:val="000000" w:themeColor="text1"/>
                <w:sz w:val="24"/>
                <w:szCs w:val="24"/>
                <w:lang w:val="en-US" w:eastAsia="zh-CN"/>
                <w14:textFill>
                  <w14:solidFill>
                    <w14:schemeClr w14:val="tx1"/>
                  </w14:solidFill>
                </w14:textFill>
              </w:rPr>
              <w:t>正效益。</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kern w:val="0"/>
                <w:sz w:val="24"/>
                <w:szCs w:val="24"/>
                <w14:textFill>
                  <w14:solidFill>
                    <w14:schemeClr w14:val="tx1"/>
                  </w14:solidFill>
                </w14:textFill>
              </w:rPr>
            </w:pPr>
            <w:r>
              <w:rPr>
                <w:rFonts w:hint="eastAsia" w:ascii="Times New Roman" w:hAnsi="Times New Roman" w:cs="Times New Roman"/>
                <w:b/>
                <w:bCs/>
                <w:color w:val="000000" w:themeColor="text1"/>
                <w:kern w:val="0"/>
                <w:sz w:val="24"/>
                <w:szCs w:val="24"/>
                <w14:textFill>
                  <w14:solidFill>
                    <w14:schemeClr w14:val="tx1"/>
                  </w14:solidFill>
                </w14:textFill>
              </w:rPr>
              <w:t>三</w:t>
            </w:r>
            <w:r>
              <w:rPr>
                <w:rFonts w:ascii="Times New Roman" w:hAnsi="Times New Roman" w:cs="Times New Roman"/>
                <w:b/>
                <w:bCs/>
                <w:color w:val="000000" w:themeColor="text1"/>
                <w:kern w:val="0"/>
                <w:sz w:val="24"/>
                <w:szCs w:val="24"/>
                <w14:textFill>
                  <w14:solidFill>
                    <w14:schemeClr w14:val="tx1"/>
                  </w14:solidFill>
                </w14:textFill>
              </w:rPr>
              <w:t>、声环境影响分析</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kern w:val="0"/>
                <w:sz w:val="24"/>
                <w:szCs w:val="24"/>
                <w:lang w:val="en-US" w:eastAsia="zh-CN"/>
                <w14:textFill>
                  <w14:solidFill>
                    <w14:schemeClr w14:val="tx1"/>
                  </w14:solidFill>
                </w14:textFill>
              </w:rPr>
              <w:t>本项目运营期提灌站、各类小型闸门启闭时间较短</w:t>
            </w:r>
            <w:r>
              <w:rPr>
                <w:rFonts w:hint="eastAsia" w:ascii="Times New Roman" w:hAnsi="Times New Roman" w:cs="Times New Roman"/>
                <w:color w:val="000000" w:themeColor="text1"/>
                <w:kern w:val="0"/>
                <w:sz w:val="24"/>
                <w:szCs w:val="24"/>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属于偶发噪声，</w:t>
            </w:r>
            <w:r>
              <w:rPr>
                <w:rFonts w:hint="eastAsia" w:ascii="Times New Roman" w:hAnsi="Times New Roman" w:cs="Times New Roman"/>
                <w:color w:val="000000" w:themeColor="text1"/>
                <w:kern w:val="0"/>
                <w:sz w:val="24"/>
                <w:szCs w:val="24"/>
                <w14:textFill>
                  <w14:solidFill>
                    <w14:schemeClr w14:val="tx1"/>
                  </w14:solidFill>
                </w14:textFill>
              </w:rPr>
              <w:t>不会对外环境产生明显影响</w:t>
            </w:r>
            <w:r>
              <w:rPr>
                <w:rFonts w:ascii="Times New Roman" w:hAnsi="Times New Roman" w:cs="Times New Roman"/>
                <w:color w:val="000000" w:themeColor="text1"/>
                <w:kern w:val="0"/>
                <w:sz w:val="24"/>
                <w:szCs w:val="24"/>
                <w14:textFill>
                  <w14:solidFill>
                    <w14:schemeClr w14:val="tx1"/>
                  </w14:solidFill>
                </w14:textFill>
              </w:rPr>
              <w:t>。</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kern w:val="0"/>
                <w:sz w:val="24"/>
                <w:szCs w:val="24"/>
                <w14:textFill>
                  <w14:solidFill>
                    <w14:schemeClr w14:val="tx1"/>
                  </w14:solidFill>
                </w14:textFill>
              </w:rPr>
            </w:pPr>
            <w:r>
              <w:rPr>
                <w:rFonts w:hint="eastAsia" w:ascii="Times New Roman" w:hAnsi="Times New Roman" w:cs="Times New Roman"/>
                <w:b/>
                <w:bCs/>
                <w:color w:val="000000" w:themeColor="text1"/>
                <w:kern w:val="0"/>
                <w:sz w:val="24"/>
                <w:szCs w:val="24"/>
                <w14:textFill>
                  <w14:solidFill>
                    <w14:schemeClr w14:val="tx1"/>
                  </w14:solidFill>
                </w14:textFill>
              </w:rPr>
              <w:t>四</w:t>
            </w:r>
            <w:r>
              <w:rPr>
                <w:rFonts w:ascii="Times New Roman" w:hAnsi="Times New Roman" w:cs="Times New Roman"/>
                <w:b/>
                <w:bCs/>
                <w:color w:val="000000" w:themeColor="text1"/>
                <w:kern w:val="0"/>
                <w:sz w:val="24"/>
                <w:szCs w:val="24"/>
                <w14:textFill>
                  <w14:solidFill>
                    <w14:schemeClr w14:val="tx1"/>
                  </w14:solidFill>
                </w14:textFill>
              </w:rPr>
              <w:t>、固体废物</w:t>
            </w:r>
          </w:p>
          <w:p>
            <w:pPr>
              <w:autoSpaceDE w:val="0"/>
              <w:autoSpaceDN w:val="0"/>
              <w:adjustRightInd w:val="0"/>
              <w:snapToGrid w:val="0"/>
              <w:spacing w:line="360" w:lineRule="auto"/>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 w:val="24"/>
                <w:szCs w:val="24"/>
                <w14:textFill>
                  <w14:solidFill>
                    <w14:schemeClr w14:val="tx1"/>
                  </w14:solidFill>
                </w14:textFill>
              </w:rPr>
              <w:t xml:space="preserve">    本项目</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渠道、管道在运营中</w:t>
            </w:r>
            <w:r>
              <w:rPr>
                <w:rFonts w:ascii="Times New Roman" w:hAnsi="Times New Roman" w:cs="Times New Roman"/>
                <w:color w:val="000000" w:themeColor="text1"/>
                <w:kern w:val="0"/>
                <w:sz w:val="24"/>
                <w:szCs w:val="24"/>
                <w14:textFill>
                  <w14:solidFill>
                    <w14:schemeClr w14:val="tx1"/>
                  </w14:solidFill>
                </w14:textFill>
              </w:rPr>
              <w:t>截留一些随着水流带来的枯枝败叶</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生活垃圾及慢慢形成的底泥</w:t>
            </w:r>
            <w:r>
              <w:rPr>
                <w:rFonts w:ascii="Times New Roman" w:hAnsi="Times New Roman" w:cs="Times New Roman"/>
                <w:color w:val="000000" w:themeColor="text1"/>
                <w:kern w:val="0"/>
                <w:sz w:val="24"/>
                <w:szCs w:val="24"/>
                <w14:textFill>
                  <w14:solidFill>
                    <w14:schemeClr w14:val="tx1"/>
                  </w14:solidFill>
                </w14:textFill>
              </w:rPr>
              <w:t>，属于一般固废，定期由当地环卫部门清掏处置，去向明确，不会产生二次污染</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14:textFill>
                  <w14:solidFill>
                    <w14:schemeClr w14:val="tx1"/>
                  </w14:solidFill>
                </w14:textFill>
              </w:rPr>
              <w:t>不会对区域生态环境产生明显影响。</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kern w:val="0"/>
                <w:sz w:val="24"/>
                <w:szCs w:val="24"/>
                <w14:textFill>
                  <w14:solidFill>
                    <w14:schemeClr w14:val="tx1"/>
                  </w14:solidFill>
                </w14:textFill>
              </w:rPr>
            </w:pPr>
            <w:r>
              <w:rPr>
                <w:rFonts w:hint="eastAsia" w:ascii="Times New Roman" w:hAnsi="Times New Roman" w:cs="Times New Roman"/>
                <w:b/>
                <w:bCs/>
                <w:color w:val="000000" w:themeColor="text1"/>
                <w:kern w:val="0"/>
                <w:sz w:val="24"/>
                <w:szCs w:val="24"/>
                <w14:textFill>
                  <w14:solidFill>
                    <w14:schemeClr w14:val="tx1"/>
                  </w14:solidFill>
                </w14:textFill>
              </w:rPr>
              <w:t>五</w:t>
            </w:r>
            <w:r>
              <w:rPr>
                <w:rFonts w:ascii="Times New Roman" w:hAnsi="Times New Roman" w:cs="Times New Roman"/>
                <w:b/>
                <w:bCs/>
                <w:color w:val="000000" w:themeColor="text1"/>
                <w:kern w:val="0"/>
                <w:sz w:val="24"/>
                <w:szCs w:val="24"/>
                <w14:textFill>
                  <w14:solidFill>
                    <w14:schemeClr w14:val="tx1"/>
                  </w14:solidFill>
                </w14:textFill>
              </w:rPr>
              <w:t>、地下水环境影响分析</w:t>
            </w:r>
          </w:p>
          <w:p>
            <w:pPr>
              <w:pStyle w:val="55"/>
              <w:ind w:firstLine="48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本次工程主要为宣汉县14个小型灌区渠道整治，在整治工程范围内，地下水水位不因工程实施发生变化。</w:t>
            </w:r>
          </w:p>
          <w:p>
            <w:pPr>
              <w:pStyle w:val="55"/>
              <w:ind w:firstLine="480"/>
              <w:rPr>
                <w:rFonts w:hint="eastAsia"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对于地下水水位，每年集中农灌期间，</w:t>
            </w:r>
            <w:r>
              <w:rPr>
                <w:rFonts w:hint="eastAsia" w:ascii="Times New Roman" w:hAnsi="Times New Roman" w:cs="Times New Roman"/>
                <w:color w:val="000000" w:themeColor="text1"/>
                <w14:textFill>
                  <w14:solidFill>
                    <w14:schemeClr w14:val="tx1"/>
                  </w14:solidFill>
                </w14:textFill>
              </w:rPr>
              <w:t>灌区内地下水位将一定程度地受灌溉影响。灌溉后地下水位上升，停灌后下降</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灌水量多，则上升幅度高</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灌水量少，则上升幅度低。而灌区内排水对灌溉起到反调节作用，如排水及时，灌溉时间短，地下水位的上升幅度较小。</w:t>
            </w:r>
            <w:r>
              <w:rPr>
                <w:rFonts w:hint="eastAsia" w:ascii="Times New Roman" w:hAnsi="Times New Roman" w:cs="Times New Roman"/>
                <w:color w:val="000000" w:themeColor="text1"/>
                <w:lang w:val="en-US" w:eastAsia="zh-CN"/>
                <w14:textFill>
                  <w14:solidFill>
                    <w14:schemeClr w14:val="tx1"/>
                  </w14:solidFill>
                </w14:textFill>
              </w:rPr>
              <w:t>通过渠道硬化阻止下渗，渠道</w:t>
            </w:r>
            <w:r>
              <w:rPr>
                <w:rFonts w:hint="eastAsia" w:ascii="Times New Roman" w:hAnsi="Times New Roman" w:cs="Times New Roman"/>
                <w:color w:val="000000" w:themeColor="text1"/>
                <w14:textFill>
                  <w14:solidFill>
                    <w14:schemeClr w14:val="tx1"/>
                  </w14:solidFill>
                </w14:textFill>
              </w:rPr>
              <w:t>在运行期不会造成地下水水位</w:t>
            </w:r>
            <w:r>
              <w:rPr>
                <w:rFonts w:hint="eastAsia" w:ascii="Times New Roman" w:hAnsi="Times New Roman" w:cs="Times New Roman"/>
                <w:color w:val="000000" w:themeColor="text1"/>
                <w:lang w:val="en-US" w:eastAsia="zh-CN"/>
                <w14:textFill>
                  <w14:solidFill>
                    <w14:schemeClr w14:val="tx1"/>
                  </w14:solidFill>
                </w14:textFill>
              </w:rPr>
              <w:t>明显上升</w:t>
            </w:r>
            <w:r>
              <w:rPr>
                <w:rFonts w:hint="eastAsia" w:ascii="Times New Roman" w:hAnsi="Times New Roman" w:cs="Times New Roman"/>
                <w:color w:val="000000" w:themeColor="text1"/>
                <w14:textFill>
                  <w14:solidFill>
                    <w14:schemeClr w14:val="tx1"/>
                  </w14:solidFill>
                </w14:textFill>
              </w:rPr>
              <w:t>。由于本工程灌区总体存在一定地形高差，一般情况下，由于灌溉时间短、排水快，对灌区地下水位影响较小。</w:t>
            </w:r>
          </w:p>
          <w:p>
            <w:pPr>
              <w:pStyle w:val="55"/>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对于地下水水质，</w:t>
            </w:r>
            <w:r>
              <w:rPr>
                <w:rFonts w:hint="eastAsia" w:ascii="Times New Roman" w:hAnsi="Times New Roman" w:cs="Times New Roman"/>
                <w:color w:val="000000" w:themeColor="text1"/>
                <w14:textFill>
                  <w14:solidFill>
                    <w14:schemeClr w14:val="tx1"/>
                  </w14:solidFill>
                </w14:textFill>
              </w:rPr>
              <w:t>运行期灌区地下水水质主要受灌区灌溉水质、农药化肥的施用影响。本工程</w:t>
            </w:r>
            <w:r>
              <w:rPr>
                <w:rFonts w:hint="eastAsia" w:ascii="Times New Roman" w:hAnsi="Times New Roman" w:cs="Times New Roman"/>
                <w:bCs/>
                <w:color w:val="000000" w:themeColor="text1"/>
                <w:sz w:val="24"/>
                <w:szCs w:val="24"/>
                <w:lang w:val="en-US" w:eastAsia="zh-CN"/>
                <w14:textFill>
                  <w14:solidFill>
                    <w14:schemeClr w14:val="tx1"/>
                  </w14:solidFill>
                </w14:textFill>
              </w:rPr>
              <w:t>属于川东北丘陵低山</w:t>
            </w:r>
            <w:r>
              <w:rPr>
                <w:rFonts w:hint="default" w:ascii="Times New Roman" w:hAnsi="Times New Roman" w:cs="Times New Roman"/>
                <w:bCs/>
                <w:color w:val="000000" w:themeColor="text1"/>
                <w:sz w:val="24"/>
                <w:szCs w:val="24"/>
                <w:lang w:val="en-US" w:eastAsia="zh-CN"/>
                <w14:textFill>
                  <w14:solidFill>
                    <w14:schemeClr w14:val="tx1"/>
                  </w14:solidFill>
                </w14:textFill>
              </w:rPr>
              <w:t>经济区</w:t>
            </w:r>
            <w:r>
              <w:rPr>
                <w:rFonts w:hint="eastAsia" w:ascii="Times New Roman" w:hAnsi="Times New Roman" w:cs="Times New Roman"/>
                <w:color w:val="000000" w:themeColor="text1"/>
                <w14:textFill>
                  <w14:solidFill>
                    <w14:schemeClr w14:val="tx1"/>
                  </w14:solidFill>
                </w14:textFill>
              </w:rPr>
              <w:t>，污染物排放管控要求主要是化肥、农药利用率达43%，测土配方施肥技术推广覆盖率保持在90%以上，控制农村面源污染，采取灌排分离等措施控制农田氮</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磷流失，因此，农业的面源污染负荷将逐步减小</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运行后对区域地下水水质影响很小</w:t>
            </w:r>
            <w:r>
              <w:rPr>
                <w:rFonts w:ascii="Times New Roman" w:hAnsi="Times New Roman" w:cs="Times New Roman"/>
                <w:color w:val="000000" w:themeColor="text1"/>
                <w14:textFill>
                  <w14:solidFill>
                    <w14:schemeClr w14:val="tx1"/>
                  </w14:solidFill>
                </w14:textFill>
              </w:rPr>
              <w:t>。</w:t>
            </w:r>
          </w:p>
          <w:p>
            <w:pPr>
              <w:pStyle w:val="55"/>
              <w:ind w:firstLine="482"/>
              <w:rPr>
                <w:rFonts w:ascii="Times New Roman" w:hAnsi="Times New Roman" w:cs="Times New Roman"/>
                <w:b/>
                <w:bCs w:val="0"/>
                <w:color w:val="000000" w:themeColor="text1"/>
                <w14:textFill>
                  <w14:solidFill>
                    <w14:schemeClr w14:val="tx1"/>
                  </w14:solidFill>
                </w14:textFill>
              </w:rPr>
            </w:pPr>
            <w:r>
              <w:rPr>
                <w:rFonts w:hint="eastAsia" w:ascii="Times New Roman" w:hAnsi="Times New Roman" w:cs="Times New Roman"/>
                <w:b/>
                <w:bCs w:val="0"/>
                <w:color w:val="000000" w:themeColor="text1"/>
                <w14:textFill>
                  <w14:solidFill>
                    <w14:schemeClr w14:val="tx1"/>
                  </w14:solidFill>
                </w14:textFill>
              </w:rPr>
              <w:t>通过本次工程</w:t>
            </w:r>
            <w:r>
              <w:rPr>
                <w:rFonts w:hint="eastAsia" w:ascii="Times New Roman" w:hAnsi="Times New Roman" w:cs="Times New Roman"/>
                <w:b/>
                <w:bCs w:val="0"/>
                <w:color w:val="000000" w:themeColor="text1"/>
                <w:lang w:val="en-US" w:eastAsia="zh-CN"/>
                <w14:textFill>
                  <w14:solidFill>
                    <w14:schemeClr w14:val="tx1"/>
                  </w14:solidFill>
                </w14:textFill>
              </w:rPr>
              <w:t>对渠道、管道的重新整治</w:t>
            </w:r>
            <w:r>
              <w:rPr>
                <w:rFonts w:hint="eastAsia" w:ascii="Times New Roman" w:hAnsi="Times New Roman" w:cs="Times New Roman"/>
                <w:b/>
                <w:bCs w:val="0"/>
                <w:color w:val="000000" w:themeColor="text1"/>
                <w14:textFill>
                  <w14:solidFill>
                    <w14:schemeClr w14:val="tx1"/>
                  </w14:solidFill>
                </w14:textFill>
              </w:rPr>
              <w:t>，</w:t>
            </w:r>
            <w:r>
              <w:rPr>
                <w:rFonts w:hint="eastAsia" w:ascii="Times New Roman" w:hAnsi="Times New Roman" w:cs="Times New Roman"/>
                <w:b/>
                <w:bCs w:val="0"/>
                <w:color w:val="000000" w:themeColor="text1"/>
                <w:lang w:val="en-US" w:eastAsia="zh-CN"/>
                <w14:textFill>
                  <w14:solidFill>
                    <w14:schemeClr w14:val="tx1"/>
                  </w14:solidFill>
                </w14:textFill>
              </w:rPr>
              <w:t>原有退水中污染因子通过渠道破损处下渗至土壤和地下水的现象得到有效治理，</w:t>
            </w:r>
            <w:r>
              <w:rPr>
                <w:rFonts w:hint="eastAsia" w:ascii="Times New Roman" w:hAnsi="Times New Roman" w:cs="Times New Roman"/>
                <w:b/>
                <w:bCs w:val="0"/>
                <w:color w:val="000000" w:themeColor="text1"/>
                <w14:textFill>
                  <w14:solidFill>
                    <w14:schemeClr w14:val="tx1"/>
                  </w14:solidFill>
                </w14:textFill>
              </w:rPr>
              <w:t>通过水力联系进入地下水的水污染物也会</w:t>
            </w:r>
            <w:r>
              <w:rPr>
                <w:rFonts w:hint="eastAsia" w:ascii="Times New Roman" w:hAnsi="Times New Roman" w:cs="Times New Roman"/>
                <w:b/>
                <w:bCs w:val="0"/>
                <w:color w:val="000000" w:themeColor="text1"/>
                <w:lang w:val="en-US" w:eastAsia="zh-CN"/>
                <w14:textFill>
                  <w14:solidFill>
                    <w14:schemeClr w14:val="tx1"/>
                  </w14:solidFill>
                </w14:textFill>
              </w:rPr>
              <w:t>大大降低</w:t>
            </w:r>
            <w:r>
              <w:rPr>
                <w:rFonts w:hint="eastAsia" w:ascii="Times New Roman" w:hAnsi="Times New Roman" w:cs="Times New Roman"/>
                <w:b/>
                <w:bCs w:val="0"/>
                <w:color w:val="000000" w:themeColor="text1"/>
                <w14:textFill>
                  <w14:solidFill>
                    <w14:schemeClr w14:val="tx1"/>
                  </w14:solidFill>
                </w14:textFill>
              </w:rPr>
              <w:t>，项目实施对区域地下水环境具有一定的环境正效益。</w:t>
            </w:r>
          </w:p>
          <w:p>
            <w:pPr>
              <w:pStyle w:val="55"/>
              <w:ind w:firstLine="482"/>
              <w:rPr>
                <w:rFonts w:ascii="Times New Roman" w:hAnsi="Times New Roman" w:cs="Times New Roman"/>
                <w:b/>
                <w:bCs w:val="0"/>
                <w:color w:val="000000" w:themeColor="text1"/>
                <w14:textFill>
                  <w14:solidFill>
                    <w14:schemeClr w14:val="tx1"/>
                  </w14:solidFill>
                </w14:textFill>
              </w:rPr>
            </w:pPr>
            <w:r>
              <w:rPr>
                <w:rFonts w:hint="eastAsia" w:ascii="Times New Roman" w:hAnsi="Times New Roman" w:cs="Times New Roman"/>
                <w:b/>
                <w:bCs w:val="0"/>
                <w:color w:val="000000" w:themeColor="text1"/>
                <w14:textFill>
                  <w14:solidFill>
                    <w14:schemeClr w14:val="tx1"/>
                  </w14:solidFill>
                </w14:textFill>
              </w:rPr>
              <w:t>六</w:t>
            </w:r>
            <w:r>
              <w:rPr>
                <w:rFonts w:ascii="Times New Roman" w:hAnsi="Times New Roman" w:cs="Times New Roman"/>
                <w:b/>
                <w:bCs w:val="0"/>
                <w:color w:val="000000" w:themeColor="text1"/>
                <w14:textFill>
                  <w14:solidFill>
                    <w14:schemeClr w14:val="tx1"/>
                  </w14:solidFill>
                </w14:textFill>
              </w:rPr>
              <w:t>、土壤环境影响分析</w:t>
            </w:r>
          </w:p>
          <w:p>
            <w:pPr>
              <w:pStyle w:val="55"/>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本项目为</w:t>
            </w:r>
            <w:r>
              <w:rPr>
                <w:rFonts w:hint="eastAsia" w:ascii="Times New Roman" w:hAnsi="Times New Roman" w:cs="Times New Roman"/>
                <w:color w:val="000000" w:themeColor="text1"/>
                <w:lang w:val="en-US" w:eastAsia="zh-CN"/>
                <w14:textFill>
                  <w14:solidFill>
                    <w14:schemeClr w14:val="tx1"/>
                  </w14:solidFill>
                </w14:textFill>
              </w:rPr>
              <w:t>宣汉县14个小型灌区渠系整治工程</w:t>
            </w:r>
            <w:r>
              <w:rPr>
                <w:rFonts w:ascii="Times New Roman" w:hAnsi="Times New Roman" w:cs="Times New Roman"/>
                <w:color w:val="000000" w:themeColor="text1"/>
                <w14:textFill>
                  <w14:solidFill>
                    <w14:schemeClr w14:val="tx1"/>
                  </w14:solidFill>
                </w14:textFill>
              </w:rPr>
              <w:t>，对土壤环境无污染途径，</w:t>
            </w:r>
            <w:r>
              <w:rPr>
                <w:rFonts w:hint="eastAsia" w:ascii="Times New Roman" w:hAnsi="Times New Roman" w:cs="Times New Roman"/>
                <w:color w:val="000000" w:themeColor="text1"/>
                <w:lang w:val="en-US" w:eastAsia="zh-CN"/>
                <w14:textFill>
                  <w14:solidFill>
                    <w14:schemeClr w14:val="tx1"/>
                  </w14:solidFill>
                </w14:textFill>
              </w:rPr>
              <w:t>不会对土壤环境产生污染影响</w:t>
            </w:r>
            <w:r>
              <w:rPr>
                <w:rFonts w:ascii="Times New Roman" w:hAnsi="Times New Roman" w:cs="Times New Roman"/>
                <w:color w:val="000000" w:themeColor="text1"/>
                <w14:textFill>
                  <w14:solidFill>
                    <w14:schemeClr w14:val="tx1"/>
                  </w14:solidFill>
                </w14:textFill>
              </w:rPr>
              <w:t>。</w:t>
            </w:r>
          </w:p>
          <w:p>
            <w:pPr>
              <w:pStyle w:val="55"/>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通过前述分析，项目</w:t>
            </w:r>
            <w:r>
              <w:rPr>
                <w:rFonts w:hint="eastAsia" w:ascii="Times New Roman" w:hAnsi="Times New Roman" w:cs="Times New Roman"/>
                <w:color w:val="000000" w:themeColor="text1"/>
                <w:lang w:val="en-US" w:eastAsia="zh-CN"/>
                <w14:textFill>
                  <w14:solidFill>
                    <w14:schemeClr w14:val="tx1"/>
                  </w14:solidFill>
                </w14:textFill>
              </w:rPr>
              <w:t>主要为整治工程，不会改变</w:t>
            </w:r>
            <w:r>
              <w:rPr>
                <w:rFonts w:hint="eastAsia" w:ascii="Times New Roman" w:hAnsi="Times New Roman" w:cs="Times New Roman"/>
                <w:color w:val="000000" w:themeColor="text1"/>
                <w14:textFill>
                  <w14:solidFill>
                    <w14:schemeClr w14:val="tx1"/>
                  </w14:solidFill>
                </w14:textFill>
              </w:rPr>
              <w:t>区域地表水与地下水的水力联系，地下水水位不会</w:t>
            </w:r>
            <w:r>
              <w:rPr>
                <w:rFonts w:hint="eastAsia" w:ascii="Times New Roman" w:hAnsi="Times New Roman" w:cs="Times New Roman"/>
                <w:color w:val="000000" w:themeColor="text1"/>
                <w:lang w:val="en-US" w:eastAsia="zh-CN"/>
                <w14:textFill>
                  <w14:solidFill>
                    <w14:schemeClr w14:val="tx1"/>
                  </w14:solidFill>
                </w14:textFill>
              </w:rPr>
              <w:t>升高或</w:t>
            </w:r>
            <w:r>
              <w:rPr>
                <w:rFonts w:hint="eastAsia" w:ascii="Times New Roman" w:hAnsi="Times New Roman" w:cs="Times New Roman"/>
                <w:color w:val="000000" w:themeColor="text1"/>
                <w14:textFill>
                  <w14:solidFill>
                    <w14:schemeClr w14:val="tx1"/>
                  </w14:solidFill>
                </w14:textFill>
              </w:rPr>
              <w:t>降低，不会</w:t>
            </w:r>
            <w:r>
              <w:rPr>
                <w:rFonts w:hint="eastAsia" w:ascii="Times New Roman" w:hAnsi="Times New Roman" w:cs="Times New Roman"/>
                <w:color w:val="000000" w:themeColor="text1"/>
                <w:lang w:val="en-US" w:eastAsia="zh-CN"/>
                <w14:textFill>
                  <w14:solidFill>
                    <w14:schemeClr w14:val="tx1"/>
                  </w14:solidFill>
                </w14:textFill>
              </w:rPr>
              <w:t>导致</w:t>
            </w:r>
            <w:r>
              <w:rPr>
                <w:rFonts w:hint="eastAsia" w:ascii="Times New Roman" w:hAnsi="Times New Roman" w:cs="Times New Roman"/>
                <w:color w:val="000000" w:themeColor="text1"/>
                <w14:textFill>
                  <w14:solidFill>
                    <w14:schemeClr w14:val="tx1"/>
                  </w14:solidFill>
                </w14:textFill>
              </w:rPr>
              <w:t>周边土壤盐渍化</w:t>
            </w:r>
            <w:r>
              <w:rPr>
                <w:rFonts w:hint="eastAsia" w:ascii="Times New Roman" w:hAnsi="Times New Roman" w:cs="Times New Roman"/>
                <w:color w:val="000000" w:themeColor="text1"/>
                <w:lang w:val="en-US" w:eastAsia="zh-CN"/>
                <w14:textFill>
                  <w14:solidFill>
                    <w14:schemeClr w14:val="tx1"/>
                  </w14:solidFill>
                </w14:textFill>
              </w:rPr>
              <w:t>或</w:t>
            </w:r>
            <w:r>
              <w:rPr>
                <w:rFonts w:hint="eastAsia" w:ascii="Times New Roman" w:hAnsi="Times New Roman" w:cs="Times New Roman"/>
                <w:color w:val="000000" w:themeColor="text1"/>
                <w14:textFill>
                  <w14:solidFill>
                    <w14:schemeClr w14:val="tx1"/>
                  </w14:solidFill>
                </w14:textFill>
              </w:rPr>
              <w:t>荒漠化。</w:t>
            </w:r>
          </w:p>
          <w:p>
            <w:pPr>
              <w:pStyle w:val="55"/>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经判定，本项目不进行土壤环境影响评价。</w:t>
            </w:r>
          </w:p>
          <w:p>
            <w:pPr>
              <w:pStyle w:val="55"/>
              <w:ind w:firstLine="482"/>
              <w:rPr>
                <w:rFonts w:ascii="Times New Roman" w:hAnsi="Times New Roman" w:cs="Times New Roman"/>
                <w:b/>
                <w:bCs w:val="0"/>
                <w:color w:val="000000" w:themeColor="text1"/>
                <w14:textFill>
                  <w14:solidFill>
                    <w14:schemeClr w14:val="tx1"/>
                  </w14:solidFill>
                </w14:textFill>
              </w:rPr>
            </w:pPr>
            <w:r>
              <w:rPr>
                <w:rFonts w:hint="eastAsia" w:ascii="Times New Roman" w:hAnsi="Times New Roman" w:cs="Times New Roman"/>
                <w:b/>
                <w:bCs w:val="0"/>
                <w:color w:val="000000" w:themeColor="text1"/>
                <w:lang w:val="en-US" w:eastAsia="zh-CN"/>
                <w14:textFill>
                  <w14:solidFill>
                    <w14:schemeClr w14:val="tx1"/>
                  </w14:solidFill>
                </w14:textFill>
              </w:rPr>
              <w:t>七</w:t>
            </w:r>
            <w:r>
              <w:rPr>
                <w:rFonts w:ascii="Times New Roman" w:hAnsi="Times New Roman" w:cs="Times New Roman"/>
                <w:b/>
                <w:bCs w:val="0"/>
                <w:color w:val="000000" w:themeColor="text1"/>
                <w14:textFill>
                  <w14:solidFill>
                    <w14:schemeClr w14:val="tx1"/>
                  </w14:solidFill>
                </w14:textFill>
              </w:rPr>
              <w:t>、环境风险分析</w:t>
            </w:r>
          </w:p>
          <w:p>
            <w:pPr>
              <w:pStyle w:val="55"/>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根据《建设项目环境风险评价技术导则》（HJ169-2018）中的内容“环境风险评价工作等级分为一级、二级、三级。根据建设项目涉及的物质及工艺系统危险性和所在地的环境敏感性确定环境风险潜势，按照</w:t>
            </w:r>
            <w:r>
              <w:rPr>
                <w:rFonts w:hint="eastAsia" w:ascii="Times New Roman" w:hAnsi="Times New Roman" w:cs="Times New Roman"/>
                <w:color w:val="000000" w:themeColor="text1"/>
                <w:lang w:val="en-US" w:eastAsia="zh-CN"/>
                <w14:textFill>
                  <w14:solidFill>
                    <w14:schemeClr w14:val="tx1"/>
                  </w14:solidFill>
                </w14:textFill>
              </w:rPr>
              <w:t>导则中</w:t>
            </w:r>
            <w:r>
              <w:rPr>
                <w:rFonts w:ascii="Times New Roman" w:hAnsi="Times New Roman" w:cs="Times New Roman"/>
                <w:color w:val="000000" w:themeColor="text1"/>
                <w14:textFill>
                  <w14:solidFill>
                    <w14:schemeClr w14:val="tx1"/>
                  </w14:solidFill>
                </w14:textFill>
              </w:rPr>
              <w:t>表1确定评价工作等级。风险潜势为Ⅳ及以上，进行一级评价；风险潜势为Ⅲ，进行二级评价；风险潜势为Ⅱ，进行三级评价；风险潜势为Ⅰ，可开展简单分析。</w:t>
            </w:r>
          </w:p>
          <w:p>
            <w:pPr>
              <w:pStyle w:val="55"/>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1、评价等级判定</w:t>
            </w:r>
          </w:p>
          <w:p>
            <w:pPr>
              <w:pStyle w:val="55"/>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本项目主要建设内容为</w:t>
            </w:r>
            <w:r>
              <w:rPr>
                <w:rFonts w:hint="eastAsia" w:ascii="Times New Roman" w:hAnsi="Times New Roman" w:cs="Times New Roman"/>
                <w:color w:val="000000" w:themeColor="text1"/>
                <w:lang w:val="en-US" w:eastAsia="zh-CN"/>
                <w14:textFill>
                  <w14:solidFill>
                    <w14:schemeClr w14:val="tx1"/>
                  </w14:solidFill>
                </w14:textFill>
              </w:rPr>
              <w:t>渠道、管道整治、管道新建等</w:t>
            </w:r>
            <w:r>
              <w:rPr>
                <w:rFonts w:ascii="Times New Roman" w:hAnsi="Times New Roman" w:cs="Times New Roman"/>
                <w:color w:val="000000" w:themeColor="text1"/>
                <w14:textFill>
                  <w14:solidFill>
                    <w14:schemeClr w14:val="tx1"/>
                  </w14:solidFill>
                </w14:textFill>
              </w:rPr>
              <w:t>，建设期和运营期不涉及任何危险物质，风险潜势为Ⅰ</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环境风险工作等级为简单分析。</w:t>
            </w:r>
          </w:p>
          <w:p>
            <w:pPr>
              <w:autoSpaceDE w:val="0"/>
              <w:autoSpaceDN w:val="0"/>
              <w:adjustRightInd w:val="0"/>
              <w:snapToGrid w:val="0"/>
              <w:jc w:val="center"/>
              <w:rPr>
                <w:rFonts w:ascii="Times New Roman" w:hAnsi="Times New Roman" w:eastAsia="宋体" w:cs="Times New Roman"/>
                <w:b/>
                <w:bCs/>
                <w:color w:val="000000" w:themeColor="text1"/>
                <w:kern w:val="0"/>
                <w:szCs w:val="21"/>
                <w14:textFill>
                  <w14:solidFill>
                    <w14:schemeClr w14:val="tx1"/>
                  </w14:solidFill>
                </w14:textFill>
              </w:rPr>
            </w:pPr>
            <w:r>
              <w:rPr>
                <w:rFonts w:ascii="Times New Roman" w:hAnsi="Times New Roman" w:eastAsia="宋体" w:cs="Times New Roman"/>
                <w:b/>
                <w:bCs/>
                <w:color w:val="000000" w:themeColor="text1"/>
                <w:kern w:val="0"/>
                <w:szCs w:val="21"/>
                <w14:textFill>
                  <w14:solidFill>
                    <w14:schemeClr w14:val="tx1"/>
                  </w14:solidFill>
                </w14:textFill>
              </w:rPr>
              <w:t xml:space="preserve">表4-3 </w:t>
            </w:r>
            <w:r>
              <w:rPr>
                <w:rFonts w:hint="eastAsia" w:ascii="Times New Roman" w:hAnsi="Times New Roman" w:eastAsia="宋体" w:cs="Times New Roman"/>
                <w:b/>
                <w:bCs/>
                <w:color w:val="000000" w:themeColor="text1"/>
                <w:kern w:val="0"/>
                <w:szCs w:val="21"/>
                <w14:textFill>
                  <w14:solidFill>
                    <w14:schemeClr w14:val="tx1"/>
                  </w14:solidFill>
                </w14:textFill>
              </w:rPr>
              <w:t xml:space="preserve"> </w:t>
            </w:r>
            <w:r>
              <w:rPr>
                <w:rFonts w:ascii="Times New Roman" w:hAnsi="Times New Roman" w:eastAsia="宋体" w:cs="Times New Roman"/>
                <w:b/>
                <w:bCs/>
                <w:color w:val="000000" w:themeColor="text1"/>
                <w:kern w:val="0"/>
                <w:szCs w:val="21"/>
                <w14:textFill>
                  <w14:solidFill>
                    <w14:schemeClr w14:val="tx1"/>
                  </w14:solidFill>
                </w14:textFill>
              </w:rPr>
              <w:t>项目评价工作等级判定</w:t>
            </w:r>
          </w:p>
          <w:tbl>
            <w:tblPr>
              <w:tblStyle w:val="27"/>
              <w:tblW w:w="93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2"/>
              <w:gridCol w:w="1862"/>
              <w:gridCol w:w="1862"/>
              <w:gridCol w:w="1862"/>
              <w:gridCol w:w="1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风险潜势</w:t>
                  </w:r>
                </w:p>
              </w:tc>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Ⅳ、Ⅴ+</w:t>
                  </w:r>
                </w:p>
              </w:tc>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Ⅲ</w:t>
                  </w:r>
                </w:p>
              </w:tc>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Ⅱ</w:t>
                  </w:r>
                </w:p>
              </w:tc>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评价工作等级</w:t>
                  </w:r>
                </w:p>
              </w:tc>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一</w:t>
                  </w:r>
                </w:p>
              </w:tc>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二</w:t>
                  </w:r>
                </w:p>
              </w:tc>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三</w:t>
                  </w:r>
                </w:p>
              </w:tc>
              <w:tc>
                <w:tcPr>
                  <w:tcW w:w="1862" w:type="dxa"/>
                  <w:vAlign w:val="center"/>
                </w:tcPr>
                <w:p>
                  <w:pPr>
                    <w:pStyle w:val="55"/>
                    <w:spacing w:line="240" w:lineRule="auto"/>
                    <w:ind w:firstLine="0" w:firstLineChars="0"/>
                    <w:jc w:val="center"/>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0" w:type="dxa"/>
                  <w:gridSpan w:val="5"/>
                  <w:vAlign w:val="center"/>
                </w:tcPr>
                <w:p>
                  <w:pPr>
                    <w:pStyle w:val="55"/>
                    <w:spacing w:line="240" w:lineRule="auto"/>
                    <w:ind w:firstLine="0" w:firstLineChars="0"/>
                    <w:rPr>
                      <w:rFonts w:ascii="Times New Roman" w:hAnsi="Times New Roman" w:cs="Times New Roman"/>
                      <w:color w:val="000000" w:themeColor="text1"/>
                      <w:kern w:val="0"/>
                      <w:sz w:val="21"/>
                      <w:szCs w:val="21"/>
                      <w14:textFill>
                        <w14:solidFill>
                          <w14:schemeClr w14:val="tx1"/>
                        </w14:solidFill>
                      </w14:textFill>
                    </w:rPr>
                  </w:pPr>
                  <w:r>
                    <w:rPr>
                      <w:rFonts w:ascii="Times New Roman" w:hAnsi="Times New Roman" w:cs="Times New Roman"/>
                      <w:color w:val="000000" w:themeColor="text1"/>
                      <w:kern w:val="0"/>
                      <w:sz w:val="21"/>
                      <w:szCs w:val="21"/>
                      <w14:textFill>
                        <w14:solidFill>
                          <w14:schemeClr w14:val="tx1"/>
                        </w14:solidFill>
                      </w14:textFill>
                    </w:rPr>
                    <w:t>a是相对于详细评价工作内容而言，在描述危险物质、环境影响途径、环境危害结果、风险防范措施等方面给出定性说明，详见附录A</w:t>
                  </w:r>
                </w:p>
              </w:tc>
            </w:tr>
          </w:tbl>
          <w:p>
            <w:pPr>
              <w:pStyle w:val="55"/>
              <w:ind w:firstLine="480"/>
              <w:rPr>
                <w:rFonts w:ascii="Times New Roman" w:hAnsi="Times New Roman" w:cs="Times New Roman"/>
                <w:color w:val="000000" w:themeColor="text1"/>
                <w14:textFill>
                  <w14:solidFill>
                    <w14:schemeClr w14:val="tx1"/>
                  </w14:solidFill>
                </w14:textFill>
              </w:rPr>
            </w:pPr>
          </w:p>
          <w:p>
            <w:pPr>
              <w:pStyle w:val="55"/>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2、风险源识别</w:t>
            </w:r>
          </w:p>
          <w:p>
            <w:pPr>
              <w:pStyle w:val="55"/>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项目施工期可能发生的环境风险主要为设备使用的油类物质发生泄露、机械设备的跑冒滴漏对土壤及地下水环境产生影响</w:t>
            </w:r>
            <w:r>
              <w:rPr>
                <w:rFonts w:ascii="Times New Roman" w:hAnsi="Times New Roman" w:cs="Times New Roman"/>
                <w:color w:val="000000" w:themeColor="text1"/>
                <w14:textFill>
                  <w14:solidFill>
                    <w14:schemeClr w14:val="tx1"/>
                  </w14:solidFill>
                </w14:textFill>
              </w:rPr>
              <w:t>。</w:t>
            </w:r>
          </w:p>
          <w:p>
            <w:pPr>
              <w:pStyle w:val="55"/>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项目营运期本身不涉及环境风险源。</w:t>
            </w:r>
          </w:p>
          <w:p>
            <w:pPr>
              <w:pStyle w:val="55"/>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3、风险防范措施</w:t>
            </w:r>
          </w:p>
          <w:p>
            <w:pPr>
              <w:pStyle w:val="55"/>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加强施工期油类物质管理，控制作业区域油类物质存放量，使用完整包装；对施工设备进行定期检修和维护，避免油类物质跑冒滴漏现象发生。</w:t>
            </w:r>
          </w:p>
          <w:p>
            <w:pPr>
              <w:pStyle w:val="55"/>
              <w:ind w:firstLine="48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、环境风险分析结论</w:t>
            </w:r>
          </w:p>
          <w:p>
            <w:pPr>
              <w:pStyle w:val="55"/>
              <w:ind w:firstLine="480"/>
              <w:rPr>
                <w:rFonts w:ascii="Times New Roman" w:hAnsi="Times New Roman" w:eastAsia="宋体" w:cs="Times New Roman"/>
                <w:b/>
                <w:color w:val="000000" w:themeColor="text1"/>
                <w:kern w:val="0"/>
                <w:szCs w:val="2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本项目环境风险简单分析内容见表4-</w:t>
            </w:r>
            <w:r>
              <w:rPr>
                <w:rFonts w:hint="eastAsia" w:ascii="Times New Roman" w:hAnsi="Times New Roman" w:cs="Times New Roman"/>
                <w:color w:val="000000" w:themeColor="text1"/>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w:t>
            </w:r>
          </w:p>
          <w:p>
            <w:pPr>
              <w:autoSpaceDE w:val="0"/>
              <w:autoSpaceDN w:val="0"/>
              <w:adjustRightInd w:val="0"/>
              <w:snapToGrid w:val="0"/>
              <w:jc w:val="center"/>
              <w:rPr>
                <w:rFonts w:ascii="Times New Roman" w:hAnsi="Times New Roman" w:eastAsia="宋体" w:cs="Times New Roman"/>
                <w:b/>
                <w:bCs/>
                <w:color w:val="000000" w:themeColor="text1"/>
                <w:kern w:val="0"/>
                <w:szCs w:val="21"/>
                <w14:textFill>
                  <w14:solidFill>
                    <w14:schemeClr w14:val="tx1"/>
                  </w14:solidFill>
                </w14:textFill>
              </w:rPr>
            </w:pPr>
            <w:r>
              <w:rPr>
                <w:rFonts w:ascii="Times New Roman" w:hAnsi="Times New Roman" w:eastAsia="宋体" w:cs="Times New Roman"/>
                <w:b/>
                <w:bCs/>
                <w:color w:val="000000" w:themeColor="text1"/>
                <w:kern w:val="0"/>
                <w:szCs w:val="21"/>
                <w14:textFill>
                  <w14:solidFill>
                    <w14:schemeClr w14:val="tx1"/>
                  </w14:solidFill>
                </w14:textFill>
              </w:rPr>
              <w:t>表4-</w:t>
            </w:r>
            <w:r>
              <w:rPr>
                <w:rFonts w:hint="eastAsia" w:ascii="Times New Roman" w:hAnsi="Times New Roman" w:eastAsia="宋体" w:cs="Times New Roman"/>
                <w:b/>
                <w:bCs/>
                <w:color w:val="000000" w:themeColor="text1"/>
                <w:kern w:val="0"/>
                <w:szCs w:val="21"/>
                <w14:textFill>
                  <w14:solidFill>
                    <w14:schemeClr w14:val="tx1"/>
                  </w14:solidFill>
                </w14:textFill>
              </w:rPr>
              <w:t>4</w:t>
            </w:r>
            <w:r>
              <w:rPr>
                <w:rFonts w:ascii="Times New Roman" w:hAnsi="Times New Roman" w:eastAsia="宋体" w:cs="Times New Roman"/>
                <w:b/>
                <w:bCs/>
                <w:color w:val="000000" w:themeColor="text1"/>
                <w:kern w:val="0"/>
                <w:szCs w:val="21"/>
                <w14:textFill>
                  <w14:solidFill>
                    <w14:schemeClr w14:val="tx1"/>
                  </w14:solidFill>
                </w14:textFill>
              </w:rPr>
              <w:t xml:space="preserve">  建设项目环境风险简单分析内容表</w:t>
            </w:r>
          </w:p>
          <w:tbl>
            <w:tblPr>
              <w:tblStyle w:val="26"/>
              <w:tblW w:w="9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8"/>
              <w:gridCol w:w="1054"/>
              <w:gridCol w:w="1166"/>
              <w:gridCol w:w="1311"/>
              <w:gridCol w:w="873"/>
              <w:gridCol w:w="3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8" w:type="dxa"/>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建设项目名称</w:t>
                  </w:r>
                </w:p>
              </w:tc>
              <w:tc>
                <w:tcPr>
                  <w:tcW w:w="7422" w:type="dxa"/>
                  <w:gridSpan w:val="5"/>
                  <w:tcBorders>
                    <w:top w:val="single" w:color="auto" w:sz="4" w:space="0"/>
                    <w:left w:val="single" w:color="auto" w:sz="4" w:space="0"/>
                    <w:bottom w:val="single" w:color="auto" w:sz="4" w:space="0"/>
                    <w:right w:val="single" w:color="auto" w:sz="4" w:space="0"/>
                  </w:tcBorders>
                  <w:vAlign w:val="center"/>
                </w:tcPr>
                <w:p>
                  <w:pPr>
                    <w:pStyle w:val="42"/>
                    <w:jc w:val="center"/>
                    <w:rPr>
                      <w:rFonts w:hint="eastAsia" w:hAnsi="Times New Roman" w:eastAsia="宋体"/>
                      <w:color w:val="000000" w:themeColor="text1"/>
                      <w:lang w:eastAsia="zh-CN"/>
                      <w14:textFill>
                        <w14:solidFill>
                          <w14:schemeClr w14:val="tx1"/>
                        </w14:solidFill>
                      </w14:textFill>
                    </w:rPr>
                  </w:pPr>
                  <w:r>
                    <w:rPr>
                      <w:rFonts w:hint="eastAsia" w:hAnsi="Times New Roman"/>
                      <w:color w:val="000000" w:themeColor="text1"/>
                      <w:lang w:eastAsia="zh-CN"/>
                      <w14:textFill>
                        <w14:solidFill>
                          <w14:schemeClr w14:val="tx1"/>
                        </w14:solidFill>
                      </w14:textFill>
                    </w:rPr>
                    <w:t>宣汉县小型灌区新建项目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8" w:type="dxa"/>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建设地点</w:t>
                  </w:r>
                </w:p>
              </w:tc>
              <w:tc>
                <w:tcPr>
                  <w:tcW w:w="1054" w:type="dxa"/>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（四川）省</w:t>
                  </w:r>
                </w:p>
              </w:tc>
              <w:tc>
                <w:tcPr>
                  <w:tcW w:w="1166" w:type="dxa"/>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w:t>
                  </w:r>
                  <w:r>
                    <w:rPr>
                      <w:rFonts w:hint="eastAsia" w:hAnsi="Times New Roman"/>
                      <w:color w:val="000000" w:themeColor="text1"/>
                      <w:lang w:eastAsia="zh-CN"/>
                      <w14:textFill>
                        <w14:solidFill>
                          <w14:schemeClr w14:val="tx1"/>
                        </w14:solidFill>
                      </w14:textFill>
                    </w:rPr>
                    <w:t>达州</w:t>
                  </w:r>
                  <w:r>
                    <w:rPr>
                      <w:rFonts w:hAnsi="Times New Roman"/>
                      <w:color w:val="000000" w:themeColor="text1"/>
                      <w14:textFill>
                        <w14:solidFill>
                          <w14:schemeClr w14:val="tx1"/>
                        </w14:solidFill>
                      </w14:textFill>
                    </w:rPr>
                    <w:t>）市</w:t>
                  </w:r>
                </w:p>
              </w:tc>
              <w:tc>
                <w:tcPr>
                  <w:tcW w:w="1311" w:type="dxa"/>
                  <w:tcBorders>
                    <w:top w:val="single" w:color="auto" w:sz="4" w:space="0"/>
                    <w:left w:val="single" w:color="auto" w:sz="4" w:space="0"/>
                    <w:bottom w:val="single" w:color="auto" w:sz="4" w:space="0"/>
                    <w:right w:val="single" w:color="auto" w:sz="4" w:space="0"/>
                  </w:tcBorders>
                  <w:vAlign w:val="center"/>
                </w:tcPr>
                <w:p>
                  <w:pPr>
                    <w:pStyle w:val="42"/>
                    <w:jc w:val="center"/>
                    <w:rPr>
                      <w:rFonts w:hint="eastAsia" w:hAnsi="Times New Roman" w:eastAsia="宋体"/>
                      <w:color w:val="000000" w:themeColor="text1"/>
                      <w:lang w:val="en-US" w:eastAsia="zh-CN"/>
                      <w14:textFill>
                        <w14:solidFill>
                          <w14:schemeClr w14:val="tx1"/>
                        </w14:solidFill>
                      </w14:textFill>
                    </w:rPr>
                  </w:pPr>
                  <w:r>
                    <w:rPr>
                      <w:rFonts w:hint="eastAsia" w:hAnsi="Times New Roman"/>
                      <w:color w:val="000000" w:themeColor="text1"/>
                      <w:lang w:val="en-US" w:eastAsia="zh-CN"/>
                      <w14:textFill>
                        <w14:solidFill>
                          <w14:schemeClr w14:val="tx1"/>
                        </w14:solidFill>
                      </w14:textFill>
                    </w:rPr>
                    <w:t>宣汉县</w:t>
                  </w:r>
                </w:p>
              </w:tc>
              <w:tc>
                <w:tcPr>
                  <w:tcW w:w="873" w:type="dxa"/>
                  <w:tcBorders>
                    <w:top w:val="single" w:color="auto" w:sz="4" w:space="0"/>
                    <w:left w:val="single" w:color="auto" w:sz="4" w:space="0"/>
                    <w:bottom w:val="single" w:color="auto" w:sz="4" w:space="0"/>
                    <w:right w:val="single" w:color="auto" w:sz="4" w:space="0"/>
                  </w:tcBorders>
                  <w:vAlign w:val="center"/>
                </w:tcPr>
                <w:p>
                  <w:pPr>
                    <w:pStyle w:val="42"/>
                    <w:jc w:val="center"/>
                    <w:rPr>
                      <w:rFonts w:hint="eastAsia" w:hAnsi="Times New Roman" w:eastAsia="宋体"/>
                      <w:color w:val="000000" w:themeColor="text1"/>
                      <w:lang w:eastAsia="zh-CN"/>
                      <w14:textFill>
                        <w14:solidFill>
                          <w14:schemeClr w14:val="tx1"/>
                        </w14:solidFill>
                      </w14:textFill>
                    </w:rPr>
                  </w:pPr>
                  <w:r>
                    <w:rPr>
                      <w:rFonts w:hint="eastAsia" w:hAnsi="Times New Roman"/>
                      <w:color w:val="000000" w:themeColor="text1"/>
                      <w:lang w:val="en-US" w:eastAsia="zh-CN"/>
                      <w14:textFill>
                        <w14:solidFill>
                          <w14:schemeClr w14:val="tx1"/>
                        </w14:solidFill>
                      </w14:textFill>
                    </w:rPr>
                    <w:t>/</w:t>
                  </w:r>
                </w:p>
              </w:tc>
              <w:tc>
                <w:tcPr>
                  <w:tcW w:w="3018" w:type="dxa"/>
                  <w:tcBorders>
                    <w:top w:val="single" w:color="auto" w:sz="4" w:space="0"/>
                    <w:left w:val="single" w:color="auto" w:sz="4" w:space="0"/>
                    <w:bottom w:val="single" w:color="auto" w:sz="4" w:space="0"/>
                    <w:right w:val="single" w:color="auto" w:sz="4" w:space="0"/>
                  </w:tcBorders>
                  <w:vAlign w:val="center"/>
                </w:tcPr>
                <w:p>
                  <w:pPr>
                    <w:pStyle w:val="42"/>
                    <w:jc w:val="center"/>
                    <w:rPr>
                      <w:rFonts w:hint="eastAsia" w:hAnsi="Times New Roman" w:eastAsia="宋体"/>
                      <w:color w:val="000000" w:themeColor="text1"/>
                      <w:lang w:eastAsia="zh-CN"/>
                      <w14:textFill>
                        <w14:solidFill>
                          <w14:schemeClr w14:val="tx1"/>
                        </w14:solidFill>
                      </w14:textFill>
                    </w:rPr>
                  </w:pPr>
                  <w:r>
                    <w:rPr>
                      <w:rFonts w:hint="eastAsia" w:hAnsi="Times New Roman"/>
                      <w:color w:val="000000" w:themeColor="text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888" w:type="dxa"/>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地理坐标</w:t>
                  </w:r>
                </w:p>
              </w:tc>
              <w:tc>
                <w:tcPr>
                  <w:tcW w:w="7422" w:type="dxa"/>
                  <w:gridSpan w:val="5"/>
                  <w:tcBorders>
                    <w:top w:val="single" w:color="auto" w:sz="4" w:space="0"/>
                    <w:left w:val="single" w:color="auto" w:sz="4" w:space="0"/>
                    <w:bottom w:val="single" w:color="auto" w:sz="4" w:space="0"/>
                    <w:right w:val="single" w:color="auto" w:sz="4" w:space="0"/>
                  </w:tcBorders>
                  <w:vAlign w:val="center"/>
                </w:tcPr>
                <w:p>
                  <w:pPr>
                    <w:pStyle w:val="42"/>
                    <w:rPr>
                      <w:rFonts w:hint="default" w:hAnsi="Times New Roman"/>
                      <w:color w:val="000000" w:themeColor="text1"/>
                      <w:lang w:val="en-US"/>
                      <w14:textFill>
                        <w14:solidFill>
                          <w14:schemeClr w14:val="tx1"/>
                        </w14:solidFill>
                      </w14:textFill>
                    </w:rPr>
                  </w:pPr>
                  <w:r>
                    <w:rPr>
                      <w:rFonts w:hint="eastAsia" w:hAnsi="Times New Roman"/>
                      <w:color w:val="000000" w:themeColor="text1"/>
                      <w:lang w:val="en-US" w:eastAsia="zh-CN"/>
                      <w14:textFill>
                        <w14:solidFill>
                          <w14:schemeClr w14:val="tx1"/>
                        </w14:solidFill>
                      </w14:textFill>
                    </w:rPr>
                    <w:t>见正文。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8" w:type="dxa"/>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主要危险物质及分布</w:t>
                  </w:r>
                </w:p>
              </w:tc>
              <w:tc>
                <w:tcPr>
                  <w:tcW w:w="7422" w:type="dxa"/>
                  <w:gridSpan w:val="5"/>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int="eastAsia" w:hAnsi="Times New Roman"/>
                      <w:color w:val="000000" w:themeColor="text1"/>
                      <w14:textFill>
                        <w14:solidFill>
                          <w14:schemeClr w14:val="tx1"/>
                        </w14:solidFill>
                      </w14:textFill>
                    </w:rPr>
                    <w:t>施工期使用的油类物质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8" w:type="dxa"/>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环境影响途径及危害后果（大气、地表水、地下水等）</w:t>
                  </w:r>
                </w:p>
              </w:tc>
              <w:tc>
                <w:tcPr>
                  <w:tcW w:w="7422" w:type="dxa"/>
                  <w:gridSpan w:val="5"/>
                  <w:tcBorders>
                    <w:top w:val="single" w:color="auto" w:sz="4" w:space="0"/>
                    <w:left w:val="single" w:color="auto" w:sz="4" w:space="0"/>
                    <w:bottom w:val="single" w:color="auto" w:sz="4" w:space="0"/>
                    <w:right w:val="single" w:color="auto" w:sz="4" w:space="0"/>
                  </w:tcBorders>
                  <w:vAlign w:val="center"/>
                </w:tcPr>
                <w:p>
                  <w:pPr>
                    <w:pStyle w:val="42"/>
                    <w:rPr>
                      <w:rFonts w:hAnsi="Times New Roman"/>
                      <w:color w:val="000000" w:themeColor="text1"/>
                      <w14:textFill>
                        <w14:solidFill>
                          <w14:schemeClr w14:val="tx1"/>
                        </w14:solidFill>
                      </w14:textFill>
                    </w:rPr>
                  </w:pPr>
                  <w:r>
                    <w:rPr>
                      <w:rFonts w:hint="eastAsia" w:hAnsi="Times New Roman"/>
                      <w:color w:val="000000" w:themeColor="text1"/>
                      <w14:textFill>
                        <w14:solidFill>
                          <w14:schemeClr w14:val="tx1"/>
                        </w14:solidFill>
                      </w14:textFill>
                    </w:rPr>
                    <w:t>油类物质发生泄露、机械设备的跑冒滴漏对土壤及地下水环境产生影响。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8" w:type="dxa"/>
                  <w:tcBorders>
                    <w:top w:val="single" w:color="auto" w:sz="4" w:space="0"/>
                    <w:left w:val="single" w:color="auto" w:sz="4" w:space="0"/>
                    <w:bottom w:val="single" w:color="auto" w:sz="4" w:space="0"/>
                    <w:right w:val="single" w:color="auto" w:sz="4" w:space="0"/>
                  </w:tcBorders>
                  <w:vAlign w:val="center"/>
                </w:tcPr>
                <w:p>
                  <w:pPr>
                    <w:pStyle w:val="42"/>
                    <w:jc w:val="center"/>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风险防范措施要求</w:t>
                  </w:r>
                </w:p>
              </w:tc>
              <w:tc>
                <w:tcPr>
                  <w:tcW w:w="7422" w:type="dxa"/>
                  <w:gridSpan w:val="5"/>
                  <w:tcBorders>
                    <w:top w:val="single" w:color="auto" w:sz="4" w:space="0"/>
                    <w:left w:val="single" w:color="auto" w:sz="4" w:space="0"/>
                    <w:bottom w:val="single" w:color="auto" w:sz="4" w:space="0"/>
                    <w:right w:val="single" w:color="auto" w:sz="4" w:space="0"/>
                  </w:tcBorders>
                  <w:vAlign w:val="center"/>
                </w:tcPr>
                <w:p>
                  <w:pPr>
                    <w:pStyle w:val="42"/>
                    <w:rPr>
                      <w:rFonts w:hAnsi="Times New Roman"/>
                      <w:color w:val="000000" w:themeColor="text1"/>
                      <w14:textFill>
                        <w14:solidFill>
                          <w14:schemeClr w14:val="tx1"/>
                        </w14:solidFill>
                      </w14:textFill>
                    </w:rPr>
                  </w:pPr>
                  <w:r>
                    <w:rPr>
                      <w:rFonts w:hint="eastAsia" w:hAnsi="Times New Roman"/>
                      <w:color w:val="000000" w:themeColor="text1"/>
                      <w14:textFill>
                        <w14:solidFill>
                          <w14:schemeClr w14:val="tx1"/>
                        </w14:solidFill>
                      </w14:textFill>
                    </w:rPr>
                    <w:t>加强施工期油类物质管理，控制作业区域油类物质存放量，使用完整包装；对施工设备进行定期检修和维护，避免油类物质跑冒滴漏现象发生。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gridSpan w:val="6"/>
                  <w:tcBorders>
                    <w:top w:val="single" w:color="auto" w:sz="4" w:space="0"/>
                    <w:left w:val="single" w:color="auto" w:sz="4" w:space="0"/>
                    <w:bottom w:val="single" w:color="auto" w:sz="4" w:space="0"/>
                    <w:right w:val="single" w:color="auto" w:sz="4" w:space="0"/>
                  </w:tcBorders>
                  <w:vAlign w:val="center"/>
                </w:tcPr>
                <w:p>
                  <w:pPr>
                    <w:pStyle w:val="42"/>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填表说明（列出项目相关信息及评价说明）：</w:t>
                  </w:r>
                </w:p>
                <w:p>
                  <w:pPr>
                    <w:pStyle w:val="42"/>
                    <w:rPr>
                      <w:rFonts w:hAnsi="Times New Roman"/>
                      <w:color w:val="000000" w:themeColor="text1"/>
                      <w14:textFill>
                        <w14:solidFill>
                          <w14:schemeClr w14:val="tx1"/>
                        </w14:solidFill>
                      </w14:textFill>
                    </w:rPr>
                  </w:pPr>
                  <w:r>
                    <w:rPr>
                      <w:rFonts w:hAnsi="Times New Roman"/>
                      <w:color w:val="000000" w:themeColor="text1"/>
                      <w14:textFill>
                        <w14:solidFill>
                          <w14:schemeClr w14:val="tx1"/>
                        </w14:solidFill>
                      </w14:textFill>
                    </w:rPr>
                    <w:t>本项目</w:t>
                  </w:r>
                  <w:r>
                    <w:rPr>
                      <w:rFonts w:hint="eastAsia" w:hAnsi="Times New Roman"/>
                      <w:color w:val="000000" w:themeColor="text1"/>
                      <w14:textFill>
                        <w14:solidFill>
                          <w14:schemeClr w14:val="tx1"/>
                        </w14:solidFill>
                      </w14:textFill>
                    </w:rPr>
                    <w:t>仅施工期</w:t>
                  </w:r>
                  <w:r>
                    <w:rPr>
                      <w:rFonts w:hAnsi="Times New Roman"/>
                      <w:color w:val="000000" w:themeColor="text1"/>
                      <w14:textFill>
                        <w14:solidFill>
                          <w14:schemeClr w14:val="tx1"/>
                        </w14:solidFill>
                      </w14:textFill>
                    </w:rPr>
                    <w:t>涉及</w:t>
                  </w:r>
                  <w:r>
                    <w:rPr>
                      <w:rFonts w:hint="eastAsia" w:hAnsi="Times New Roman"/>
                      <w:color w:val="000000" w:themeColor="text1"/>
                      <w14:textFill>
                        <w14:solidFill>
                          <w14:schemeClr w14:val="tx1"/>
                        </w14:solidFill>
                      </w14:textFill>
                    </w:rPr>
                    <w:t>少量油类</w:t>
                  </w:r>
                  <w:r>
                    <w:rPr>
                      <w:rFonts w:hAnsi="Times New Roman"/>
                      <w:color w:val="000000" w:themeColor="text1"/>
                      <w14:textFill>
                        <w14:solidFill>
                          <w14:schemeClr w14:val="tx1"/>
                        </w14:solidFill>
                      </w14:textFill>
                    </w:rPr>
                    <w:t>使用</w:t>
                  </w:r>
                  <w:r>
                    <w:rPr>
                      <w:rFonts w:hint="eastAsia" w:hAnsi="Times New Roman"/>
                      <w:color w:val="000000" w:themeColor="text1"/>
                      <w14:textFill>
                        <w14:solidFill>
                          <w14:schemeClr w14:val="tx1"/>
                        </w14:solidFill>
                      </w14:textFill>
                    </w:rPr>
                    <w:t>，营运期本身无风险源，</w:t>
                  </w:r>
                  <w:r>
                    <w:rPr>
                      <w:rFonts w:hAnsi="Times New Roman"/>
                      <w:color w:val="000000" w:themeColor="text1"/>
                      <w14:textFill>
                        <w14:solidFill>
                          <w14:schemeClr w14:val="tx1"/>
                        </w14:solidFill>
                      </w14:textFill>
                    </w:rPr>
                    <w:t>项目环境风险潜势为I，评价等级为简单分析，在落实环评提出的风险防范措施后，环境风险可控。</w:t>
                  </w:r>
                </w:p>
              </w:tc>
            </w:tr>
          </w:tbl>
          <w:p>
            <w:pPr>
              <w:pStyle w:val="55"/>
              <w:ind w:firstLine="48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综上所述，本项目环境风险潜势为I，营运期落实本报告提出的各项措施、建立和落实各项风险防范措施，可使项目</w:t>
            </w:r>
            <w:r>
              <w:rPr>
                <w:rFonts w:hint="eastAsia" w:ascii="Times New Roman" w:hAnsi="Times New Roman" w:cs="Times New Roman"/>
                <w:color w:val="000000" w:themeColor="text1"/>
                <w14:textFill>
                  <w14:solidFill>
                    <w14:schemeClr w14:val="tx1"/>
                  </w14:solidFill>
                </w14:textFill>
              </w:rPr>
              <w:t>环境</w:t>
            </w:r>
            <w:r>
              <w:rPr>
                <w:rFonts w:ascii="Times New Roman" w:hAnsi="Times New Roman" w:cs="Times New Roman"/>
                <w:color w:val="000000" w:themeColor="text1"/>
                <w14:textFill>
                  <w14:solidFill>
                    <w14:schemeClr w14:val="tx1"/>
                  </w14:solidFill>
                </w14:textFill>
              </w:rPr>
              <w:t>风险水平处于可接受程度。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autoSpaceDE w:val="0"/>
              <w:autoSpaceDN w:val="0"/>
              <w:adjustRightInd w:val="0"/>
              <w:snapToGrid w:val="0"/>
              <w:spacing w:line="360" w:lineRule="auto"/>
              <w:jc w:val="center"/>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选址选线环境合理性分析</w:t>
            </w:r>
          </w:p>
        </w:tc>
        <w:tc>
          <w:tcPr>
            <w:tcW w:w="9536" w:type="dxa"/>
            <w:vAlign w:val="center"/>
          </w:tcPr>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 w:val="24"/>
                <w:szCs w:val="24"/>
                <w14:textFill>
                  <w14:solidFill>
                    <w14:schemeClr w14:val="tx1"/>
                  </w14:solidFill>
                </w14:textFill>
              </w:rPr>
              <w:t>1、项目选线选址合理性分析</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现有渠道、管道整治不涉及选址选线。</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b w:val="0"/>
                <w:bCs w:val="0"/>
                <w:kern w:val="0"/>
                <w:sz w:val="24"/>
                <w:szCs w:val="24"/>
                <w:lang w:val="en-US" w:eastAsia="zh-CN"/>
              </w:rPr>
              <w:t>对于新建管道19.763km，布置走向与灌区建设规划及灌区现状相结合，实现管道对灌区具有较好的控灌性，尽可能增大灌区自流灌溉比例，尽量缩短线路长度，避免穿过集中居民点和其他交叉线物较多的区域，便于管道施工和维护，保证输水安全，根据设计方案，新建管道走向唯一，无比选方案。且输水管道以暗管为主，回填后对环境的影响基本消失，从环境保护而言，工程渠道/管线走向布局合理</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本项目</w:t>
            </w:r>
            <w:r>
              <w:rPr>
                <w:rFonts w:hint="eastAsia" w:ascii="Times New Roman" w:hAnsi="Times New Roman" w:cs="Times New Roman"/>
                <w:color w:val="000000" w:themeColor="text1"/>
                <w:sz w:val="24"/>
                <w:szCs w:val="24"/>
                <w:lang w:val="en-US" w:eastAsia="zh-CN"/>
                <w14:textFill>
                  <w14:solidFill>
                    <w14:schemeClr w14:val="tx1"/>
                  </w14:solidFill>
                </w14:textFill>
              </w:rPr>
              <w:t>施工</w:t>
            </w:r>
            <w:r>
              <w:rPr>
                <w:rFonts w:ascii="Times New Roman" w:hAnsi="Times New Roman" w:cs="Times New Roman"/>
                <w:color w:val="000000" w:themeColor="text1"/>
                <w:sz w:val="24"/>
                <w:szCs w:val="24"/>
                <w14:textFill>
                  <w14:solidFill>
                    <w14:schemeClr w14:val="tx1"/>
                  </w14:solidFill>
                </w14:textFill>
              </w:rPr>
              <w:t>区域</w:t>
            </w:r>
            <w:r>
              <w:rPr>
                <w:rFonts w:hint="eastAsia" w:ascii="Times New Roman" w:hAnsi="Times New Roman" w:cs="Times New Roman"/>
                <w:color w:val="000000" w:themeColor="text1"/>
                <w:sz w:val="24"/>
                <w:szCs w:val="24"/>
                <w:lang w:val="en-US" w:eastAsia="zh-CN"/>
                <w14:textFill>
                  <w14:solidFill>
                    <w14:schemeClr w14:val="tx1"/>
                  </w14:solidFill>
                </w14:textFill>
              </w:rPr>
              <w:t>内</w:t>
            </w:r>
            <w:r>
              <w:rPr>
                <w:rFonts w:ascii="Times New Roman" w:hAnsi="Times New Roman" w:cs="Times New Roman"/>
                <w:color w:val="000000" w:themeColor="text1"/>
                <w:sz w:val="24"/>
                <w:szCs w:val="24"/>
                <w14:textFill>
                  <w14:solidFill>
                    <w14:schemeClr w14:val="tx1"/>
                  </w14:solidFill>
                </w14:textFill>
              </w:rPr>
              <w:t>无饮用水源取水口和饮用水源保护区</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选址选线不涉及</w:t>
            </w:r>
            <w:r>
              <w:rPr>
                <w:rFonts w:ascii="Times New Roman" w:hAnsi="Times New Roman" w:cs="Times New Roman"/>
                <w:color w:val="000000" w:themeColor="text1"/>
                <w:sz w:val="24"/>
                <w:szCs w:val="24"/>
                <w14:textFill>
                  <w14:solidFill>
                    <w14:schemeClr w14:val="tx1"/>
                  </w14:solidFill>
                </w14:textFill>
              </w:rPr>
              <w:t>自然保护区、风景名胜区、文物保护、名胜古迹等需特殊保护的环境敏感目标，项目外环境关系简单，无其他重大环境制约因素。</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因此，本项目与周围环境相容</w:t>
            </w:r>
            <w:r>
              <w:rPr>
                <w:rFonts w:hint="eastAsia" w:ascii="Times New Roman" w:hAnsi="Times New Roman" w:cs="Times New Roman"/>
                <w:color w:val="000000" w:themeColor="text1"/>
                <w:sz w:val="24"/>
                <w:szCs w:val="24"/>
                <w14:textFill>
                  <w14:solidFill>
                    <w14:schemeClr w14:val="tx1"/>
                  </w14:solidFill>
                </w14:textFill>
              </w:rPr>
              <w:t>，选址合理</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 w:val="24"/>
                <w:szCs w:val="24"/>
                <w14:textFill>
                  <w14:solidFill>
                    <w14:schemeClr w14:val="tx1"/>
                  </w14:solidFill>
                </w14:textFill>
              </w:rPr>
              <w:t>2、临时工程选址合理性分析</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临时工程选址见图2-</w:t>
            </w:r>
            <w:r>
              <w:rPr>
                <w:rFonts w:hint="eastAsia" w:ascii="Times New Roman" w:hAnsi="Times New Roman" w:cs="Times New Roman"/>
                <w:color w:val="000000" w:themeColor="text1"/>
                <w:sz w:val="24"/>
                <w:szCs w:val="24"/>
                <w:lang w:val="en-US" w:eastAsia="zh-CN"/>
                <w14:textFill>
                  <w14:solidFill>
                    <w14:schemeClr w14:val="tx1"/>
                  </w14:solidFill>
                </w14:textFill>
              </w:rPr>
              <w:t>7</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kern w:val="0"/>
                <w:sz w:val="24"/>
                <w:szCs w:val="24"/>
                <w14:textFill>
                  <w14:solidFill>
                    <w14:schemeClr w14:val="tx1"/>
                  </w14:solidFill>
                </w14:textFill>
              </w:rPr>
              <w:t>根据施工现场布置，本项目设有</w:t>
            </w:r>
            <w:r>
              <w:rPr>
                <w:rFonts w:hint="eastAsia" w:ascii="Times New Roman" w:hAnsi="Times New Roman" w:cs="Times New Roman"/>
                <w:color w:val="000000" w:themeColor="text1"/>
                <w:kern w:val="0"/>
                <w:sz w:val="24"/>
                <w:szCs w:val="24"/>
                <w14:textFill>
                  <w14:solidFill>
                    <w14:schemeClr w14:val="tx1"/>
                  </w14:solidFill>
                </w14:textFill>
              </w:rPr>
              <w:t>临时</w:t>
            </w:r>
            <w:r>
              <w:rPr>
                <w:rFonts w:ascii="Times New Roman" w:hAnsi="Times New Roman" w:cs="Times New Roman"/>
                <w:color w:val="000000" w:themeColor="text1"/>
                <w:kern w:val="0"/>
                <w:sz w:val="24"/>
                <w:szCs w:val="24"/>
                <w14:textFill>
                  <w14:solidFill>
                    <w14:schemeClr w14:val="tx1"/>
                  </w14:solidFill>
                </w14:textFill>
              </w:rPr>
              <w:t>施工场地、临时堆土场</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及淤泥堆放场</w:t>
            </w:r>
            <w:r>
              <w:rPr>
                <w:rFonts w:hint="eastAsia" w:ascii="Times New Roman" w:hAnsi="Times New Roman" w:cs="Times New Roman"/>
                <w:color w:val="000000" w:themeColor="text1"/>
                <w:kern w:val="0"/>
                <w:sz w:val="24"/>
                <w:szCs w:val="24"/>
                <w14:textFill>
                  <w14:solidFill>
                    <w14:schemeClr w14:val="tx1"/>
                  </w14:solidFill>
                </w14:textFill>
              </w:rPr>
              <w:t>等</w:t>
            </w:r>
            <w:r>
              <w:rPr>
                <w:rFonts w:ascii="Times New Roman" w:hAnsi="Times New Roman" w:cs="Times New Roman"/>
                <w:color w:val="000000" w:themeColor="text1"/>
                <w:kern w:val="0"/>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ascii="Times New Roman" w:hAnsi="Times New Roman" w:cs="Times New Roman"/>
                <w:color w:val="000000" w:themeColor="text1"/>
                <w:kern w:val="0"/>
                <w:sz w:val="24"/>
                <w:szCs w:val="24"/>
                <w14:textFill>
                  <w14:solidFill>
                    <w14:schemeClr w14:val="tx1"/>
                  </w14:solidFill>
                </w14:textFill>
              </w:rPr>
              <w:t>（1）</w:t>
            </w:r>
            <w:r>
              <w:rPr>
                <w:rFonts w:hint="eastAsia" w:ascii="Times New Roman" w:hAnsi="Times New Roman" w:cs="Times New Roman"/>
                <w:color w:val="000000" w:themeColor="text1"/>
                <w:kern w:val="0"/>
                <w:sz w:val="24"/>
                <w:szCs w:val="24"/>
                <w14:textFill>
                  <w14:solidFill>
                    <w14:schemeClr w14:val="tx1"/>
                  </w14:solidFill>
                </w14:textFill>
              </w:rPr>
              <w:t>临时</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施工</w:t>
            </w:r>
            <w:r>
              <w:rPr>
                <w:rFonts w:ascii="Times New Roman" w:hAnsi="Times New Roman" w:cs="Times New Roman"/>
                <w:color w:val="000000" w:themeColor="text1"/>
                <w:kern w:val="0"/>
                <w:sz w:val="24"/>
                <w:szCs w:val="24"/>
                <w14:textFill>
                  <w14:solidFill>
                    <w14:schemeClr w14:val="tx1"/>
                  </w14:solidFill>
                </w14:textFill>
              </w:rPr>
              <w:t>场地</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14个灌区工程分别设置1个，共计14个，施工便道依托周边已建道路不再单独设置。临时施工场地</w:t>
            </w:r>
            <w:r>
              <w:rPr>
                <w:rFonts w:ascii="Times New Roman" w:hAnsi="Times New Roman" w:cs="Times New Roman"/>
                <w:color w:val="000000" w:themeColor="text1"/>
                <w:sz w:val="24"/>
                <w:szCs w:val="24"/>
                <w14:textFill>
                  <w14:solidFill>
                    <w14:schemeClr w14:val="tx1"/>
                  </w14:solidFill>
                </w14:textFill>
              </w:rPr>
              <w:t>主要功能为施工机械临时停放点、钢筋</w:t>
            </w:r>
            <w:r>
              <w:rPr>
                <w:rFonts w:hint="eastAsia" w:ascii="Times New Roman" w:hAnsi="Times New Roman" w:cs="Times New Roman"/>
                <w:color w:val="000000" w:themeColor="text1"/>
                <w:sz w:val="24"/>
                <w:szCs w:val="24"/>
                <w:lang w:val="en-US" w:eastAsia="zh-CN"/>
                <w14:textFill>
                  <w14:solidFill>
                    <w14:schemeClr w14:val="tx1"/>
                  </w14:solidFill>
                </w14:textFill>
              </w:rPr>
              <w:t>加工</w:t>
            </w:r>
            <w:r>
              <w:rPr>
                <w:rFonts w:ascii="Times New Roman" w:hAnsi="Times New Roman" w:cs="Times New Roman"/>
                <w:color w:val="000000" w:themeColor="text1"/>
                <w:sz w:val="24"/>
                <w:szCs w:val="24"/>
                <w14:textFill>
                  <w14:solidFill>
                    <w14:schemeClr w14:val="tx1"/>
                  </w14:solidFill>
                </w14:textFill>
              </w:rPr>
              <w:t>、施工物料临时堆场和材料预加工场等</w:t>
            </w:r>
            <w:r>
              <w:rPr>
                <w:rFonts w:hint="eastAsia"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2</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临时堆土场</w:t>
            </w:r>
          </w:p>
          <w:p>
            <w:pPr>
              <w:autoSpaceDE w:val="0"/>
              <w:autoSpaceDN w:val="0"/>
              <w:adjustRightInd w:val="0"/>
              <w:snapToGrid w:val="0"/>
              <w:spacing w:line="360" w:lineRule="auto"/>
              <w:ind w:firstLine="480" w:firstLineChars="200"/>
              <w:rPr>
                <w:rFonts w:hint="eastAsia" w:ascii="Times New Roman" w:hAnsi="Times New Roman" w:cs="Times New Roman" w:eastAsiaTheme="minorEastAsia"/>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14个灌区工程分别设置1个，共计14个。</w:t>
            </w:r>
            <w:r>
              <w:rPr>
                <w:rFonts w:hint="eastAsia" w:ascii="Times New Roman" w:hAnsi="Times New Roman" w:cs="Times New Roman"/>
                <w:color w:val="000000" w:themeColor="text1"/>
                <w:sz w:val="24"/>
                <w:szCs w:val="24"/>
                <w14:textFill>
                  <w14:solidFill>
                    <w14:schemeClr w14:val="tx1"/>
                  </w14:solidFill>
                </w14:textFill>
              </w:rPr>
              <w:t>临时堆土场主要功能为剥离表土和开挖土石方的堆放</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采用分层开挖、分层堆放、反序回填</w:t>
            </w:r>
            <w:r>
              <w:rPr>
                <w:rFonts w:hint="eastAsia" w:ascii="Times New Roman" w:hAnsi="Times New Roman" w:cs="Times New Roman"/>
                <w:color w:val="000000" w:themeColor="text1"/>
                <w:sz w:val="24"/>
                <w:szCs w:val="24"/>
                <w:lang w:eastAsia="zh-CN"/>
                <w14:textFill>
                  <w14:solidFill>
                    <w14:schemeClr w14:val="tx1"/>
                  </w14:solidFill>
                </w14:textFill>
              </w:rPr>
              <w:t>。</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淤泥堆放场</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11个灌区（3处灌区不清淤）工程分别设置1个，共计11个，对渠道整治清理出的淤泥沉积物进行脱水干化后用于临时占地平整，</w:t>
            </w:r>
            <w:r>
              <w:rPr>
                <w:rFonts w:hint="eastAsia" w:ascii="Times New Roman" w:hAnsi="Times New Roman" w:cs="Times New Roman"/>
                <w:color w:val="000000" w:themeColor="text1"/>
                <w:sz w:val="24"/>
                <w:szCs w:val="24"/>
                <w:lang w:val="en-US" w:eastAsia="zh-CN"/>
                <w14:textFill>
                  <w14:solidFill>
                    <w14:schemeClr w14:val="tx1"/>
                  </w14:solidFill>
                </w14:textFill>
              </w:rPr>
              <w:t>不外排</w:t>
            </w:r>
            <w:r>
              <w:rPr>
                <w:rFonts w:ascii="Times New Roman" w:hAnsi="Times New Roman" w:cs="Times New Roman"/>
                <w:color w:val="000000" w:themeColor="text1"/>
                <w:sz w:val="24"/>
                <w:szCs w:val="24"/>
                <w14:textFill>
                  <w14:solidFill>
                    <w14:schemeClr w14:val="tx1"/>
                  </w14:solidFill>
                </w14:textFill>
              </w:rPr>
              <w:t>。</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sz w:val="24"/>
                <w:szCs w:val="24"/>
                <w14:textFill>
                  <w14:solidFill>
                    <w14:schemeClr w14:val="tx1"/>
                  </w14:solidFill>
                </w14:textFill>
              </w:rPr>
            </w:pPr>
            <w:r>
              <w:rPr>
                <w:rFonts w:hint="eastAsia" w:ascii="Times New Roman" w:hAnsi="Times New Roman" w:cs="Times New Roman"/>
                <w:b/>
                <w:bCs/>
                <w:color w:val="000000" w:themeColor="text1"/>
                <w:sz w:val="24"/>
                <w:szCs w:val="24"/>
                <w14:textFill>
                  <w14:solidFill>
                    <w14:schemeClr w14:val="tx1"/>
                  </w14:solidFill>
                </w14:textFill>
              </w:rPr>
              <w:t>临时工程选址合理性分析：</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为减少生态扰动，</w:t>
            </w:r>
            <w:r>
              <w:rPr>
                <w:rFonts w:ascii="Times New Roman" w:hAnsi="Times New Roman" w:cs="Times New Roman"/>
                <w:color w:val="000000" w:themeColor="text1"/>
                <w:sz w:val="24"/>
                <w:szCs w:val="24"/>
                <w14:textFill>
                  <w14:solidFill>
                    <w14:schemeClr w14:val="tx1"/>
                  </w14:solidFill>
                </w14:textFill>
              </w:rPr>
              <w:t>临时堆土场</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临时</w:t>
            </w:r>
            <w:r>
              <w:rPr>
                <w:rFonts w:ascii="Times New Roman" w:hAnsi="Times New Roman" w:cs="Times New Roman"/>
                <w:color w:val="000000" w:themeColor="text1"/>
                <w:sz w:val="24"/>
                <w:szCs w:val="24"/>
                <w14:textFill>
                  <w14:solidFill>
                    <w14:schemeClr w14:val="tx1"/>
                  </w14:solidFill>
                </w14:textFill>
              </w:rPr>
              <w:t>施工场地</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淤泥堆放场</w:t>
            </w:r>
            <w:r>
              <w:rPr>
                <w:rFonts w:hint="eastAsia" w:ascii="Times New Roman" w:hAnsi="Times New Roman" w:cs="Times New Roman"/>
                <w:color w:val="000000" w:themeColor="text1"/>
                <w:sz w:val="24"/>
                <w:szCs w:val="24"/>
                <w14:textFill>
                  <w14:solidFill>
                    <w14:schemeClr w14:val="tx1"/>
                  </w14:solidFill>
                </w14:textFill>
              </w:rPr>
              <w:t>紧邻布置，</w:t>
            </w:r>
            <w:r>
              <w:rPr>
                <w:rFonts w:hint="eastAsia" w:ascii="Times New Roman" w:hAnsi="Times New Roman" w:cs="Times New Roman"/>
                <w:color w:val="000000" w:themeColor="text1"/>
                <w:sz w:val="24"/>
                <w:szCs w:val="24"/>
                <w:lang w:val="en-US" w:eastAsia="zh-CN"/>
                <w14:textFill>
                  <w14:solidFill>
                    <w14:schemeClr w14:val="tx1"/>
                  </w14:solidFill>
                </w14:textFill>
              </w:rPr>
              <w:t>占地类型以荒地、未利用地为主，不占用耕地</w:t>
            </w:r>
            <w:r>
              <w:rPr>
                <w:rFonts w:hint="eastAsia"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选址综合考虑远离周边集中居住区</w:t>
            </w:r>
            <w:r>
              <w:rPr>
                <w:rFonts w:hint="eastAsia"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同时靠近现有村道，便于</w:t>
            </w:r>
            <w:r>
              <w:rPr>
                <w:rFonts w:hint="eastAsia" w:ascii="Times New Roman" w:hAnsi="Times New Roman" w:cs="Times New Roman"/>
                <w:color w:val="000000" w:themeColor="text1"/>
                <w:sz w:val="24"/>
                <w:szCs w:val="24"/>
                <w14:textFill>
                  <w14:solidFill>
                    <w14:schemeClr w14:val="tx1"/>
                  </w14:solidFill>
                </w14:textFill>
              </w:rPr>
              <w:t>土石方</w:t>
            </w:r>
            <w:r>
              <w:rPr>
                <w:rFonts w:hint="eastAsia" w:ascii="Times New Roman" w:hAnsi="Times New Roman" w:cs="Times New Roman"/>
                <w:color w:val="000000" w:themeColor="text1"/>
                <w:sz w:val="24"/>
                <w:szCs w:val="24"/>
                <w:lang w:val="en-US" w:eastAsia="zh-CN"/>
                <w14:textFill>
                  <w14:solidFill>
                    <w14:schemeClr w14:val="tx1"/>
                  </w14:solidFill>
                </w14:textFill>
              </w:rPr>
              <w:t>和淤泥</w:t>
            </w:r>
            <w:r>
              <w:rPr>
                <w:rFonts w:hint="eastAsia" w:ascii="Times New Roman" w:hAnsi="Times New Roman" w:cs="Times New Roman"/>
                <w:color w:val="000000" w:themeColor="text1"/>
                <w:sz w:val="24"/>
                <w:szCs w:val="24"/>
                <w14:textFill>
                  <w14:solidFill>
                    <w14:schemeClr w14:val="tx1"/>
                  </w14:solidFill>
                </w14:textFill>
              </w:rPr>
              <w:t>的短距离运输，降低运输过程的污染物排放</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可不用再单独设置施工便道，减少地表扰动及对生态的破坏，故评价认为施工临时工程选址是从环境保护方面是合理的</w:t>
            </w:r>
            <w:r>
              <w:rPr>
                <w:rFonts w:hint="eastAsia" w:ascii="Times New Roman" w:hAnsi="Times New Roman" w:cs="Times New Roman"/>
                <w:color w:val="000000" w:themeColor="text1"/>
                <w:sz w:val="24"/>
                <w:szCs w:val="24"/>
                <w:lang w:eastAsia="zh-CN"/>
                <w14:textFill>
                  <w14:solidFill>
                    <w14:schemeClr w14:val="tx1"/>
                  </w14:solidFill>
                </w14:textFill>
              </w:rPr>
              <w:t>。</w:t>
            </w:r>
          </w:p>
        </w:tc>
      </w:tr>
    </w:tbl>
    <w:p>
      <w:pPr>
        <w:adjustRightInd w:val="0"/>
        <w:snapToGrid w:val="0"/>
        <w:spacing w:line="288" w:lineRule="auto"/>
        <w:jc w:val="center"/>
        <w:rPr>
          <w:rFonts w:ascii="Times New Roman" w:hAnsi="Times New Roman" w:eastAsia="黑体" w:cs="Times New Roman"/>
          <w:sz w:val="30"/>
          <w:szCs w:val="30"/>
        </w:rPr>
        <w:sectPr>
          <w:pgSz w:w="11906" w:h="16838"/>
          <w:pgMar w:top="1440" w:right="1080" w:bottom="1440" w:left="1080" w:header="851" w:footer="992" w:gutter="0"/>
          <w:cols w:space="425" w:num="1"/>
          <w:docGrid w:type="lines" w:linePitch="312" w:charSpace="0"/>
        </w:sectPr>
      </w:pPr>
    </w:p>
    <w:p>
      <w:pPr>
        <w:pStyle w:val="22"/>
        <w:rPr>
          <w:rFonts w:ascii="Times New Roman" w:hAnsi="Times New Roman" w:cs="Times New Roman"/>
        </w:rPr>
      </w:pPr>
      <w:r>
        <w:rPr>
          <w:rFonts w:ascii="Times New Roman" w:hAnsi="Times New Roman" w:cs="Times New Roman"/>
        </w:rPr>
        <w:t>五、主要生态环境保护措施</w:t>
      </w:r>
    </w:p>
    <w:tbl>
      <w:tblPr>
        <w:tblStyle w:val="27"/>
        <w:tblW w:w="97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9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Cs w:val="21"/>
              </w:rPr>
              <w:t>施工期生态环境保护措施</w:t>
            </w:r>
          </w:p>
        </w:tc>
        <w:tc>
          <w:tcPr>
            <w:tcW w:w="9061" w:type="dxa"/>
            <w:vAlign w:val="center"/>
          </w:tcPr>
          <w:p>
            <w:pPr>
              <w:autoSpaceDE w:val="0"/>
              <w:autoSpaceDN w:val="0"/>
              <w:adjustRightInd w:val="0"/>
              <w:snapToGrid w:val="0"/>
              <w:spacing w:line="360" w:lineRule="auto"/>
              <w:rPr>
                <w:rFonts w:ascii="Times New Roman" w:hAnsi="Times New Roman" w:cs="Times New Roman"/>
                <w:b/>
                <w:bCs/>
                <w:sz w:val="24"/>
                <w:szCs w:val="24"/>
              </w:rPr>
            </w:pPr>
            <w:r>
              <w:rPr>
                <w:rFonts w:hint="eastAsia" w:ascii="Times New Roman" w:hAnsi="Times New Roman" w:cs="Times New Roman"/>
                <w:b/>
                <w:bCs/>
                <w:sz w:val="24"/>
                <w:szCs w:val="24"/>
              </w:rPr>
              <w:t>一</w:t>
            </w:r>
            <w:r>
              <w:rPr>
                <w:rFonts w:ascii="Times New Roman" w:hAnsi="Times New Roman" w:cs="Times New Roman"/>
                <w:b/>
                <w:bCs/>
                <w:sz w:val="24"/>
                <w:szCs w:val="24"/>
              </w:rPr>
              <w:t>、施工期大气环境保护措施</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施工过程中产生的大气污染物主要是施工扬尘、焊接烟尘、</w:t>
            </w:r>
            <w:r>
              <w:rPr>
                <w:rFonts w:hint="eastAsia" w:ascii="Times New Roman" w:hAnsi="Times New Roman" w:cs="Times New Roman"/>
                <w:sz w:val="24"/>
                <w:szCs w:val="24"/>
                <w:lang w:val="en-US" w:eastAsia="zh-CN"/>
              </w:rPr>
              <w:t>柴油发电机废气</w:t>
            </w:r>
            <w:r>
              <w:rPr>
                <w:rFonts w:hint="eastAsia" w:ascii="Times New Roman" w:hAnsi="Times New Roman" w:cs="Times New Roman"/>
                <w:sz w:val="24"/>
                <w:szCs w:val="24"/>
                <w:lang w:eastAsia="zh-CN"/>
              </w:rPr>
              <w:t>、</w:t>
            </w:r>
            <w:r>
              <w:rPr>
                <w:rFonts w:ascii="Times New Roman" w:hAnsi="Times New Roman" w:cs="Times New Roman"/>
                <w:sz w:val="24"/>
                <w:szCs w:val="24"/>
              </w:rPr>
              <w:t>施工机械车辆产生的汽车尾气和</w:t>
            </w:r>
            <w:r>
              <w:rPr>
                <w:rFonts w:hint="eastAsia" w:ascii="Times New Roman" w:hAnsi="Times New Roman" w:cs="Times New Roman"/>
                <w:sz w:val="24"/>
                <w:szCs w:val="24"/>
                <w:lang w:val="en-US" w:eastAsia="zh-CN"/>
              </w:rPr>
              <w:t>淤泥在转运、堆放过程</w:t>
            </w:r>
            <w:r>
              <w:rPr>
                <w:rFonts w:ascii="Times New Roman" w:hAnsi="Times New Roman" w:cs="Times New Roman"/>
                <w:sz w:val="24"/>
                <w:szCs w:val="24"/>
              </w:rPr>
              <w:t>产生的</w:t>
            </w:r>
            <w:r>
              <w:rPr>
                <w:rFonts w:hint="eastAsia" w:ascii="Times New Roman" w:hAnsi="Times New Roman" w:cs="Times New Roman"/>
                <w:sz w:val="24"/>
                <w:szCs w:val="24"/>
                <w:lang w:val="en-US" w:eastAsia="zh-CN"/>
              </w:rPr>
              <w:t>恶臭气体</w:t>
            </w:r>
            <w:r>
              <w:rPr>
                <w:rFonts w:ascii="Times New Roman" w:hAnsi="Times New Roman" w:cs="Times New Roman"/>
                <w:sz w:val="24"/>
                <w:szCs w:val="24"/>
              </w:rPr>
              <w:t>。</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本项目在施工建设中应严格按照《达州市扬尘污染防治暂行规定》、达州市“五治”要求及相关规定、《四川省灰霾污染防治实施方案》川环发</w:t>
            </w:r>
            <w:r>
              <w:rPr>
                <w:rFonts w:hint="eastAsia" w:ascii="Times New Roman" w:hAnsi="Times New Roman" w:cs="Times New Roman"/>
                <w:color w:val="000000" w:themeColor="text1"/>
                <w:sz w:val="24"/>
                <w:szCs w:val="24"/>
                <w:lang w:eastAsia="zh-CN"/>
                <w14:textFill>
                  <w14:solidFill>
                    <w14:schemeClr w14:val="tx1"/>
                  </w14:solidFill>
                </w14:textFill>
              </w:rPr>
              <w:t>〔2013〕</w:t>
            </w:r>
            <w:r>
              <w:rPr>
                <w:rFonts w:ascii="Times New Roman" w:hAnsi="Times New Roman" w:cs="Times New Roman"/>
                <w:color w:val="000000" w:themeColor="text1"/>
                <w:sz w:val="24"/>
                <w:szCs w:val="24"/>
                <w14:textFill>
                  <w14:solidFill>
                    <w14:schemeClr w14:val="tx1"/>
                  </w14:solidFill>
                </w14:textFill>
              </w:rPr>
              <w:t>78号文等相关扬尘防治管理规定进行施工建设，最大程度减少大气污染物产生的环境污染。本项目施工期需严格落实以下大气污染物治理措施：</w:t>
            </w:r>
            <w:r>
              <w:rPr>
                <w:rFonts w:ascii="Times New Roman" w:hAnsi="Times New Roman" w:cs="Times New Roman"/>
                <w:color w:val="000000" w:themeColor="text1"/>
                <w:sz w:val="24"/>
                <w:szCs w:val="24"/>
                <w14:textFill>
                  <w14:solidFill>
                    <w14:schemeClr w14:val="tx1"/>
                  </w14:solidFill>
                </w14:textFill>
              </w:rPr>
              <w:br w:type="textWrapping"/>
            </w:r>
            <w:r>
              <w:rPr>
                <w:rFonts w:ascii="Times New Roman" w:hAnsi="Times New Roman" w:cs="Times New Roman"/>
                <w:color w:val="000000" w:themeColor="text1"/>
                <w:sz w:val="24"/>
                <w:szCs w:val="24"/>
                <w14:textFill>
                  <w14:solidFill>
                    <w14:schemeClr w14:val="tx1"/>
                  </w14:solidFill>
                </w14:textFill>
              </w:rPr>
              <w:t xml:space="preserve">   </w:t>
            </w:r>
            <w:r>
              <w:rPr>
                <w:rFonts w:hint="eastAsia" w:ascii="Times New Roman" w:hAnsi="Times New Roman" w:cs="Times New Roman"/>
                <w:color w:val="000000" w:themeColor="text1"/>
                <w:sz w:val="24"/>
                <w:szCs w:val="24"/>
                <w14:textFill>
                  <w14:solidFill>
                    <w14:schemeClr w14:val="tx1"/>
                  </w14:solidFill>
                </w14:textFill>
              </w:rPr>
              <w:t>①严格执行“六必须六不准六个百分百”，“六个必须”，即必须打围作业、必须硬化道路、必须设置冲洗设施、必须湿法作业、必须配齐保洁人员、必须定时清扫施工现场；“六个不准”，即不准车辆带泥出门、不准高空抛撒建渣、不准现场搅拌混凝土、不准场地积水、不准现场焚烧废弃物、不准现场堆放未覆盖的裸土；“六个百分百”，即施工工地100%围挡、物料堆放100%覆盖、出入车辆100%冲洗、施工现场地面100%硬化、拆迁工地100%湿法作业、渣土车辆100%密闭运输。</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②</w:t>
            </w:r>
            <w:r>
              <w:rPr>
                <w:rFonts w:hint="eastAsia" w:ascii="Times New Roman" w:hAnsi="Times New Roman" w:cs="Times New Roman"/>
                <w:color w:val="000000" w:themeColor="text1"/>
                <w:sz w:val="24"/>
                <w:szCs w:val="24"/>
                <w:lang w:val="en-US" w:eastAsia="zh-CN"/>
                <w14:textFill>
                  <w14:solidFill>
                    <w14:schemeClr w14:val="tx1"/>
                  </w14:solidFill>
                </w14:textFill>
              </w:rPr>
              <w:t>靠近场镇集中居住区短施工设置</w:t>
            </w:r>
            <w:r>
              <w:rPr>
                <w:rFonts w:hint="eastAsia" w:ascii="Times New Roman" w:hAnsi="Times New Roman" w:cs="Times New Roman"/>
                <w:color w:val="000000" w:themeColor="text1"/>
                <w:sz w:val="24"/>
                <w:szCs w:val="24"/>
                <w14:textFill>
                  <w14:solidFill>
                    <w14:schemeClr w14:val="tx1"/>
                  </w14:solidFill>
                </w14:textFill>
              </w:rPr>
              <w:t>硬质密闭围挡（不低于1.8m），并保持卫生整洁。</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③</w:t>
            </w:r>
            <w:r>
              <w:rPr>
                <w:rFonts w:hint="eastAsia" w:ascii="Times New Roman" w:hAnsi="Times New Roman" w:cs="Times New Roman"/>
                <w:color w:val="000000" w:themeColor="text1"/>
                <w:sz w:val="24"/>
                <w:szCs w:val="24"/>
                <w:lang w:val="en-US" w:eastAsia="zh-CN"/>
                <w14:textFill>
                  <w14:solidFill>
                    <w14:schemeClr w14:val="tx1"/>
                  </w14:solidFill>
                </w14:textFill>
              </w:rPr>
              <w:t>临时施工</w:t>
            </w:r>
            <w:r>
              <w:rPr>
                <w:rFonts w:hint="eastAsia" w:ascii="Times New Roman" w:hAnsi="Times New Roman" w:cs="Times New Roman"/>
                <w:color w:val="000000" w:themeColor="text1"/>
                <w:sz w:val="24"/>
                <w:szCs w:val="24"/>
                <w14:textFill>
                  <w14:solidFill>
                    <w14:schemeClr w14:val="tx1"/>
                  </w14:solidFill>
                </w14:textFill>
              </w:rPr>
              <w:t>场地地坪硬化，施工现场进出口通道、场内道路，以及材料存放区、加工区等场所地坪，应采用混凝土硬化覆盖，并确保路面平整、坚实，能满足载重车辆通行要求。</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④施工现场进出口应设置冲洗平台、截水沟、沉淀池等车辆冲洗设施，并配置高压水枪或工具式冲洗设施。</w:t>
            </w:r>
          </w:p>
          <w:p>
            <w:pPr>
              <w:autoSpaceDE w:val="0"/>
              <w:autoSpaceDN w:val="0"/>
              <w:adjustRightInd w:val="0"/>
              <w:snapToGrid w:val="0"/>
              <w:spacing w:line="360" w:lineRule="auto"/>
              <w:ind w:firstLine="480" w:firstLineChars="200"/>
              <w:rPr>
                <w:rFonts w:hint="eastAsia"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⑤施工湿法作业，采取覆盖、分段作业、择时施工、洒水抑尘等措施防治扬尘污染。</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⑥建筑土方、工程渣土、建筑垃圾应当及时清运，在场地内堆存的，应当采用密闭式防尘网遮盖。</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⑦</w:t>
            </w:r>
            <w:r>
              <w:rPr>
                <w:rFonts w:hint="eastAsia" w:ascii="Times New Roman" w:hAnsi="Times New Roman" w:cs="Times New Roman"/>
                <w:color w:val="auto"/>
                <w:sz w:val="24"/>
                <w:szCs w:val="24"/>
                <w:lang w:val="en-US" w:eastAsia="zh-CN"/>
              </w:rPr>
              <w:t>渠道淤泥在转运时采用密闭运输，堆存时喷洒除臭生物药剂，及时干化后回填；选用自带除尘装置的柴油发电机，使用清洁0#柴油。</w:t>
            </w:r>
          </w:p>
          <w:p>
            <w:pPr>
              <w:autoSpaceDE w:val="0"/>
              <w:autoSpaceDN w:val="0"/>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14:textFill>
                  <w14:solidFill>
                    <w14:schemeClr w14:val="tx1"/>
                  </w14:solidFill>
                </w14:textFill>
              </w:rPr>
              <w:t>⑧</w:t>
            </w:r>
            <w:r>
              <w:rPr>
                <w:rFonts w:hint="eastAsia" w:ascii="Times New Roman" w:hAnsi="Times New Roman" w:cs="Times New Roman"/>
                <w:bCs/>
                <w:color w:val="auto"/>
                <w:sz w:val="24"/>
                <w:szCs w:val="24"/>
                <w:lang w:val="en-US" w:eastAsia="zh-CN"/>
              </w:rPr>
              <w:t>施工</w:t>
            </w:r>
            <w:r>
              <w:rPr>
                <w:rFonts w:ascii="Times New Roman" w:hAnsi="Times New Roman" w:cs="Times New Roman"/>
                <w:bCs/>
                <w:color w:val="auto"/>
                <w:sz w:val="24"/>
                <w:szCs w:val="24"/>
              </w:rPr>
              <w:t>场地</w:t>
            </w:r>
            <w:r>
              <w:rPr>
                <w:rFonts w:hint="eastAsia" w:ascii="Times New Roman" w:hAnsi="Times New Roman" w:cs="Times New Roman"/>
                <w:bCs/>
                <w:color w:val="auto"/>
                <w:sz w:val="24"/>
                <w:szCs w:val="24"/>
                <w:lang w:eastAsia="zh-CN"/>
              </w:rPr>
              <w:t>、</w:t>
            </w:r>
            <w:r>
              <w:rPr>
                <w:rFonts w:ascii="Times New Roman" w:hAnsi="Times New Roman" w:cs="Times New Roman"/>
                <w:bCs/>
                <w:color w:val="auto"/>
                <w:sz w:val="24"/>
                <w:szCs w:val="24"/>
              </w:rPr>
              <w:t>施工道路</w:t>
            </w:r>
            <w:r>
              <w:rPr>
                <w:rFonts w:hint="eastAsia" w:ascii="Times New Roman" w:hAnsi="Times New Roman" w:cs="Times New Roman"/>
                <w:bCs/>
                <w:color w:val="auto"/>
                <w:sz w:val="24"/>
                <w:szCs w:val="24"/>
                <w:lang w:eastAsia="zh-CN"/>
              </w:rPr>
              <w:t>、</w:t>
            </w:r>
            <w:r>
              <w:rPr>
                <w:rFonts w:hint="eastAsia" w:ascii="Times New Roman" w:hAnsi="Times New Roman" w:cs="Times New Roman"/>
                <w:bCs/>
                <w:color w:val="auto"/>
                <w:sz w:val="24"/>
                <w:szCs w:val="24"/>
                <w:lang w:val="en-US" w:eastAsia="zh-CN"/>
              </w:rPr>
              <w:t>小型拌合站</w:t>
            </w:r>
            <w:r>
              <w:rPr>
                <w:rFonts w:ascii="Times New Roman" w:hAnsi="Times New Roman" w:cs="Times New Roman"/>
                <w:bCs/>
                <w:color w:val="auto"/>
                <w:sz w:val="24"/>
                <w:szCs w:val="24"/>
              </w:rPr>
              <w:t>采取洒水抑尘措施，每天洒水4～5次，可使扬尘量减少70%；运渣土车辆不得冒顶装载、必须全封闭，</w:t>
            </w:r>
            <w:r>
              <w:rPr>
                <w:rFonts w:ascii="Times New Roman" w:hAnsi="Times New Roman" w:cs="Times New Roman"/>
                <w:b/>
                <w:color w:val="auto"/>
                <w:sz w:val="24"/>
                <w:szCs w:val="24"/>
                <w:u w:val="single"/>
              </w:rPr>
              <w:t>车辆运输路线选择尽量避绕</w:t>
            </w:r>
            <w:r>
              <w:rPr>
                <w:rFonts w:ascii="Times New Roman" w:hAnsi="Times New Roman" w:eastAsia="宋体" w:cs="Times New Roman"/>
                <w:b/>
                <w:color w:val="auto"/>
                <w:sz w:val="24"/>
                <w:szCs w:val="24"/>
                <w:u w:val="single"/>
              </w:rPr>
              <w:t>集中商住区</w:t>
            </w:r>
            <w:r>
              <w:rPr>
                <w:rFonts w:ascii="Times New Roman" w:hAnsi="Times New Roman" w:cs="Times New Roman"/>
                <w:b/>
                <w:color w:val="auto"/>
                <w:sz w:val="24"/>
                <w:szCs w:val="24"/>
                <w:u w:val="single"/>
              </w:rPr>
              <w:t>等敏感点</w:t>
            </w:r>
            <w:r>
              <w:rPr>
                <w:rFonts w:ascii="Times New Roman" w:hAnsi="Times New Roman" w:cs="Times New Roman"/>
                <w:bCs/>
                <w:color w:val="auto"/>
                <w:sz w:val="24"/>
                <w:szCs w:val="24"/>
              </w:rPr>
              <w:t>，途经</w:t>
            </w:r>
            <w:r>
              <w:rPr>
                <w:rFonts w:ascii="Times New Roman" w:hAnsi="Times New Roman" w:cs="Times New Roman"/>
                <w:color w:val="auto"/>
                <w:sz w:val="24"/>
                <w:szCs w:val="24"/>
              </w:rPr>
              <w:t>沿线居民等处时</w:t>
            </w:r>
            <w:r>
              <w:rPr>
                <w:rFonts w:ascii="Times New Roman" w:hAnsi="Times New Roman" w:cs="Times New Roman"/>
                <w:bCs/>
                <w:color w:val="auto"/>
                <w:sz w:val="24"/>
                <w:szCs w:val="24"/>
              </w:rPr>
              <w:t>加强沿线洒落物料清扫，采取必要洒水降尘措施，减轻车辆运输扬尘对项目沿线环境的影响</w:t>
            </w:r>
            <w:r>
              <w:rPr>
                <w:rFonts w:hint="eastAsia" w:ascii="Times New Roman" w:hAnsi="Times New Roman" w:cs="Times New Roman"/>
                <w:color w:val="auto"/>
                <w:sz w:val="24"/>
                <w:szCs w:val="24"/>
              </w:rPr>
              <w:t>。</w:t>
            </w:r>
          </w:p>
          <w:p>
            <w:pPr>
              <w:autoSpaceDE w:val="0"/>
              <w:autoSpaceDN w:val="0"/>
              <w:adjustRightInd w:val="0"/>
              <w:snapToGrid w:val="0"/>
              <w:spacing w:line="360" w:lineRule="auto"/>
              <w:rPr>
                <w:rFonts w:ascii="Times New Roman" w:hAnsi="Times New Roman" w:cs="Times New Roman"/>
                <w:b/>
                <w:bCs/>
                <w:kern w:val="0"/>
                <w:sz w:val="24"/>
                <w:szCs w:val="24"/>
              </w:rPr>
            </w:pPr>
            <w:r>
              <w:rPr>
                <w:rFonts w:hint="eastAsia" w:ascii="Times New Roman" w:hAnsi="Times New Roman" w:cs="Times New Roman"/>
                <w:b/>
                <w:bCs/>
                <w:kern w:val="0"/>
                <w:sz w:val="24"/>
                <w:szCs w:val="24"/>
              </w:rPr>
              <w:t>二</w:t>
            </w:r>
            <w:r>
              <w:rPr>
                <w:rFonts w:ascii="Times New Roman" w:hAnsi="Times New Roman" w:cs="Times New Roman"/>
                <w:b/>
                <w:bCs/>
                <w:kern w:val="0"/>
                <w:sz w:val="24"/>
                <w:szCs w:val="24"/>
              </w:rPr>
              <w:t>、施工期水污染防治措施</w:t>
            </w:r>
          </w:p>
          <w:p>
            <w:pPr>
              <w:autoSpaceDE w:val="0"/>
              <w:autoSpaceDN w:val="0"/>
              <w:adjustRightInd w:val="0"/>
              <w:snapToGrid w:val="0"/>
              <w:spacing w:line="360" w:lineRule="auto"/>
              <w:ind w:firstLine="480" w:firstLineChars="200"/>
              <w:rPr>
                <w:rFonts w:ascii="Times New Roman" w:hAnsi="Times New Roman" w:cs="Times New Roman"/>
                <w:bCs/>
                <w:snapToGrid w:val="0"/>
                <w:color w:val="000000"/>
                <w:kern w:val="0"/>
                <w:sz w:val="24"/>
              </w:rPr>
            </w:pPr>
            <w:r>
              <w:rPr>
                <w:rFonts w:ascii="Times New Roman" w:hAnsi="Times New Roman" w:cs="Times New Roman"/>
                <w:bCs/>
                <w:snapToGrid w:val="0"/>
                <w:color w:val="000000"/>
                <w:kern w:val="0"/>
                <w:sz w:val="24"/>
              </w:rPr>
              <w:t>项目施工期废水主要为施工人员生活污水和施工废水。</w:t>
            </w:r>
          </w:p>
          <w:p>
            <w:pPr>
              <w:autoSpaceDE w:val="0"/>
              <w:autoSpaceDN w:val="0"/>
              <w:adjustRightInd w:val="0"/>
              <w:snapToGrid w:val="0"/>
              <w:spacing w:line="360" w:lineRule="auto"/>
              <w:ind w:firstLine="480" w:firstLineChars="200"/>
              <w:rPr>
                <w:rFonts w:ascii="Times New Roman" w:hAnsi="Times New Roman" w:cs="Times New Roman"/>
                <w:bCs/>
                <w:snapToGrid w:val="0"/>
                <w:color w:val="000000"/>
                <w:kern w:val="0"/>
                <w:sz w:val="24"/>
              </w:rPr>
            </w:pPr>
            <w:r>
              <w:rPr>
                <w:rFonts w:hint="eastAsia" w:ascii="Times New Roman" w:hAnsi="Times New Roman" w:cs="Times New Roman"/>
                <w:bCs/>
                <w:snapToGrid w:val="0"/>
                <w:color w:val="000000"/>
                <w:kern w:val="0"/>
                <w:sz w:val="24"/>
              </w:rPr>
              <w:t>1、施工人员生活污水</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Cs/>
                <w:snapToGrid w:val="0"/>
                <w:color w:val="000000"/>
                <w:kern w:val="0"/>
                <w:sz w:val="24"/>
                <w:lang w:val="en-US" w:eastAsia="zh-CN"/>
              </w:rPr>
            </w:pPr>
            <w:r>
              <w:rPr>
                <w:rFonts w:hint="eastAsia" w:ascii="Times New Roman" w:hAnsi="Times New Roman" w:cs="Times New Roman"/>
                <w:color w:val="000000" w:themeColor="text1"/>
                <w:sz w:val="24"/>
                <w:szCs w:val="24"/>
                <w14:textFill>
                  <w14:solidFill>
                    <w14:schemeClr w14:val="tx1"/>
                  </w14:solidFill>
                </w14:textFill>
              </w:rPr>
              <w:t>施工人员</w:t>
            </w:r>
            <w:r>
              <w:rPr>
                <w:rFonts w:ascii="Times New Roman" w:hAnsi="Times New Roman" w:cs="Times New Roman"/>
                <w:kern w:val="0"/>
                <w:sz w:val="24"/>
                <w:szCs w:val="24"/>
              </w:rPr>
              <w:t>生活污水</w:t>
            </w:r>
            <w:r>
              <w:rPr>
                <w:rFonts w:hint="eastAsia" w:ascii="Times New Roman" w:hAnsi="Times New Roman" w:cs="Times New Roman"/>
                <w:kern w:val="0"/>
                <w:sz w:val="24"/>
                <w:szCs w:val="24"/>
              </w:rPr>
              <w:t>经</w:t>
            </w:r>
            <w:r>
              <w:rPr>
                <w:rFonts w:hint="eastAsia" w:ascii="Times New Roman" w:hAnsi="Times New Roman" w:cs="Times New Roman"/>
                <w:color w:val="000000" w:themeColor="text1"/>
                <w:sz w:val="24"/>
                <w:szCs w:val="24"/>
                <w14:textFill>
                  <w14:solidFill>
                    <w14:schemeClr w14:val="tx1"/>
                  </w14:solidFill>
                </w14:textFill>
              </w:rPr>
              <w:t>租用当地</w:t>
            </w:r>
            <w:r>
              <w:rPr>
                <w:rFonts w:hint="eastAsia" w:ascii="Times New Roman" w:hAnsi="Times New Roman" w:cs="Times New Roman"/>
                <w:color w:val="000000" w:themeColor="text1"/>
                <w:sz w:val="24"/>
                <w:szCs w:val="24"/>
                <w:lang w:val="en-US" w:eastAsia="zh-CN"/>
                <w14:textFill>
                  <w14:solidFill>
                    <w14:schemeClr w14:val="tx1"/>
                  </w14:solidFill>
                </w14:textFill>
              </w:rPr>
              <w:t>居民既有设施收集处理后可用于周边耕地的农肥。</w:t>
            </w:r>
          </w:p>
          <w:p>
            <w:pPr>
              <w:autoSpaceDE w:val="0"/>
              <w:autoSpaceDN w:val="0"/>
              <w:adjustRightInd w:val="0"/>
              <w:snapToGrid w:val="0"/>
              <w:spacing w:line="360" w:lineRule="auto"/>
              <w:ind w:firstLine="480" w:firstLineChars="200"/>
              <w:rPr>
                <w:rFonts w:ascii="Times New Roman" w:hAnsi="Times New Roman" w:cs="Times New Roman"/>
                <w:bCs/>
                <w:snapToGrid w:val="0"/>
                <w:color w:val="000000"/>
                <w:kern w:val="0"/>
                <w:sz w:val="24"/>
              </w:rPr>
            </w:pPr>
            <w:r>
              <w:rPr>
                <w:rFonts w:hint="eastAsia" w:ascii="Times New Roman" w:hAnsi="Times New Roman" w:cs="Times New Roman"/>
                <w:bCs/>
                <w:snapToGrid w:val="0"/>
                <w:color w:val="000000"/>
                <w:kern w:val="0"/>
                <w:sz w:val="24"/>
              </w:rPr>
              <w:t>2、施工机械、车辆冲洗废水</w:t>
            </w:r>
          </w:p>
          <w:p>
            <w:pPr>
              <w:autoSpaceDE w:val="0"/>
              <w:autoSpaceDN w:val="0"/>
              <w:adjustRightInd w:val="0"/>
              <w:snapToGrid w:val="0"/>
              <w:spacing w:line="360" w:lineRule="auto"/>
              <w:ind w:firstLine="480" w:firstLineChars="200"/>
              <w:rPr>
                <w:rFonts w:ascii="Times New Roman" w:hAnsi="Times New Roman" w:cs="Times New Roman"/>
                <w:bCs/>
                <w:snapToGrid w:val="0"/>
                <w:color w:val="000000"/>
                <w:kern w:val="0"/>
                <w:sz w:val="24"/>
              </w:rPr>
            </w:pPr>
            <w:r>
              <w:rPr>
                <w:rFonts w:hint="eastAsia" w:ascii="Times New Roman" w:hAnsi="Times New Roman" w:cs="Times New Roman"/>
                <w:bCs/>
                <w:snapToGrid w:val="0"/>
                <w:color w:val="000000"/>
                <w:kern w:val="0"/>
                <w:sz w:val="24"/>
              </w:rPr>
              <w:t>禁止</w:t>
            </w:r>
            <w:r>
              <w:rPr>
                <w:rFonts w:hint="eastAsia" w:ascii="Times New Roman" w:hAnsi="Times New Roman" w:cs="Times New Roman"/>
                <w:bCs/>
                <w:snapToGrid w:val="0"/>
                <w:color w:val="000000"/>
                <w:kern w:val="0"/>
                <w:sz w:val="24"/>
                <w:lang w:val="en-US" w:eastAsia="zh-CN"/>
              </w:rPr>
              <w:t>在各大小渠道旁</w:t>
            </w:r>
            <w:r>
              <w:rPr>
                <w:rFonts w:hint="eastAsia" w:ascii="Times New Roman" w:hAnsi="Times New Roman" w:cs="Times New Roman"/>
                <w:bCs/>
                <w:snapToGrid w:val="0"/>
                <w:color w:val="000000"/>
                <w:kern w:val="0"/>
                <w:sz w:val="24"/>
              </w:rPr>
              <w:t>进行车辆冲洗，避免冲洗废水直接流入</w:t>
            </w:r>
            <w:r>
              <w:rPr>
                <w:rFonts w:hint="eastAsia" w:ascii="Times New Roman" w:hAnsi="Times New Roman" w:cs="Times New Roman"/>
                <w:bCs/>
                <w:snapToGrid w:val="0"/>
                <w:color w:val="000000"/>
                <w:kern w:val="0"/>
                <w:sz w:val="24"/>
                <w:lang w:val="en-US" w:eastAsia="zh-CN"/>
              </w:rPr>
              <w:t>渠道</w:t>
            </w:r>
            <w:r>
              <w:rPr>
                <w:rFonts w:hint="eastAsia" w:ascii="Times New Roman" w:hAnsi="Times New Roman" w:cs="Times New Roman"/>
                <w:bCs/>
                <w:snapToGrid w:val="0"/>
                <w:color w:val="000000"/>
                <w:kern w:val="0"/>
                <w:sz w:val="24"/>
              </w:rPr>
              <w:t>内。施工机械、运输车辆在专有场地进行冲洗，并在专有场地低洼处设置沉淀循环水池，施工机械、车辆冲洗废水经“隔油+沉淀”处理后回用于洒水降尘和车辆冲洗，不外排。</w:t>
            </w:r>
          </w:p>
          <w:p>
            <w:pPr>
              <w:autoSpaceDE w:val="0"/>
              <w:autoSpaceDN w:val="0"/>
              <w:adjustRightInd w:val="0"/>
              <w:snapToGrid w:val="0"/>
              <w:spacing w:line="360" w:lineRule="auto"/>
              <w:ind w:firstLine="480" w:firstLineChars="200"/>
              <w:rPr>
                <w:rFonts w:ascii="Times New Roman" w:hAnsi="Times New Roman" w:cs="Times New Roman"/>
                <w:bCs/>
                <w:snapToGrid w:val="0"/>
                <w:color w:val="000000"/>
                <w:kern w:val="0"/>
                <w:sz w:val="24"/>
              </w:rPr>
            </w:pPr>
            <w:r>
              <w:rPr>
                <w:rFonts w:hint="eastAsia" w:ascii="Times New Roman" w:hAnsi="Times New Roman" w:cs="Times New Roman"/>
                <w:bCs/>
                <w:snapToGrid w:val="0"/>
                <w:color w:val="000000"/>
                <w:kern w:val="0"/>
                <w:sz w:val="24"/>
              </w:rPr>
              <w:t>3、基坑</w:t>
            </w:r>
            <w:r>
              <w:rPr>
                <w:rFonts w:hint="eastAsia" w:ascii="Times New Roman" w:hAnsi="Times New Roman" w:cs="Times New Roman"/>
                <w:bCs/>
                <w:snapToGrid w:val="0"/>
                <w:color w:val="000000"/>
                <w:kern w:val="0"/>
                <w:sz w:val="24"/>
                <w:lang w:val="en-US" w:eastAsia="zh-CN"/>
              </w:rPr>
              <w:t>排</w:t>
            </w:r>
            <w:r>
              <w:rPr>
                <w:rFonts w:hint="eastAsia" w:ascii="Times New Roman" w:hAnsi="Times New Roman" w:cs="Times New Roman"/>
                <w:bCs/>
                <w:snapToGrid w:val="0"/>
                <w:color w:val="000000"/>
                <w:kern w:val="0"/>
                <w:sz w:val="24"/>
              </w:rPr>
              <w:t>水</w:t>
            </w:r>
          </w:p>
          <w:p>
            <w:pPr>
              <w:autoSpaceDE w:val="0"/>
              <w:autoSpaceDN w:val="0"/>
              <w:adjustRightInd w:val="0"/>
              <w:snapToGrid w:val="0"/>
              <w:spacing w:line="360" w:lineRule="auto"/>
              <w:ind w:firstLine="480" w:firstLineChars="200"/>
              <w:rPr>
                <w:rFonts w:hint="eastAsia" w:ascii="Times New Roman" w:hAnsi="Times New Roman" w:cs="Times New Roman"/>
                <w:color w:val="000000" w:themeColor="text1"/>
                <w:sz w:val="24"/>
                <w:szCs w:val="24"/>
                <w:u w:val="single"/>
                <w:lang w:eastAsia="zh-CN"/>
                <w14:textFill>
                  <w14:solidFill>
                    <w14:schemeClr w14:val="tx1"/>
                  </w14:solidFill>
                </w14:textFill>
              </w:rPr>
            </w:pPr>
            <w:r>
              <w:rPr>
                <w:rFonts w:hint="eastAsia" w:ascii="Times New Roman" w:hAnsi="Times New Roman" w:cs="Times New Roman"/>
                <w:bCs/>
                <w:snapToGrid w:val="0"/>
                <w:color w:val="000000"/>
                <w:kern w:val="0"/>
                <w:sz w:val="24"/>
                <w:lang w:val="en-US" w:eastAsia="zh-CN"/>
              </w:rPr>
              <w:t>新开挖</w:t>
            </w:r>
            <w:r>
              <w:rPr>
                <w:rFonts w:hint="eastAsia" w:ascii="Times New Roman" w:hAnsi="Times New Roman" w:cs="Times New Roman"/>
                <w:bCs/>
                <w:snapToGrid w:val="0"/>
                <w:color w:val="000000"/>
                <w:kern w:val="0"/>
                <w:sz w:val="24"/>
              </w:rPr>
              <w:t>基础施工时需要排除基坑渗水、施工废水和大气降水等。基坑涌水初期悬浮物含量较高，</w:t>
            </w:r>
            <w:r>
              <w:rPr>
                <w:rFonts w:hint="eastAsia" w:ascii="Times New Roman" w:hAnsi="Times New Roman" w:cs="Times New Roman"/>
                <w:color w:val="000000" w:themeColor="text1"/>
                <w:sz w:val="24"/>
                <w:szCs w:val="24"/>
                <w14:textFill>
                  <w14:solidFill>
                    <w14:schemeClr w14:val="tx1"/>
                  </w14:solidFill>
                </w14:textFill>
              </w:rPr>
              <w:t>悬浮物含量一般为1500-4000mg</w:t>
            </w:r>
            <w:r>
              <w:rPr>
                <w:rFonts w:hint="eastAsia" w:ascii="Times New Roman" w:hAnsi="Times New Roman" w:cs="Times New Roman"/>
                <w:color w:val="000000" w:themeColor="text1"/>
                <w:sz w:val="24"/>
                <w:szCs w:val="24"/>
                <w:lang w:val="en-US" w:eastAsia="zh-CN"/>
                <w14:textFill>
                  <w14:solidFill>
                    <w14:schemeClr w14:val="tx1"/>
                  </w14:solidFill>
                </w14:textFill>
              </w:rPr>
              <w:t>/l</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基坑排水经潜水泵抽出后</w:t>
            </w:r>
            <w:r>
              <w:rPr>
                <w:rFonts w:hint="eastAsia" w:ascii="Times New Roman" w:hAnsi="Times New Roman" w:cs="Times New Roman"/>
                <w:color w:val="000000" w:themeColor="text1"/>
                <w:sz w:val="24"/>
                <w:szCs w:val="24"/>
                <w:lang w:val="en-US" w:eastAsia="zh-CN"/>
                <w14:textFill>
                  <w14:solidFill>
                    <w14:schemeClr w14:val="tx1"/>
                  </w14:solidFill>
                </w14:textFill>
              </w:rPr>
              <w:t>导入</w:t>
            </w:r>
            <w:r>
              <w:rPr>
                <w:rFonts w:hint="eastAsia" w:ascii="Times New Roman" w:hAnsi="Times New Roman" w:cs="Times New Roman"/>
                <w:color w:val="000000" w:themeColor="text1"/>
                <w:sz w:val="24"/>
                <w:szCs w:val="24"/>
                <w14:textFill>
                  <w14:solidFill>
                    <w14:schemeClr w14:val="tx1"/>
                  </w14:solidFill>
                </w14:textFill>
              </w:rPr>
              <w:t>沉淀池</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1口，</w:t>
            </w:r>
            <w:r>
              <w:rPr>
                <w:rFonts w:hint="eastAsia" w:ascii="Times New Roman" w:hAnsi="Times New Roman" w:cs="Times New Roman"/>
                <w:color w:val="000000" w:themeColor="text1"/>
                <w:sz w:val="24"/>
                <w:szCs w:val="24"/>
                <w14:textFill>
                  <w14:solidFill>
                    <w14:schemeClr w14:val="tx1"/>
                  </w14:solidFill>
                </w14:textFill>
              </w:rPr>
              <w:t>2m</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2m</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2m</w:t>
            </w:r>
            <w:r>
              <w:rPr>
                <w:rFonts w:hint="eastAsia" w:ascii="Times New Roman" w:hAnsi="Times New Roman" w:cs="Times New Roman"/>
                <w:color w:val="000000" w:themeColor="text1"/>
                <w:sz w:val="24"/>
                <w:szCs w:val="24"/>
                <w:lang w:val="en-US" w:eastAsia="zh-CN"/>
                <w14:textFill>
                  <w14:solidFill>
                    <w14:schemeClr w14:val="tx1"/>
                  </w14:solidFill>
                </w14:textFill>
              </w:rPr>
              <w:t>=8m</w:t>
            </w:r>
            <w:r>
              <w:rPr>
                <w:rFonts w:hint="eastAsia"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基坑废水</w:t>
            </w:r>
            <w:r>
              <w:rPr>
                <w:rFonts w:hint="eastAsia" w:ascii="Times New Roman" w:hAnsi="Times New Roman" w:cs="Times New Roman"/>
                <w:color w:val="000000" w:themeColor="text1"/>
                <w:sz w:val="24"/>
                <w:szCs w:val="24"/>
                <w14:textFill>
                  <w14:solidFill>
                    <w14:schemeClr w14:val="tx1"/>
                  </w14:solidFill>
                </w14:textFill>
              </w:rPr>
              <w:t>经沉淀处理后</w:t>
            </w:r>
            <w:r>
              <w:rPr>
                <w:rFonts w:hint="eastAsia" w:ascii="Times New Roman" w:hAnsi="Times New Roman" w:cs="Times New Roman"/>
                <w:color w:val="000000" w:themeColor="text1"/>
                <w:sz w:val="24"/>
                <w:szCs w:val="24"/>
                <w:lang w:val="en-US" w:eastAsia="zh-CN"/>
                <w14:textFill>
                  <w14:solidFill>
                    <w14:schemeClr w14:val="tx1"/>
                  </w14:solidFill>
                </w14:textFill>
              </w:rPr>
              <w:t>区域内洒水降尘</w:t>
            </w:r>
            <w:r>
              <w:rPr>
                <w:rFonts w:hint="eastAsia" w:ascii="Times New Roman" w:hAnsi="Times New Roman" w:cs="Times New Roman"/>
                <w:bCs/>
                <w:snapToGrid w:val="0"/>
                <w:color w:val="000000"/>
                <w:kern w:val="0"/>
                <w:sz w:val="24"/>
              </w:rPr>
              <w:t>，</w:t>
            </w:r>
            <w:r>
              <w:rPr>
                <w:rFonts w:hint="eastAsia" w:ascii="Times New Roman" w:hAnsi="Times New Roman" w:cs="Times New Roman"/>
                <w:bCs/>
                <w:snapToGrid w:val="0"/>
                <w:color w:val="000000"/>
                <w:kern w:val="0"/>
                <w:sz w:val="24"/>
                <w:u w:val="single"/>
              </w:rPr>
              <w:t>禁止排入</w:t>
            </w:r>
            <w:r>
              <w:rPr>
                <w:rFonts w:hint="eastAsia" w:ascii="Times New Roman" w:hAnsi="Times New Roman" w:cs="Times New Roman"/>
                <w:bCs/>
                <w:snapToGrid w:val="0"/>
                <w:color w:val="000000"/>
                <w:kern w:val="0"/>
                <w:sz w:val="24"/>
                <w:u w:val="single"/>
                <w:lang w:val="en-US" w:eastAsia="zh-CN"/>
              </w:rPr>
              <w:t>渠道</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和耕地</w:t>
            </w:r>
            <w:r>
              <w:rPr>
                <w:rFonts w:hint="eastAsia" w:ascii="Times New Roman" w:hAnsi="Times New Roman" w:cs="Times New Roman"/>
                <w:color w:val="000000" w:themeColor="text1"/>
                <w:sz w:val="24"/>
                <w:szCs w:val="24"/>
                <w:u w:val="single"/>
                <w:lang w:eastAsia="zh-CN"/>
                <w14:textFill>
                  <w14:solidFill>
                    <w14:schemeClr w14:val="tx1"/>
                  </w14:solidFill>
                </w14:textFill>
              </w:rPr>
              <w:t>。</w:t>
            </w:r>
          </w:p>
          <w:p>
            <w:pPr>
              <w:autoSpaceDE w:val="0"/>
              <w:autoSpaceDN w:val="0"/>
              <w:adjustRightInd w:val="0"/>
              <w:snapToGrid w:val="0"/>
              <w:spacing w:line="360" w:lineRule="auto"/>
              <w:ind w:firstLine="482" w:firstLineChars="200"/>
              <w:rPr>
                <w:rFonts w:hint="default" w:ascii="Times New Roman" w:hAnsi="Times New Roman" w:cs="Times New Roman"/>
                <w:b/>
                <w:bCs/>
                <w:color w:val="000000" w:themeColor="text1"/>
                <w:sz w:val="24"/>
                <w:szCs w:val="24"/>
                <w:u w:val="none"/>
                <w:lang w:val="en-US" w:eastAsia="zh-CN"/>
                <w14:textFill>
                  <w14:solidFill>
                    <w14:schemeClr w14:val="tx1"/>
                  </w14:solidFill>
                </w14:textFill>
              </w:rPr>
            </w:pP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4、临近饮用水源保护区保护措施</w:t>
            </w:r>
          </w:p>
          <w:p>
            <w:pPr>
              <w:autoSpaceDE w:val="0"/>
              <w:autoSpaceDN w:val="0"/>
              <w:adjustRightInd w:val="0"/>
              <w:snapToGrid w:val="0"/>
              <w:spacing w:line="360" w:lineRule="auto"/>
              <w:ind w:firstLine="480" w:firstLineChars="200"/>
              <w:rPr>
                <w:rFonts w:hint="default" w:ascii="Times New Roman" w:hAnsi="Times New Roman" w:cs="Times New Roman" w:eastAsiaTheme="minorEastAsia"/>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本工程管线、渠道施工距离秧田湾水库饮用水二级保护区70m、距离</w:t>
            </w:r>
            <w:r>
              <w:rPr>
                <w:rFonts w:hint="eastAsia" w:ascii="Times New Roman" w:hAnsi="Times New Roman" w:cs="Times New Roman"/>
                <w:kern w:val="2"/>
                <w:sz w:val="24"/>
                <w:szCs w:val="24"/>
                <w:lang w:val="en-US" w:eastAsia="zh-CN" w:bidi="ar-SA"/>
              </w:rPr>
              <w:t>大成镇观音岩水库饮用水</w:t>
            </w:r>
            <w:r>
              <w:rPr>
                <w:rFonts w:hint="eastAsia" w:ascii="Times New Roman" w:hAnsi="Times New Roman" w:cs="Times New Roman"/>
                <w:b w:val="0"/>
                <w:bCs w:val="0"/>
                <w:kern w:val="0"/>
                <w:sz w:val="24"/>
                <w:szCs w:val="24"/>
                <w:lang w:val="en-US" w:eastAsia="zh-CN"/>
              </w:rPr>
              <w:t>二级</w:t>
            </w:r>
            <w:r>
              <w:rPr>
                <w:rFonts w:hint="eastAsia" w:ascii="Times New Roman" w:hAnsi="Times New Roman" w:cs="Times New Roman"/>
                <w:kern w:val="2"/>
                <w:sz w:val="24"/>
                <w:szCs w:val="24"/>
                <w:lang w:val="en-US" w:eastAsia="zh-CN" w:bidi="ar-SA"/>
              </w:rPr>
              <w:t>保护区51m、距离土黄镇梁家沟梁家河坝饮用水</w:t>
            </w:r>
            <w:r>
              <w:rPr>
                <w:rFonts w:hint="eastAsia" w:ascii="Times New Roman" w:hAnsi="Times New Roman" w:cs="Times New Roman"/>
                <w:b w:val="0"/>
                <w:bCs w:val="0"/>
                <w:kern w:val="0"/>
                <w:sz w:val="24"/>
                <w:szCs w:val="24"/>
                <w:lang w:val="en-US" w:eastAsia="zh-CN"/>
              </w:rPr>
              <w:t>二级</w:t>
            </w:r>
            <w:r>
              <w:rPr>
                <w:rFonts w:hint="eastAsia" w:ascii="Times New Roman" w:hAnsi="Times New Roman" w:cs="Times New Roman"/>
                <w:kern w:val="2"/>
                <w:sz w:val="24"/>
                <w:szCs w:val="24"/>
                <w:lang w:val="en-US" w:eastAsia="zh-CN" w:bidi="ar-SA"/>
              </w:rPr>
              <w:t>保护区123m、距离天生镇曹家沟水库饮用水</w:t>
            </w:r>
            <w:r>
              <w:rPr>
                <w:rFonts w:hint="eastAsia" w:ascii="Times New Roman" w:hAnsi="Times New Roman" w:cs="Times New Roman"/>
                <w:b w:val="0"/>
                <w:bCs w:val="0"/>
                <w:kern w:val="0"/>
                <w:sz w:val="24"/>
                <w:szCs w:val="24"/>
                <w:lang w:val="en-US" w:eastAsia="zh-CN"/>
              </w:rPr>
              <w:t>二级</w:t>
            </w:r>
            <w:r>
              <w:rPr>
                <w:rFonts w:hint="eastAsia" w:ascii="Times New Roman" w:hAnsi="Times New Roman" w:cs="Times New Roman"/>
                <w:kern w:val="2"/>
                <w:sz w:val="24"/>
                <w:szCs w:val="24"/>
                <w:lang w:val="en-US" w:eastAsia="zh-CN" w:bidi="ar-SA"/>
              </w:rPr>
              <w:t>保护区148m、距离柏树镇九军坪水库饮用水</w:t>
            </w:r>
            <w:r>
              <w:rPr>
                <w:rFonts w:hint="eastAsia" w:ascii="Times New Roman" w:hAnsi="Times New Roman" w:cs="Times New Roman"/>
                <w:b w:val="0"/>
                <w:bCs w:val="0"/>
                <w:kern w:val="0"/>
                <w:sz w:val="24"/>
                <w:szCs w:val="24"/>
                <w:lang w:val="en-US" w:eastAsia="zh-CN"/>
              </w:rPr>
              <w:t>二级</w:t>
            </w:r>
            <w:r>
              <w:rPr>
                <w:rFonts w:hint="eastAsia" w:ascii="Times New Roman" w:hAnsi="Times New Roman" w:cs="Times New Roman"/>
                <w:kern w:val="2"/>
                <w:sz w:val="24"/>
                <w:szCs w:val="24"/>
                <w:lang w:val="en-US" w:eastAsia="zh-CN" w:bidi="ar-SA"/>
              </w:rPr>
              <w:t>保护区90m、距离普光镇干河沟徐家梁饮用水</w:t>
            </w:r>
            <w:r>
              <w:rPr>
                <w:rFonts w:hint="eastAsia" w:ascii="Times New Roman" w:hAnsi="Times New Roman" w:cs="Times New Roman"/>
                <w:b w:val="0"/>
                <w:bCs w:val="0"/>
                <w:kern w:val="0"/>
                <w:sz w:val="24"/>
                <w:szCs w:val="24"/>
                <w:lang w:val="en-US" w:eastAsia="zh-CN"/>
              </w:rPr>
              <w:t>二级</w:t>
            </w:r>
            <w:r>
              <w:rPr>
                <w:rFonts w:hint="eastAsia" w:ascii="Times New Roman" w:hAnsi="Times New Roman" w:cs="Times New Roman"/>
                <w:kern w:val="2"/>
                <w:sz w:val="24"/>
                <w:szCs w:val="24"/>
                <w:lang w:val="en-US" w:eastAsia="zh-CN" w:bidi="ar-SA"/>
              </w:rPr>
              <w:t>保护区6m，施工期间，本次评价要求建设单位和施工单位应严格落实以下措施：</w:t>
            </w:r>
          </w:p>
          <w:p>
            <w:pPr>
              <w:autoSpaceDE w:val="0"/>
              <w:autoSpaceDN w:val="0"/>
              <w:adjustRightInd w:val="0"/>
              <w:snapToGrid w:val="0"/>
              <w:spacing w:line="360" w:lineRule="auto"/>
              <w:ind w:firstLine="480" w:firstLineChars="200"/>
              <w:rPr>
                <w:rFonts w:hint="default"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①严格限制施工作业带：</w:t>
            </w:r>
            <w:r>
              <w:rPr>
                <w:rFonts w:hint="eastAsia" w:ascii="Times New Roman" w:hAnsi="Times New Roman" w:cs="Times New Roman"/>
                <w:b w:val="0"/>
                <w:bCs w:val="0"/>
                <w:kern w:val="0"/>
                <w:sz w:val="24"/>
                <w:szCs w:val="24"/>
                <w:u w:val="single"/>
                <w:lang w:val="en-US" w:eastAsia="zh-CN"/>
              </w:rPr>
              <w:t>特别是靠近</w:t>
            </w:r>
            <w:r>
              <w:rPr>
                <w:rFonts w:hint="eastAsia" w:ascii="Times New Roman" w:hAnsi="Times New Roman" w:cs="Times New Roman"/>
                <w:kern w:val="2"/>
                <w:sz w:val="24"/>
                <w:szCs w:val="24"/>
                <w:u w:val="single"/>
                <w:lang w:val="en-US" w:eastAsia="zh-CN" w:bidi="ar-SA"/>
              </w:rPr>
              <w:t>普光镇干河沟徐家梁饮用水</w:t>
            </w:r>
            <w:r>
              <w:rPr>
                <w:rFonts w:hint="eastAsia" w:ascii="Times New Roman" w:hAnsi="Times New Roman" w:cs="Times New Roman"/>
                <w:b w:val="0"/>
                <w:bCs w:val="0"/>
                <w:kern w:val="0"/>
                <w:sz w:val="24"/>
                <w:szCs w:val="24"/>
                <w:u w:val="single"/>
                <w:lang w:val="en-US" w:eastAsia="zh-CN"/>
              </w:rPr>
              <w:t>二级</w:t>
            </w:r>
            <w:r>
              <w:rPr>
                <w:rFonts w:hint="eastAsia" w:ascii="Times New Roman" w:hAnsi="Times New Roman" w:cs="Times New Roman"/>
                <w:kern w:val="2"/>
                <w:sz w:val="24"/>
                <w:szCs w:val="24"/>
                <w:u w:val="single"/>
                <w:lang w:val="en-US" w:eastAsia="zh-CN" w:bidi="ar-SA"/>
              </w:rPr>
              <w:t>保护区处，应严格控制施工作业范围，现场设置施工作业带标记，严格控制在标记范围内施工。</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②</w:t>
            </w:r>
            <w:r>
              <w:rPr>
                <w:rFonts w:hint="eastAsia" w:ascii="Times New Roman" w:hAnsi="Times New Roman" w:cs="Times New Roman"/>
                <w:b w:val="0"/>
                <w:bCs w:val="0"/>
                <w:kern w:val="0"/>
                <w:sz w:val="24"/>
                <w:szCs w:val="24"/>
              </w:rPr>
              <w:t>建立保护区域：在</w:t>
            </w:r>
            <w:r>
              <w:rPr>
                <w:rFonts w:hint="eastAsia" w:ascii="Times New Roman" w:hAnsi="Times New Roman" w:cs="Times New Roman"/>
                <w:b w:val="0"/>
                <w:bCs w:val="0"/>
                <w:kern w:val="0"/>
                <w:sz w:val="24"/>
                <w:szCs w:val="24"/>
                <w:lang w:val="en-US" w:eastAsia="zh-CN"/>
              </w:rPr>
              <w:t>二级保护区边界设置饮用水保护区边界标识</w:t>
            </w:r>
            <w:r>
              <w:rPr>
                <w:rFonts w:hint="eastAsia" w:ascii="Times New Roman" w:hAnsi="Times New Roman" w:cs="Times New Roman"/>
                <w:b w:val="0"/>
                <w:bCs w:val="0"/>
                <w:kern w:val="0"/>
                <w:sz w:val="24"/>
                <w:szCs w:val="24"/>
              </w:rPr>
              <w:t>，</w:t>
            </w:r>
            <w:r>
              <w:rPr>
                <w:rFonts w:hint="eastAsia" w:ascii="Times New Roman" w:hAnsi="Times New Roman" w:cs="Times New Roman"/>
                <w:b w:val="0"/>
                <w:bCs w:val="0"/>
                <w:kern w:val="0"/>
                <w:sz w:val="24"/>
                <w:szCs w:val="24"/>
                <w:lang w:val="en-US" w:eastAsia="zh-CN"/>
              </w:rPr>
              <w:t>禁止施工人员</w:t>
            </w:r>
            <w:r>
              <w:rPr>
                <w:rFonts w:hint="eastAsia" w:ascii="Times New Roman" w:hAnsi="Times New Roman" w:cs="Times New Roman"/>
                <w:b w:val="0"/>
                <w:bCs w:val="0"/>
                <w:kern w:val="0"/>
                <w:sz w:val="24"/>
                <w:szCs w:val="24"/>
              </w:rPr>
              <w:t>和</w:t>
            </w:r>
            <w:r>
              <w:rPr>
                <w:rFonts w:hint="eastAsia" w:ascii="Times New Roman" w:hAnsi="Times New Roman" w:cs="Times New Roman"/>
                <w:b w:val="0"/>
                <w:bCs w:val="0"/>
                <w:kern w:val="0"/>
                <w:sz w:val="24"/>
                <w:szCs w:val="24"/>
                <w:lang w:val="en-US" w:eastAsia="zh-CN"/>
              </w:rPr>
              <w:t>施工机械进入保护边界标识范围内</w:t>
            </w:r>
            <w:r>
              <w:rPr>
                <w:rFonts w:hint="eastAsia" w:ascii="Times New Roman" w:hAnsi="Times New Roman" w:cs="Times New Roman"/>
                <w:b w:val="0"/>
                <w:bCs w:val="0"/>
                <w:kern w:val="0"/>
                <w:sz w:val="24"/>
                <w:szCs w:val="24"/>
              </w:rPr>
              <w:t>。</w:t>
            </w:r>
          </w:p>
          <w:p>
            <w:pPr>
              <w:autoSpaceDE w:val="0"/>
              <w:autoSpaceDN w:val="0"/>
              <w:adjustRightInd w:val="0"/>
              <w:snapToGrid w:val="0"/>
              <w:spacing w:line="360" w:lineRule="auto"/>
              <w:ind w:firstLine="480" w:firstLineChars="200"/>
              <w:rPr>
                <w:rFonts w:hint="default" w:ascii="Times New Roman" w:hAnsi="Times New Roman" w:cs="Times New Roman"/>
                <w:b w:val="0"/>
                <w:bCs w:val="0"/>
                <w:kern w:val="0"/>
                <w:sz w:val="24"/>
                <w:szCs w:val="24"/>
                <w:lang w:val="en-US" w:eastAsia="zh-CN"/>
              </w:rPr>
            </w:pPr>
            <w:r>
              <w:rPr>
                <w:rFonts w:hint="eastAsia" w:ascii="Times New Roman" w:hAnsi="Times New Roman" w:cs="Times New Roman"/>
                <w:b w:val="0"/>
                <w:bCs w:val="0"/>
                <w:kern w:val="0"/>
                <w:sz w:val="24"/>
                <w:szCs w:val="24"/>
                <w:lang w:val="en-US" w:eastAsia="zh-CN"/>
              </w:rPr>
              <w:t>③污染物治理：落实各项污染治理措施，在临近水源保护区一侧设置截流沟，防止施工废水漫流进入水源保护区范围内；施工废水、建筑垃圾等禁止排入保护区范围内；应避免雨季临近饮用水源保护区施工。</w:t>
            </w:r>
          </w:p>
          <w:p>
            <w:pPr>
              <w:autoSpaceDE w:val="0"/>
              <w:autoSpaceDN w:val="0"/>
              <w:adjustRightInd w:val="0"/>
              <w:snapToGrid w:val="0"/>
              <w:spacing w:line="360" w:lineRule="auto"/>
              <w:ind w:firstLine="480" w:firstLineChars="200"/>
              <w:rPr>
                <w:rFonts w:hint="eastAsia" w:ascii="Times New Roman" w:hAnsi="Times New Roman" w:cs="Times New Roman"/>
                <w:b w:val="0"/>
                <w:bCs w:val="0"/>
                <w:kern w:val="0"/>
                <w:sz w:val="24"/>
                <w:szCs w:val="24"/>
              </w:rPr>
            </w:pPr>
            <w:r>
              <w:rPr>
                <w:rFonts w:hint="eastAsia" w:ascii="Times New Roman" w:hAnsi="Times New Roman" w:cs="Times New Roman"/>
                <w:b w:val="0"/>
                <w:bCs w:val="0"/>
                <w:kern w:val="0"/>
                <w:sz w:val="24"/>
                <w:szCs w:val="24"/>
                <w:lang w:val="en-US" w:eastAsia="zh-CN"/>
              </w:rPr>
              <w:t>④</w:t>
            </w:r>
            <w:r>
              <w:rPr>
                <w:rFonts w:hint="eastAsia" w:ascii="Times New Roman" w:hAnsi="Times New Roman" w:cs="Times New Roman"/>
                <w:b w:val="0"/>
                <w:bCs w:val="0"/>
                <w:kern w:val="0"/>
                <w:sz w:val="24"/>
                <w:szCs w:val="24"/>
              </w:rPr>
              <w:t>定期监测：</w:t>
            </w:r>
            <w:r>
              <w:rPr>
                <w:rFonts w:hint="eastAsia" w:ascii="Times New Roman" w:hAnsi="Times New Roman" w:cs="Times New Roman"/>
                <w:b w:val="0"/>
                <w:bCs w:val="0"/>
                <w:kern w:val="0"/>
                <w:sz w:val="24"/>
                <w:szCs w:val="24"/>
                <w:lang w:val="en-US" w:eastAsia="zh-CN"/>
              </w:rPr>
              <w:t>施工期间</w:t>
            </w:r>
            <w:r>
              <w:rPr>
                <w:rFonts w:hint="eastAsia" w:ascii="Times New Roman" w:hAnsi="Times New Roman" w:cs="Times New Roman"/>
                <w:b w:val="0"/>
                <w:bCs w:val="0"/>
                <w:kern w:val="0"/>
                <w:sz w:val="24"/>
                <w:szCs w:val="24"/>
              </w:rPr>
              <w:t>实施定期的水质监测和检测计划，以确保水源的安全性，并及时发现任何潜在的污染问题。</w:t>
            </w:r>
          </w:p>
          <w:p>
            <w:pPr>
              <w:autoSpaceDE w:val="0"/>
              <w:autoSpaceDN w:val="0"/>
              <w:adjustRightInd w:val="0"/>
              <w:snapToGrid w:val="0"/>
              <w:spacing w:line="360" w:lineRule="auto"/>
              <w:ind w:firstLine="480" w:firstLineChars="200"/>
              <w:rPr>
                <w:rFonts w:hint="eastAsia" w:ascii="Times New Roman" w:hAnsi="Times New Roman" w:cs="Times New Roman"/>
                <w:b/>
                <w:bCs/>
                <w:kern w:val="0"/>
                <w:sz w:val="24"/>
                <w:szCs w:val="24"/>
              </w:rPr>
            </w:pPr>
            <w:r>
              <w:rPr>
                <w:rFonts w:hint="eastAsia" w:ascii="Times New Roman" w:hAnsi="Times New Roman" w:cs="Times New Roman"/>
                <w:b w:val="0"/>
                <w:bCs w:val="0"/>
                <w:kern w:val="0"/>
                <w:sz w:val="24"/>
                <w:szCs w:val="24"/>
                <w:lang w:val="en-US" w:eastAsia="zh-CN"/>
              </w:rPr>
              <w:t>⑤</w:t>
            </w:r>
            <w:r>
              <w:rPr>
                <w:rFonts w:hint="eastAsia" w:ascii="Times New Roman" w:hAnsi="Times New Roman" w:cs="Times New Roman"/>
                <w:b w:val="0"/>
                <w:bCs w:val="0"/>
                <w:kern w:val="0"/>
                <w:sz w:val="24"/>
                <w:szCs w:val="24"/>
              </w:rPr>
              <w:t>建立</w:t>
            </w:r>
            <w:r>
              <w:rPr>
                <w:rFonts w:hint="eastAsia" w:ascii="Times New Roman" w:hAnsi="Times New Roman" w:cs="Times New Roman"/>
                <w:b w:val="0"/>
                <w:bCs w:val="0"/>
                <w:kern w:val="0"/>
                <w:sz w:val="24"/>
                <w:szCs w:val="24"/>
                <w:lang w:val="en-US" w:eastAsia="zh-CN"/>
              </w:rPr>
              <w:t>专职</w:t>
            </w:r>
            <w:r>
              <w:rPr>
                <w:rFonts w:hint="eastAsia" w:ascii="Times New Roman" w:hAnsi="Times New Roman" w:cs="Times New Roman"/>
                <w:b w:val="0"/>
                <w:bCs w:val="0"/>
                <w:kern w:val="0"/>
                <w:sz w:val="24"/>
                <w:szCs w:val="24"/>
              </w:rPr>
              <w:t>管理机构：</w:t>
            </w:r>
            <w:r>
              <w:rPr>
                <w:rFonts w:hint="eastAsia" w:ascii="Times New Roman" w:hAnsi="Times New Roman" w:cs="Times New Roman"/>
                <w:b w:val="0"/>
                <w:bCs w:val="0"/>
                <w:kern w:val="0"/>
                <w:sz w:val="24"/>
                <w:szCs w:val="24"/>
                <w:lang w:val="en-US" w:eastAsia="zh-CN"/>
              </w:rPr>
              <w:t>针对饮用水源保护区</w:t>
            </w:r>
            <w:r>
              <w:rPr>
                <w:rFonts w:hint="eastAsia" w:ascii="Times New Roman" w:hAnsi="Times New Roman" w:cs="Times New Roman"/>
                <w:b w:val="0"/>
                <w:bCs w:val="0"/>
                <w:kern w:val="0"/>
                <w:sz w:val="24"/>
                <w:szCs w:val="24"/>
              </w:rPr>
              <w:t>建立专门的</w:t>
            </w:r>
            <w:r>
              <w:rPr>
                <w:rFonts w:hint="eastAsia" w:ascii="Times New Roman" w:hAnsi="Times New Roman" w:cs="Times New Roman"/>
                <w:b w:val="0"/>
                <w:bCs w:val="0"/>
                <w:kern w:val="0"/>
                <w:sz w:val="24"/>
                <w:szCs w:val="24"/>
                <w:lang w:val="en-US" w:eastAsia="zh-CN"/>
              </w:rPr>
              <w:t>水源保护</w:t>
            </w:r>
            <w:r>
              <w:rPr>
                <w:rFonts w:hint="eastAsia" w:ascii="Times New Roman" w:hAnsi="Times New Roman" w:cs="Times New Roman"/>
                <w:b w:val="0"/>
                <w:bCs w:val="0"/>
                <w:kern w:val="0"/>
                <w:sz w:val="24"/>
                <w:szCs w:val="24"/>
              </w:rPr>
              <w:t>管理机构</w:t>
            </w:r>
            <w:r>
              <w:rPr>
                <w:rFonts w:hint="eastAsia" w:ascii="Times New Roman" w:hAnsi="Times New Roman" w:cs="Times New Roman"/>
                <w:b w:val="0"/>
                <w:bCs w:val="0"/>
                <w:kern w:val="0"/>
                <w:sz w:val="24"/>
                <w:szCs w:val="24"/>
                <w:lang w:eastAsia="zh-CN"/>
              </w:rPr>
              <w:t>，</w:t>
            </w:r>
            <w:r>
              <w:rPr>
                <w:rFonts w:hint="eastAsia" w:ascii="Times New Roman" w:hAnsi="Times New Roman" w:cs="Times New Roman"/>
                <w:b w:val="0"/>
                <w:bCs w:val="0"/>
                <w:kern w:val="0"/>
                <w:sz w:val="24"/>
                <w:szCs w:val="24"/>
              </w:rPr>
              <w:t>负责监督和管理水源的保护工作。</w:t>
            </w:r>
          </w:p>
          <w:p>
            <w:pPr>
              <w:autoSpaceDE w:val="0"/>
              <w:autoSpaceDN w:val="0"/>
              <w:adjustRightInd w:val="0"/>
              <w:snapToGrid w:val="0"/>
              <w:spacing w:line="360" w:lineRule="auto"/>
              <w:rPr>
                <w:rFonts w:ascii="Times New Roman" w:hAnsi="Times New Roman" w:cs="Times New Roman"/>
                <w:b/>
                <w:bCs/>
                <w:kern w:val="0"/>
                <w:sz w:val="24"/>
                <w:szCs w:val="24"/>
              </w:rPr>
            </w:pPr>
            <w:r>
              <w:rPr>
                <w:rFonts w:hint="eastAsia" w:ascii="Times New Roman" w:hAnsi="Times New Roman" w:cs="Times New Roman"/>
                <w:b/>
                <w:bCs/>
                <w:kern w:val="0"/>
                <w:sz w:val="24"/>
                <w:szCs w:val="24"/>
              </w:rPr>
              <w:t>三</w:t>
            </w:r>
            <w:r>
              <w:rPr>
                <w:rFonts w:ascii="Times New Roman" w:hAnsi="Times New Roman" w:cs="Times New Roman"/>
                <w:b/>
                <w:bCs/>
                <w:kern w:val="0"/>
                <w:sz w:val="24"/>
                <w:szCs w:val="24"/>
              </w:rPr>
              <w:t>、噪声污染防治措施</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hint="eastAsia" w:ascii="Times New Roman" w:hAnsi="Times New Roman" w:cs="Times New Roman"/>
                <w:kern w:val="0"/>
                <w:sz w:val="24"/>
                <w:szCs w:val="24"/>
                <w:lang w:val="en-US" w:eastAsia="zh-CN"/>
              </w:rPr>
              <w:t>本项目施工区域较广泛，涉及宣汉县的14个乡镇</w:t>
            </w:r>
            <w:r>
              <w:rPr>
                <w:rFonts w:ascii="Times New Roman" w:hAnsi="Times New Roman" w:cs="Times New Roman"/>
                <w:kern w:val="0"/>
                <w:sz w:val="24"/>
                <w:szCs w:val="24"/>
              </w:rPr>
              <w:t>，施工过程中要求建设单位：</w:t>
            </w:r>
          </w:p>
          <w:p>
            <w:pPr>
              <w:autoSpaceDE w:val="0"/>
              <w:autoSpaceDN w:val="0"/>
              <w:adjustRightInd w:val="0"/>
              <w:snapToGrid w:val="0"/>
              <w:spacing w:line="360" w:lineRule="auto"/>
              <w:ind w:firstLine="480" w:firstLineChars="200"/>
              <w:rPr>
                <w:rFonts w:hint="eastAsia" w:ascii="Times New Roman" w:hAnsi="Times New Roman" w:cs="Times New Roman" w:eastAsiaTheme="minorEastAsia"/>
                <w:sz w:val="24"/>
                <w:szCs w:val="24"/>
                <w:lang w:eastAsia="zh-CN"/>
              </w:rPr>
            </w:pPr>
            <w:r>
              <w:rPr>
                <w:rFonts w:hint="eastAsia" w:ascii="Times New Roman" w:hAnsi="Times New Roman" w:cs="Times New Roman"/>
                <w:sz w:val="24"/>
                <w:szCs w:val="24"/>
              </w:rPr>
              <w:t>（1）</w:t>
            </w:r>
            <w:r>
              <w:rPr>
                <w:rFonts w:ascii="Times New Roman" w:hAnsi="Times New Roman" w:cs="Times New Roman"/>
                <w:sz w:val="24"/>
                <w:szCs w:val="24"/>
              </w:rPr>
              <w:t>尽量采用低噪声机械设备，项目施工所用的施工机械设备应事先对其进行常规工作状态下的噪声测量</w:t>
            </w:r>
            <w:r>
              <w:rPr>
                <w:rFonts w:hint="eastAsia" w:ascii="Times New Roman" w:hAnsi="Times New Roman" w:cs="Times New Roman"/>
                <w:spacing w:val="-48"/>
                <w:sz w:val="24"/>
                <w:szCs w:val="24"/>
                <w:lang w:eastAsia="zh-CN"/>
              </w:rPr>
              <w:t>，</w:t>
            </w:r>
            <w:r>
              <w:rPr>
                <w:rFonts w:ascii="Times New Roman" w:hAnsi="Times New Roman" w:cs="Times New Roman"/>
                <w:sz w:val="24"/>
                <w:szCs w:val="24"/>
              </w:rPr>
              <w:t>超过国家标准的机械设备禁止其入场施工</w:t>
            </w:r>
            <w:r>
              <w:rPr>
                <w:rFonts w:ascii="Times New Roman" w:hAnsi="Times New Roman" w:cs="Times New Roman"/>
                <w:spacing w:val="-46"/>
                <w:sz w:val="24"/>
                <w:szCs w:val="24"/>
              </w:rPr>
              <w:t>，</w:t>
            </w:r>
            <w:r>
              <w:rPr>
                <w:rFonts w:ascii="Times New Roman" w:hAnsi="Times New Roman" w:cs="Times New Roman"/>
                <w:sz w:val="24"/>
                <w:szCs w:val="24"/>
              </w:rPr>
              <w:t>施工过程中应经常对设备进行维修保养，避免由于机械设备性能差而产生严重噪声污染的情况发生</w:t>
            </w:r>
            <w:r>
              <w:rPr>
                <w:rFonts w:hint="eastAsia" w:ascii="Times New Roman" w:hAnsi="Times New Roman" w:cs="Times New Roman"/>
                <w:sz w:val="24"/>
                <w:szCs w:val="24"/>
                <w:lang w:eastAsia="zh-CN"/>
              </w:rPr>
              <w:t>；</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eastAsia="Times New Roman" w:cs="Times New Roman"/>
                <w:sz w:val="24"/>
                <w:szCs w:val="24"/>
              </w:rPr>
              <w:t>2</w:t>
            </w:r>
            <w:r>
              <w:rPr>
                <w:rFonts w:ascii="Times New Roman" w:hAnsi="Times New Roman" w:cs="Times New Roman"/>
                <w:sz w:val="24"/>
                <w:szCs w:val="24"/>
              </w:rPr>
              <w:t>）</w:t>
            </w:r>
            <w:r>
              <w:rPr>
                <w:rFonts w:ascii="Times New Roman" w:hAnsi="Times New Roman" w:cs="Times New Roman"/>
                <w:sz w:val="24"/>
                <w:szCs w:val="24"/>
                <w:u w:val="single"/>
              </w:rPr>
              <w:t>工程施工前应在</w:t>
            </w:r>
            <w:r>
              <w:rPr>
                <w:rFonts w:hint="eastAsia" w:ascii="Times New Roman" w:hAnsi="Times New Roman" w:cs="Times New Roman"/>
                <w:sz w:val="24"/>
                <w:szCs w:val="24"/>
                <w:u w:val="single"/>
                <w:lang w:val="en-US" w:eastAsia="zh-CN"/>
              </w:rPr>
              <w:t>各乡镇</w:t>
            </w:r>
            <w:r>
              <w:rPr>
                <w:rFonts w:ascii="Times New Roman" w:hAnsi="Times New Roman" w:cs="Times New Roman"/>
                <w:sz w:val="24"/>
                <w:szCs w:val="24"/>
                <w:u w:val="single"/>
              </w:rPr>
              <w:t>集中商住区公开张贴告示，告知工程名称、工程内容、投诉电话、施工作业方式、施工时间、拟采取的降噪措施以及声环境影响的大致程度和范围，请受影响民众进行监督，避免发生扰民纠纷</w:t>
            </w:r>
            <w:r>
              <w:rPr>
                <w:rFonts w:ascii="Times New Roman" w:hAnsi="Times New Roman" w:cs="Times New Roman"/>
                <w:sz w:val="24"/>
                <w:szCs w:val="24"/>
              </w:rPr>
              <w:t>；</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eastAsia="Times New Roman" w:cs="Times New Roman"/>
                <w:sz w:val="24"/>
                <w:szCs w:val="24"/>
              </w:rPr>
              <w:t>3</w:t>
            </w:r>
            <w:r>
              <w:rPr>
                <w:rFonts w:ascii="Times New Roman" w:hAnsi="Times New Roman" w:cs="Times New Roman"/>
                <w:sz w:val="24"/>
                <w:szCs w:val="24"/>
              </w:rPr>
              <w:t>）应合理安排施工物料的运输时间，在途径沿线的居民敏感点路段时，减速慢行、禁止鸣笛。加强施工期施工人员的环保宣传教育，从根本上培养施工人员环保理念，从而杜绝野蛮施工，粗放施工；</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eastAsia="Times New Roman" w:cs="Times New Roman"/>
                <w:sz w:val="24"/>
                <w:szCs w:val="24"/>
              </w:rPr>
              <w:t>4</w:t>
            </w:r>
            <w:r>
              <w:rPr>
                <w:rFonts w:ascii="Times New Roman" w:hAnsi="Times New Roman" w:cs="Times New Roman"/>
                <w:sz w:val="24"/>
                <w:szCs w:val="24"/>
              </w:rPr>
              <w:t>）施工现场应打围施工，施工总平面布置时，尽可能将高噪声源安排在远离项目周围较远的声环境敏感点处；</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（5）施工期间在夜间</w:t>
            </w:r>
            <w:r>
              <w:rPr>
                <w:rFonts w:ascii="Times New Roman" w:hAnsi="Times New Roman" w:eastAsia="Times New Roman" w:cs="Times New Roman"/>
                <w:sz w:val="24"/>
                <w:szCs w:val="24"/>
              </w:rPr>
              <w:t>22</w:t>
            </w:r>
            <w:r>
              <w:rPr>
                <w:rFonts w:ascii="Times New Roman" w:hAnsi="Times New Roman" w:cs="Times New Roman"/>
                <w:sz w:val="24"/>
                <w:szCs w:val="24"/>
              </w:rPr>
              <w:t>时至凌晨</w:t>
            </w:r>
            <w:r>
              <w:rPr>
                <w:rFonts w:ascii="Times New Roman" w:hAnsi="Times New Roman" w:eastAsia="宋体" w:cs="Times New Roman"/>
                <w:sz w:val="24"/>
                <w:szCs w:val="24"/>
              </w:rPr>
              <w:t>6</w:t>
            </w:r>
            <w:r>
              <w:rPr>
                <w:rFonts w:ascii="Times New Roman" w:hAnsi="Times New Roman" w:cs="Times New Roman"/>
                <w:sz w:val="24"/>
                <w:szCs w:val="24"/>
              </w:rPr>
              <w:t>时、中午12时至14时应</w:t>
            </w:r>
            <w:r>
              <w:rPr>
                <w:rFonts w:hint="eastAsia" w:ascii="Times New Roman" w:hAnsi="Times New Roman" w:cs="Times New Roman"/>
                <w:sz w:val="24"/>
                <w:szCs w:val="24"/>
                <w:lang w:val="en-US" w:eastAsia="zh-CN"/>
              </w:rPr>
              <w:t>停止</w:t>
            </w:r>
            <w:r>
              <w:rPr>
                <w:rFonts w:ascii="Times New Roman" w:hAnsi="Times New Roman" w:cs="Times New Roman"/>
                <w:sz w:val="24"/>
                <w:szCs w:val="24"/>
              </w:rPr>
              <w:t>施工，如有特殊情况必须施工，须征得有关部门同意，并告知周围居民；</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（6）根据《中华人民共和国环境噪声污染防治法》和四川省人民政府办公</w:t>
            </w:r>
            <w:r>
              <w:rPr>
                <w:rFonts w:ascii="Times New Roman" w:hAnsi="Times New Roman" w:cs="Times New Roman"/>
                <w:spacing w:val="2"/>
                <w:sz w:val="24"/>
                <w:szCs w:val="24"/>
              </w:rPr>
              <w:t>厅</w:t>
            </w:r>
            <w:r>
              <w:rPr>
                <w:rFonts w:ascii="Times New Roman" w:hAnsi="Times New Roman" w:cs="Times New Roman"/>
                <w:spacing w:val="4"/>
                <w:sz w:val="24"/>
                <w:szCs w:val="24"/>
              </w:rPr>
              <w:t>《</w:t>
            </w:r>
            <w:r>
              <w:rPr>
                <w:rFonts w:ascii="Times New Roman" w:hAnsi="Times New Roman" w:cs="Times New Roman"/>
                <w:spacing w:val="2"/>
                <w:sz w:val="24"/>
                <w:szCs w:val="24"/>
              </w:rPr>
              <w:t>关</w:t>
            </w:r>
            <w:r>
              <w:rPr>
                <w:rFonts w:ascii="Times New Roman" w:hAnsi="Times New Roman" w:cs="Times New Roman"/>
                <w:spacing w:val="4"/>
                <w:sz w:val="24"/>
                <w:szCs w:val="24"/>
              </w:rPr>
              <w:t>于</w:t>
            </w:r>
            <w:r>
              <w:rPr>
                <w:rFonts w:ascii="Times New Roman" w:hAnsi="Times New Roman" w:cs="Times New Roman"/>
                <w:spacing w:val="2"/>
                <w:sz w:val="24"/>
                <w:szCs w:val="24"/>
              </w:rPr>
              <w:t>在</w:t>
            </w:r>
            <w:r>
              <w:rPr>
                <w:rFonts w:ascii="Times New Roman" w:hAnsi="Times New Roman" w:cs="Times New Roman"/>
                <w:spacing w:val="4"/>
                <w:sz w:val="24"/>
                <w:szCs w:val="24"/>
              </w:rPr>
              <w:t>中</w:t>
            </w:r>
            <w:r>
              <w:rPr>
                <w:rFonts w:ascii="Times New Roman" w:hAnsi="Times New Roman" w:cs="Times New Roman"/>
                <w:spacing w:val="2"/>
                <w:sz w:val="24"/>
                <w:szCs w:val="24"/>
              </w:rPr>
              <w:t>、</w:t>
            </w:r>
            <w:r>
              <w:rPr>
                <w:rFonts w:ascii="Times New Roman" w:hAnsi="Times New Roman" w:cs="Times New Roman"/>
                <w:spacing w:val="4"/>
                <w:sz w:val="24"/>
                <w:szCs w:val="24"/>
              </w:rPr>
              <w:t>高</w:t>
            </w:r>
            <w:r>
              <w:rPr>
                <w:rFonts w:ascii="Times New Roman" w:hAnsi="Times New Roman" w:cs="Times New Roman"/>
                <w:spacing w:val="2"/>
                <w:sz w:val="24"/>
                <w:szCs w:val="24"/>
              </w:rPr>
              <w:t>考</w:t>
            </w:r>
            <w:r>
              <w:rPr>
                <w:rFonts w:ascii="Times New Roman" w:hAnsi="Times New Roman" w:cs="Times New Roman"/>
                <w:spacing w:val="4"/>
                <w:sz w:val="24"/>
                <w:szCs w:val="24"/>
              </w:rPr>
              <w:t>期</w:t>
            </w:r>
            <w:r>
              <w:rPr>
                <w:rFonts w:ascii="Times New Roman" w:hAnsi="Times New Roman" w:cs="Times New Roman"/>
                <w:spacing w:val="2"/>
                <w:sz w:val="24"/>
                <w:szCs w:val="24"/>
              </w:rPr>
              <w:t>间加</w:t>
            </w:r>
            <w:r>
              <w:rPr>
                <w:rFonts w:ascii="Times New Roman" w:hAnsi="Times New Roman" w:cs="Times New Roman"/>
                <w:spacing w:val="4"/>
                <w:sz w:val="24"/>
                <w:szCs w:val="24"/>
              </w:rPr>
              <w:t>强</w:t>
            </w:r>
            <w:r>
              <w:rPr>
                <w:rFonts w:ascii="Times New Roman" w:hAnsi="Times New Roman" w:cs="Times New Roman"/>
                <w:spacing w:val="2"/>
                <w:sz w:val="24"/>
                <w:szCs w:val="24"/>
              </w:rPr>
              <w:t>噪</w:t>
            </w:r>
            <w:r>
              <w:rPr>
                <w:rFonts w:ascii="Times New Roman" w:hAnsi="Times New Roman" w:cs="Times New Roman"/>
                <w:spacing w:val="4"/>
                <w:sz w:val="24"/>
                <w:szCs w:val="24"/>
              </w:rPr>
              <w:t>声</w:t>
            </w:r>
            <w:r>
              <w:rPr>
                <w:rFonts w:ascii="Times New Roman" w:hAnsi="Times New Roman" w:cs="Times New Roman"/>
                <w:spacing w:val="2"/>
                <w:sz w:val="24"/>
                <w:szCs w:val="24"/>
              </w:rPr>
              <w:t>污</w:t>
            </w:r>
            <w:r>
              <w:rPr>
                <w:rFonts w:ascii="Times New Roman" w:hAnsi="Times New Roman" w:cs="Times New Roman"/>
                <w:spacing w:val="4"/>
                <w:sz w:val="24"/>
                <w:szCs w:val="24"/>
              </w:rPr>
              <w:t>染</w:t>
            </w:r>
            <w:r>
              <w:rPr>
                <w:rFonts w:ascii="Times New Roman" w:hAnsi="Times New Roman" w:cs="Times New Roman"/>
                <w:spacing w:val="2"/>
                <w:sz w:val="24"/>
                <w:szCs w:val="24"/>
              </w:rPr>
              <w:t>监</w:t>
            </w:r>
            <w:r>
              <w:rPr>
                <w:rFonts w:ascii="Times New Roman" w:hAnsi="Times New Roman" w:cs="Times New Roman"/>
                <w:spacing w:val="4"/>
                <w:sz w:val="24"/>
                <w:szCs w:val="24"/>
              </w:rPr>
              <w:t>督</w:t>
            </w:r>
            <w:r>
              <w:rPr>
                <w:rFonts w:ascii="Times New Roman" w:hAnsi="Times New Roman" w:cs="Times New Roman"/>
                <w:spacing w:val="2"/>
                <w:sz w:val="24"/>
                <w:szCs w:val="24"/>
              </w:rPr>
              <w:t>管理</w:t>
            </w:r>
            <w:r>
              <w:rPr>
                <w:rFonts w:ascii="Times New Roman" w:hAnsi="Times New Roman" w:cs="Times New Roman"/>
                <w:spacing w:val="4"/>
                <w:sz w:val="24"/>
                <w:szCs w:val="24"/>
              </w:rPr>
              <w:t>工</w:t>
            </w:r>
            <w:r>
              <w:rPr>
                <w:rFonts w:ascii="Times New Roman" w:hAnsi="Times New Roman" w:cs="Times New Roman"/>
                <w:spacing w:val="2"/>
                <w:sz w:val="24"/>
                <w:szCs w:val="24"/>
              </w:rPr>
              <w:t>作</w:t>
            </w:r>
            <w:r>
              <w:rPr>
                <w:rFonts w:ascii="Times New Roman" w:hAnsi="Times New Roman" w:cs="Times New Roman"/>
                <w:spacing w:val="4"/>
                <w:sz w:val="24"/>
                <w:szCs w:val="24"/>
              </w:rPr>
              <w:t>的</w:t>
            </w:r>
            <w:r>
              <w:rPr>
                <w:rFonts w:ascii="Times New Roman" w:hAnsi="Times New Roman" w:cs="Times New Roman"/>
                <w:spacing w:val="2"/>
                <w:sz w:val="24"/>
                <w:szCs w:val="24"/>
              </w:rPr>
              <w:t>通知</w:t>
            </w:r>
            <w:r>
              <w:rPr>
                <w:rFonts w:ascii="Times New Roman" w:hAnsi="Times New Roman" w:cs="Times New Roman"/>
                <w:spacing w:val="-116"/>
                <w:sz w:val="24"/>
                <w:szCs w:val="24"/>
              </w:rPr>
              <w:t>》</w:t>
            </w:r>
            <w:r>
              <w:rPr>
                <w:rFonts w:ascii="Times New Roman" w:hAnsi="Times New Roman" w:cs="Times New Roman"/>
                <w:spacing w:val="2"/>
                <w:sz w:val="24"/>
                <w:szCs w:val="24"/>
              </w:rPr>
              <w:t>（</w:t>
            </w:r>
            <w:r>
              <w:rPr>
                <w:rFonts w:ascii="Times New Roman" w:hAnsi="Times New Roman" w:cs="Times New Roman"/>
                <w:spacing w:val="4"/>
                <w:sz w:val="24"/>
                <w:szCs w:val="24"/>
              </w:rPr>
              <w:t>川</w:t>
            </w:r>
            <w:r>
              <w:rPr>
                <w:rFonts w:ascii="Times New Roman" w:hAnsi="Times New Roman" w:cs="Times New Roman"/>
                <w:spacing w:val="2"/>
                <w:sz w:val="24"/>
                <w:szCs w:val="24"/>
              </w:rPr>
              <w:t>办</w:t>
            </w:r>
            <w:r>
              <w:rPr>
                <w:rFonts w:ascii="Times New Roman" w:hAnsi="Times New Roman" w:cs="Times New Roman"/>
                <w:spacing w:val="4"/>
                <w:sz w:val="24"/>
                <w:szCs w:val="24"/>
              </w:rPr>
              <w:t>函</w:t>
            </w:r>
            <w:r>
              <w:rPr>
                <w:rFonts w:hint="eastAsia" w:ascii="Times New Roman" w:hAnsi="Times New Roman" w:eastAsia="宋体" w:cs="Times New Roman"/>
                <w:spacing w:val="-1"/>
                <w:sz w:val="24"/>
                <w:szCs w:val="24"/>
                <w:lang w:eastAsia="zh-CN"/>
              </w:rPr>
              <w:t>〔2001〕</w:t>
            </w:r>
            <w:r>
              <w:rPr>
                <w:rFonts w:ascii="Times New Roman" w:hAnsi="Times New Roman" w:eastAsia="Times New Roman" w:cs="Times New Roman"/>
                <w:spacing w:val="-3"/>
                <w:sz w:val="24"/>
                <w:szCs w:val="24"/>
              </w:rPr>
              <w:t>9</w:t>
            </w:r>
            <w:r>
              <w:rPr>
                <w:rFonts w:ascii="Times New Roman" w:hAnsi="Times New Roman" w:eastAsia="Times New Roman" w:cs="Times New Roman"/>
                <w:sz w:val="24"/>
                <w:szCs w:val="24"/>
              </w:rPr>
              <w:t>0</w:t>
            </w:r>
            <w:r>
              <w:rPr>
                <w:rFonts w:ascii="Times New Roman" w:hAnsi="Times New Roman" w:cs="Times New Roman"/>
                <w:sz w:val="24"/>
                <w:szCs w:val="24"/>
              </w:rPr>
              <w:t>号</w:t>
            </w:r>
            <w:r>
              <w:rPr>
                <w:rFonts w:ascii="Times New Roman" w:hAnsi="Times New Roman" w:cs="Times New Roman"/>
                <w:spacing w:val="-44"/>
                <w:sz w:val="24"/>
                <w:szCs w:val="24"/>
              </w:rPr>
              <w:t>）</w:t>
            </w:r>
            <w:r>
              <w:rPr>
                <w:rFonts w:ascii="Times New Roman" w:hAnsi="Times New Roman" w:cs="Times New Roman"/>
                <w:sz w:val="24"/>
                <w:szCs w:val="24"/>
              </w:rPr>
              <w:t>精神</w:t>
            </w:r>
            <w:r>
              <w:rPr>
                <w:rFonts w:ascii="Times New Roman" w:hAnsi="Times New Roman" w:cs="Times New Roman"/>
                <w:spacing w:val="-44"/>
                <w:sz w:val="24"/>
                <w:szCs w:val="24"/>
              </w:rPr>
              <w:t>，</w:t>
            </w:r>
            <w:r>
              <w:rPr>
                <w:rFonts w:ascii="Times New Roman" w:hAnsi="Times New Roman" w:cs="Times New Roman"/>
                <w:sz w:val="24"/>
                <w:szCs w:val="24"/>
              </w:rPr>
              <w:t>为在中</w:t>
            </w:r>
            <w:r>
              <w:rPr>
                <w:rFonts w:ascii="Times New Roman" w:hAnsi="Times New Roman" w:cs="Times New Roman"/>
                <w:spacing w:val="-44"/>
                <w:sz w:val="24"/>
                <w:szCs w:val="24"/>
              </w:rPr>
              <w:t>、</w:t>
            </w:r>
            <w:r>
              <w:rPr>
                <w:rFonts w:ascii="Times New Roman" w:hAnsi="Times New Roman" w:cs="Times New Roman"/>
                <w:sz w:val="24"/>
                <w:szCs w:val="24"/>
              </w:rPr>
              <w:t>高考期间保证考生有一个安静的学</w:t>
            </w:r>
            <w:r>
              <w:rPr>
                <w:rFonts w:ascii="Times New Roman" w:hAnsi="Times New Roman" w:cs="Times New Roman"/>
                <w:spacing w:val="2"/>
                <w:sz w:val="24"/>
                <w:szCs w:val="24"/>
              </w:rPr>
              <w:t>习</w:t>
            </w:r>
            <w:r>
              <w:rPr>
                <w:rFonts w:ascii="Times New Roman" w:hAnsi="Times New Roman" w:cs="Times New Roman"/>
                <w:spacing w:val="-44"/>
                <w:sz w:val="24"/>
                <w:szCs w:val="24"/>
              </w:rPr>
              <w:t>、</w:t>
            </w:r>
            <w:r>
              <w:rPr>
                <w:rFonts w:ascii="Times New Roman" w:hAnsi="Times New Roman" w:cs="Times New Roman"/>
                <w:sz w:val="24"/>
                <w:szCs w:val="24"/>
              </w:rPr>
              <w:t>休息和参考环境</w:t>
            </w:r>
            <w:r>
              <w:rPr>
                <w:rFonts w:ascii="Times New Roman" w:hAnsi="Times New Roman" w:cs="Times New Roman"/>
                <w:spacing w:val="-44"/>
                <w:sz w:val="24"/>
                <w:szCs w:val="24"/>
              </w:rPr>
              <w:t>，</w:t>
            </w:r>
            <w:r>
              <w:rPr>
                <w:rFonts w:ascii="Times New Roman" w:hAnsi="Times New Roman" w:cs="Times New Roman"/>
                <w:sz w:val="24"/>
                <w:szCs w:val="24"/>
              </w:rPr>
              <w:t>中、高考期间禁止进行产生噪声污染的建设施工，本项目在中高考期间应暂停施工；</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（7）加强对各路段的施工管理，合理制定施工计划，监理单位应做好施工期噪声监理工作</w:t>
            </w:r>
            <w:r>
              <w:rPr>
                <w:rFonts w:ascii="Times New Roman" w:hAnsi="Times New Roman" w:cs="Times New Roman"/>
                <w:spacing w:val="-48"/>
                <w:sz w:val="24"/>
                <w:szCs w:val="24"/>
              </w:rPr>
              <w:t>，</w:t>
            </w:r>
            <w:r>
              <w:rPr>
                <w:rFonts w:ascii="Times New Roman" w:hAnsi="Times New Roman" w:cs="Times New Roman"/>
                <w:sz w:val="24"/>
                <w:szCs w:val="24"/>
              </w:rPr>
              <w:t>对施工现场以及附近的</w:t>
            </w:r>
            <w:r>
              <w:rPr>
                <w:rFonts w:hint="eastAsia" w:ascii="Times New Roman" w:hAnsi="Times New Roman" w:cs="Times New Roman"/>
                <w:sz w:val="24"/>
                <w:szCs w:val="24"/>
                <w:lang w:val="en-US" w:eastAsia="zh-CN"/>
              </w:rPr>
              <w:t>受影响</w:t>
            </w:r>
            <w:r>
              <w:rPr>
                <w:rFonts w:ascii="Times New Roman" w:hAnsi="Times New Roman" w:cs="Times New Roman"/>
                <w:sz w:val="24"/>
                <w:szCs w:val="24"/>
              </w:rPr>
              <w:t>居民进行定期监测；</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（8）施工期应协调好施工车辆通行的时间，施工方与交管部门应加强沟通、协调工作，避免交通堵塞，夜间运输要采取减速缓行、禁止鸣笛等措施；</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（9）在施工招投标时，将降低环境噪声污染的措施列为施工组织设计内容，并在合同中予以明确，管理人员及施工人员应规范控制工作时间；</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（10）临时施工场地和临时堆土场加强机械设备和运输车辆管理，临时施工场地物料预制时应设置简易声屏障打围作业；</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sz w:val="24"/>
                <w:szCs w:val="24"/>
              </w:rPr>
              <w:t>（11）按劳动卫生标准，控制高噪声机械施工人员的工作时间，对机械操作者及有关人员采取个人防护措施，如戴耳塞、头盔等。</w:t>
            </w:r>
          </w:p>
          <w:p>
            <w:pPr>
              <w:autoSpaceDE w:val="0"/>
              <w:autoSpaceDN w:val="0"/>
              <w:adjustRightInd w:val="0"/>
              <w:snapToGrid w:val="0"/>
              <w:spacing w:line="360" w:lineRule="auto"/>
              <w:rPr>
                <w:rFonts w:ascii="Times New Roman" w:hAnsi="Times New Roman" w:cs="Times New Roman"/>
                <w:b/>
                <w:bCs/>
                <w:kern w:val="0"/>
                <w:sz w:val="24"/>
                <w:szCs w:val="24"/>
              </w:rPr>
            </w:pPr>
            <w:r>
              <w:rPr>
                <w:rFonts w:hint="eastAsia" w:ascii="Times New Roman" w:hAnsi="Times New Roman" w:cs="Times New Roman"/>
                <w:b/>
                <w:bCs/>
                <w:kern w:val="0"/>
                <w:sz w:val="24"/>
                <w:szCs w:val="24"/>
              </w:rPr>
              <w:t>四</w:t>
            </w:r>
            <w:r>
              <w:rPr>
                <w:rFonts w:ascii="Times New Roman" w:hAnsi="Times New Roman" w:cs="Times New Roman"/>
                <w:b/>
                <w:bCs/>
                <w:kern w:val="0"/>
                <w:sz w:val="24"/>
                <w:szCs w:val="24"/>
              </w:rPr>
              <w:t>、施工期固体废弃物</w:t>
            </w:r>
            <w:r>
              <w:rPr>
                <w:rFonts w:hint="eastAsia" w:ascii="Times New Roman" w:hAnsi="Times New Roman" w:cs="Times New Roman"/>
                <w:b/>
                <w:bCs/>
                <w:kern w:val="0"/>
                <w:sz w:val="24"/>
                <w:szCs w:val="24"/>
              </w:rPr>
              <w:t>治理</w:t>
            </w:r>
          </w:p>
          <w:p>
            <w:pPr>
              <w:autoSpaceDE w:val="0"/>
              <w:autoSpaceDN w:val="0"/>
              <w:adjustRightInd w:val="0"/>
              <w:snapToGrid w:val="0"/>
              <w:spacing w:line="360" w:lineRule="auto"/>
              <w:ind w:firstLine="480" w:firstLineChars="200"/>
              <w:rPr>
                <w:rFonts w:ascii="Times New Roman" w:hAnsi="Times New Roman" w:cs="Times New Roman"/>
                <w:color w:val="auto"/>
                <w:kern w:val="0"/>
                <w:sz w:val="24"/>
                <w:szCs w:val="24"/>
              </w:rPr>
            </w:pPr>
            <w:r>
              <w:rPr>
                <w:rFonts w:hint="eastAsia" w:ascii="Times New Roman" w:hAnsi="Times New Roman" w:cs="Times New Roman"/>
                <w:color w:val="auto"/>
                <w:kern w:val="0"/>
                <w:sz w:val="24"/>
                <w:szCs w:val="24"/>
                <w:lang w:val="en-US" w:eastAsia="zh-CN"/>
              </w:rPr>
              <w:t>土石方临时堆存</w:t>
            </w:r>
            <w:r>
              <w:rPr>
                <w:rFonts w:ascii="Times New Roman" w:hAnsi="Times New Roman" w:cs="Times New Roman"/>
                <w:color w:val="auto"/>
                <w:kern w:val="0"/>
                <w:sz w:val="24"/>
                <w:szCs w:val="24"/>
              </w:rPr>
              <w:t>：</w:t>
            </w:r>
            <w:r>
              <w:rPr>
                <w:rFonts w:hint="eastAsia" w:ascii="Times New Roman" w:hAnsi="Times New Roman" w:cs="Times New Roman"/>
                <w:color w:val="auto"/>
                <w:kern w:val="0"/>
                <w:sz w:val="24"/>
                <w:szCs w:val="24"/>
              </w:rPr>
              <w:t>在施工期，由于场地开挖</w:t>
            </w: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渠道整治</w:t>
            </w:r>
            <w:r>
              <w:rPr>
                <w:rFonts w:hint="eastAsia" w:ascii="Times New Roman" w:hAnsi="Times New Roman" w:cs="Times New Roman"/>
                <w:color w:val="auto"/>
                <w:kern w:val="0"/>
                <w:sz w:val="24"/>
                <w:szCs w:val="24"/>
              </w:rPr>
              <w:t>，产生的弃渣应做到随挖、随运，及时运往</w:t>
            </w:r>
            <w:r>
              <w:rPr>
                <w:rFonts w:hint="eastAsia" w:ascii="Times New Roman" w:hAnsi="Times New Roman" w:cs="Times New Roman"/>
                <w:color w:val="auto"/>
                <w:kern w:val="0"/>
                <w:sz w:val="24"/>
                <w:szCs w:val="24"/>
                <w:lang w:val="en-US" w:eastAsia="zh-CN"/>
              </w:rPr>
              <w:t>临时堆土场</w:t>
            </w:r>
            <w:r>
              <w:rPr>
                <w:rFonts w:hint="eastAsia" w:ascii="Times New Roman" w:hAnsi="Times New Roman" w:cs="Times New Roman"/>
                <w:color w:val="auto"/>
                <w:kern w:val="0"/>
                <w:sz w:val="24"/>
                <w:szCs w:val="24"/>
              </w:rPr>
              <w:t>进行堆放避免</w:t>
            </w:r>
            <w:r>
              <w:rPr>
                <w:rFonts w:hint="eastAsia" w:ascii="Times New Roman" w:hAnsi="Times New Roman" w:cs="Times New Roman"/>
                <w:color w:val="auto"/>
                <w:kern w:val="0"/>
                <w:sz w:val="24"/>
                <w:szCs w:val="24"/>
                <w:lang w:val="en-US" w:eastAsia="zh-CN"/>
              </w:rPr>
              <w:t>水土流失</w:t>
            </w:r>
            <w:r>
              <w:rPr>
                <w:rFonts w:hint="eastAsia" w:ascii="Times New Roman" w:hAnsi="Times New Roman" w:cs="Times New Roman"/>
                <w:color w:val="auto"/>
                <w:kern w:val="0"/>
                <w:sz w:val="24"/>
                <w:szCs w:val="24"/>
              </w:rPr>
              <w:t>，</w:t>
            </w:r>
            <w:r>
              <w:rPr>
                <w:rFonts w:hint="eastAsia" w:ascii="Times New Roman" w:hAnsi="Times New Roman" w:cs="Times New Roman"/>
                <w:color w:val="auto"/>
                <w:kern w:val="0"/>
                <w:sz w:val="24"/>
                <w:szCs w:val="24"/>
                <w:lang w:val="en-US" w:eastAsia="zh-CN"/>
              </w:rPr>
              <w:t>临时堆土场</w:t>
            </w:r>
            <w:r>
              <w:rPr>
                <w:rFonts w:hint="eastAsia" w:ascii="Times New Roman" w:hAnsi="Times New Roman" w:cs="Times New Roman"/>
                <w:color w:val="auto"/>
                <w:kern w:val="0"/>
                <w:sz w:val="24"/>
                <w:szCs w:val="24"/>
              </w:rPr>
              <w:t>应按水土保持设计要求设置</w:t>
            </w:r>
            <w:r>
              <w:rPr>
                <w:rFonts w:hint="eastAsia" w:ascii="Times New Roman" w:hAnsi="Times New Roman" w:cs="Times New Roman"/>
                <w:color w:val="auto"/>
                <w:kern w:val="0"/>
                <w:sz w:val="24"/>
                <w:szCs w:val="24"/>
                <w:lang w:val="en-US" w:eastAsia="zh-CN"/>
              </w:rPr>
              <w:t>堆</w:t>
            </w:r>
            <w:r>
              <w:rPr>
                <w:rFonts w:hint="eastAsia" w:ascii="Times New Roman" w:hAnsi="Times New Roman" w:cs="Times New Roman"/>
                <w:color w:val="auto"/>
                <w:kern w:val="0"/>
                <w:sz w:val="24"/>
                <w:szCs w:val="24"/>
              </w:rPr>
              <w:t>场挡护、截排水等措施，并采取工程、植物及临时措施，防止</w:t>
            </w:r>
            <w:r>
              <w:rPr>
                <w:rFonts w:hint="eastAsia" w:ascii="Times New Roman" w:hAnsi="Times New Roman" w:cs="Times New Roman"/>
                <w:color w:val="auto"/>
                <w:kern w:val="0"/>
                <w:sz w:val="24"/>
                <w:szCs w:val="24"/>
                <w:lang w:val="en-US" w:eastAsia="zh-CN"/>
              </w:rPr>
              <w:t>堆放</w:t>
            </w:r>
            <w:r>
              <w:rPr>
                <w:rFonts w:hint="eastAsia" w:ascii="Times New Roman" w:hAnsi="Times New Roman" w:cs="Times New Roman"/>
                <w:color w:val="auto"/>
                <w:kern w:val="0"/>
                <w:sz w:val="24"/>
                <w:szCs w:val="24"/>
              </w:rPr>
              <w:t>过程中产生的水土流失。在施工期间应对松散土及时夯实。开挖的土石方应集中堆放避免暴雨天气施工作业，以减少对周围土地、植被的破坏。每逢雨季或大风天气，在土方上面采用篷布临时覆盖，做好临时堆场的防风、防雨、防流失等措施。</w:t>
            </w:r>
          </w:p>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kern w:val="0"/>
                <w:sz w:val="24"/>
                <w:szCs w:val="24"/>
              </w:rPr>
              <w:t>建筑垃圾：</w:t>
            </w:r>
            <w:r>
              <w:rPr>
                <w:rFonts w:ascii="Times New Roman" w:hAnsi="Times New Roman" w:cs="Times New Roman"/>
                <w:sz w:val="24"/>
                <w:szCs w:val="24"/>
              </w:rPr>
              <w:t>施工活动产生的废弃建筑材料</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包括建渣和废管道</w:t>
            </w:r>
            <w:r>
              <w:rPr>
                <w:rFonts w:hint="eastAsia" w:ascii="Times New Roman" w:hAnsi="Times New Roman" w:cs="Times New Roman"/>
                <w:sz w:val="24"/>
                <w:szCs w:val="24"/>
                <w:lang w:eastAsia="zh-CN"/>
              </w:rPr>
              <w:t>）</w:t>
            </w:r>
            <w:r>
              <w:rPr>
                <w:rFonts w:ascii="Times New Roman" w:hAnsi="Times New Roman" w:cs="Times New Roman"/>
                <w:sz w:val="24"/>
                <w:szCs w:val="24"/>
              </w:rPr>
              <w:t>应分类集中收集，</w:t>
            </w:r>
            <w:r>
              <w:rPr>
                <w:rFonts w:hint="eastAsia" w:ascii="Times New Roman" w:hAnsi="Times New Roman" w:cs="Times New Roman"/>
                <w:sz w:val="24"/>
                <w:szCs w:val="24"/>
              </w:rPr>
              <w:t>能回收利用的回收利用</w:t>
            </w:r>
            <w:r>
              <w:rPr>
                <w:rFonts w:ascii="Times New Roman" w:hAnsi="Times New Roman" w:cs="Times New Roman"/>
                <w:sz w:val="24"/>
                <w:szCs w:val="24"/>
              </w:rPr>
              <w:t>，不可利用的部分及时</w:t>
            </w:r>
            <w:r>
              <w:rPr>
                <w:rFonts w:hint="eastAsia" w:ascii="Times New Roman" w:hAnsi="Times New Roman" w:cs="Times New Roman"/>
                <w:sz w:val="24"/>
                <w:szCs w:val="24"/>
              </w:rPr>
              <w:t>转运至市政指定建筑垃圾处置场处置</w:t>
            </w:r>
            <w:r>
              <w:rPr>
                <w:rFonts w:ascii="Times New Roman" w:hAnsi="Times New Roman" w:cs="Times New Roman"/>
                <w:sz w:val="24"/>
                <w:szCs w:val="24"/>
              </w:rPr>
              <w:t>。</w:t>
            </w:r>
          </w:p>
          <w:p>
            <w:pPr>
              <w:autoSpaceDE w:val="0"/>
              <w:autoSpaceDN w:val="0"/>
              <w:adjustRightInd w:val="0"/>
              <w:snapToGrid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清淤淤泥：每处</w:t>
            </w:r>
            <w:r>
              <w:rPr>
                <w:rFonts w:hint="eastAsia" w:ascii="Times New Roman" w:hAnsi="Times New Roman" w:cs="Times New Roman"/>
                <w:color w:val="auto"/>
                <w:sz w:val="24"/>
                <w:lang w:val="en-US" w:eastAsia="zh-CN"/>
              </w:rPr>
              <w:t>淤泥堆放场</w:t>
            </w:r>
            <w:r>
              <w:rPr>
                <w:rFonts w:hint="eastAsia" w:ascii="Times New Roman" w:hAnsi="Times New Roman" w:cs="Times New Roman"/>
                <w:color w:val="auto"/>
                <w:sz w:val="24"/>
              </w:rPr>
              <w:t>主要包括环形排水沟</w:t>
            </w:r>
            <w:r>
              <w:rPr>
                <w:rFonts w:hint="eastAsia" w:ascii="Times New Roman" w:hAnsi="Times New Roman" w:cs="Times New Roman"/>
                <w:color w:val="auto"/>
                <w:sz w:val="24"/>
                <w:lang w:val="en-US" w:eastAsia="zh-CN"/>
              </w:rPr>
              <w:t>40</w:t>
            </w:r>
            <w:r>
              <w:rPr>
                <w:rFonts w:hint="eastAsia" w:ascii="Times New Roman" w:hAnsi="Times New Roman" w:cs="Times New Roman"/>
                <w:color w:val="auto"/>
                <w:sz w:val="24"/>
              </w:rPr>
              <w:t>0m，淤泥沉淀池1口，</w:t>
            </w: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rPr>
              <w:t>m</w:t>
            </w:r>
            <w:r>
              <w:rPr>
                <w:rFonts w:hint="eastAsia" w:ascii="Times New Roman" w:hAnsi="Times New Roman" w:cs="Times New Roman"/>
                <w:color w:val="auto"/>
                <w:sz w:val="24"/>
                <w:vertAlign w:val="superscript"/>
              </w:rPr>
              <w:t>3</w:t>
            </w:r>
            <w:r>
              <w:rPr>
                <w:rFonts w:hint="eastAsia" w:ascii="Times New Roman" w:hAnsi="Times New Roman" w:cs="Times New Roman"/>
                <w:color w:val="auto"/>
                <w:sz w:val="24"/>
              </w:rPr>
              <w:t>，对渠道整治清理出的淤泥沉积物进行脱水干化后用于临时占地平整，不外排。</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生活垃圾：现场设置垃圾桶，袋装后定期由当地环卫部门统一清运处置。</w:t>
            </w:r>
          </w:p>
          <w:p>
            <w:pPr>
              <w:autoSpaceDE w:val="0"/>
              <w:autoSpaceDN w:val="0"/>
              <w:adjustRightInd w:val="0"/>
              <w:snapToGrid w:val="0"/>
              <w:spacing w:line="360" w:lineRule="auto"/>
              <w:rPr>
                <w:rFonts w:ascii="Times New Roman" w:hAnsi="Times New Roman" w:cs="Times New Roman"/>
                <w:b/>
                <w:bCs/>
                <w:sz w:val="24"/>
                <w:szCs w:val="24"/>
              </w:rPr>
            </w:pPr>
            <w:r>
              <w:rPr>
                <w:rFonts w:hint="eastAsia" w:ascii="Times New Roman" w:hAnsi="Times New Roman" w:cs="Times New Roman"/>
                <w:b/>
                <w:bCs/>
                <w:sz w:val="24"/>
                <w:szCs w:val="24"/>
              </w:rPr>
              <w:t>五</w:t>
            </w:r>
            <w:r>
              <w:rPr>
                <w:rFonts w:ascii="Times New Roman" w:hAnsi="Times New Roman" w:cs="Times New Roman"/>
                <w:b/>
                <w:bCs/>
                <w:sz w:val="24"/>
                <w:szCs w:val="24"/>
              </w:rPr>
              <w:t>、生态保护措施</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rPr>
            </w:pPr>
            <w:r>
              <w:rPr>
                <w:rFonts w:hint="eastAsia" w:ascii="Times New Roman" w:hAnsi="Times New Roman" w:cs="Times New Roman"/>
                <w:color w:val="auto"/>
                <w:sz w:val="24"/>
                <w:szCs w:val="24"/>
              </w:rPr>
              <w:t>1、陆生生态保护措施</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根据工程布置及施工布置特点，应采取以下</w:t>
            </w:r>
            <w:r>
              <w:rPr>
                <w:rFonts w:hint="eastAsia" w:ascii="Times New Roman" w:hAnsi="Times New Roman" w:cs="Times New Roman"/>
                <w:color w:val="auto"/>
                <w:sz w:val="24"/>
                <w:szCs w:val="24"/>
              </w:rPr>
              <w:t>陆生生态</w:t>
            </w:r>
            <w:r>
              <w:rPr>
                <w:rFonts w:ascii="Times New Roman" w:hAnsi="Times New Roman" w:cs="Times New Roman"/>
                <w:color w:val="auto"/>
                <w:sz w:val="24"/>
                <w:szCs w:val="24"/>
              </w:rPr>
              <w:t>保护措施：</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u w:val="single"/>
              </w:rPr>
              <w:t>①</w:t>
            </w:r>
            <w:r>
              <w:rPr>
                <w:rFonts w:hint="eastAsia" w:ascii="Times New Roman" w:hAnsi="Times New Roman" w:cs="Times New Roman"/>
                <w:color w:val="auto"/>
                <w:sz w:val="24"/>
                <w:szCs w:val="24"/>
                <w:u w:val="single"/>
              </w:rPr>
              <w:t>剥离表土保存及利用措施</w:t>
            </w:r>
            <w:r>
              <w:rPr>
                <w:rFonts w:hint="eastAsia"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需要基础开挖线路，</w:t>
            </w:r>
            <w:r>
              <w:rPr>
                <w:rFonts w:ascii="Times New Roman" w:hAnsi="Times New Roman" w:cs="Times New Roman"/>
                <w:color w:val="auto"/>
                <w:sz w:val="24"/>
                <w:szCs w:val="24"/>
              </w:rPr>
              <w:t>施工前，先进行表土剥离，并单独分层堆放保存，以利于保护土壤及植被恢复，施工后反序回填，促使自然植被恢复。临时堆场坡脚外侧码放填土草袋拦挡，草袋外侧设临时排水沟接入临时沉沙池内。同时，临时堆场采取防雨布覆盖，施工过程中对产生的临时堆土堆料进行临时防护，施工后期及时开展可利用回填方进行回填区表面土地整治，并在可绿化区域及时撒播草籽，栽植绿化。</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u w:val="single"/>
              </w:rPr>
              <w:t>②</w:t>
            </w:r>
            <w:r>
              <w:rPr>
                <w:rFonts w:hint="eastAsia" w:ascii="Times New Roman" w:hAnsi="Times New Roman" w:cs="Times New Roman"/>
                <w:color w:val="auto"/>
                <w:sz w:val="24"/>
                <w:szCs w:val="24"/>
                <w:u w:val="single"/>
              </w:rPr>
              <w:t>临时占地工程生态恢复措施：</w:t>
            </w:r>
            <w:r>
              <w:rPr>
                <w:rFonts w:hint="eastAsia" w:ascii="Times New Roman" w:hAnsi="Times New Roman" w:cs="Times New Roman"/>
                <w:color w:val="auto"/>
                <w:sz w:val="24"/>
                <w:szCs w:val="24"/>
                <w:lang w:val="en-US" w:eastAsia="zh-CN"/>
              </w:rPr>
              <w:t>工程设置临时堆土场、临时施工场地及淤泥堆放场</w:t>
            </w:r>
            <w:r>
              <w:rPr>
                <w:rFonts w:ascii="Times New Roman" w:hAnsi="Times New Roman" w:cs="Times New Roman"/>
                <w:color w:val="auto"/>
                <w:sz w:val="24"/>
                <w:szCs w:val="24"/>
              </w:rPr>
              <w:t>，以压占为主，施工完成后</w:t>
            </w:r>
            <w:r>
              <w:rPr>
                <w:rFonts w:hint="eastAsia" w:ascii="Times New Roman" w:hAnsi="Times New Roman" w:cs="Times New Roman"/>
                <w:color w:val="auto"/>
                <w:sz w:val="24"/>
                <w:szCs w:val="24"/>
              </w:rPr>
              <w:t>对</w:t>
            </w:r>
            <w:r>
              <w:rPr>
                <w:rFonts w:hint="eastAsia" w:ascii="Times New Roman" w:hAnsi="Times New Roman" w:cs="Times New Roman"/>
                <w:color w:val="auto"/>
                <w:sz w:val="24"/>
                <w:szCs w:val="24"/>
                <w:lang w:val="en-US" w:eastAsia="zh-CN"/>
              </w:rPr>
              <w:t>临时占地</w:t>
            </w:r>
            <w:r>
              <w:rPr>
                <w:rFonts w:hint="eastAsia" w:ascii="Times New Roman" w:hAnsi="Times New Roman" w:cs="Times New Roman"/>
                <w:color w:val="auto"/>
                <w:sz w:val="24"/>
                <w:szCs w:val="24"/>
              </w:rPr>
              <w:t>进行</w:t>
            </w:r>
            <w:r>
              <w:rPr>
                <w:rFonts w:ascii="Times New Roman" w:hAnsi="Times New Roman" w:cs="Times New Roman"/>
                <w:color w:val="auto"/>
                <w:sz w:val="24"/>
                <w:szCs w:val="24"/>
              </w:rPr>
              <w:t>绿化恢复</w:t>
            </w:r>
            <w:r>
              <w:rPr>
                <w:rFonts w:hint="eastAsia" w:ascii="Times New Roman" w:hAnsi="Times New Roman" w:cs="Times New Roman"/>
                <w:color w:val="auto"/>
                <w:sz w:val="24"/>
                <w:szCs w:val="24"/>
              </w:rPr>
              <w:t>，栽种植被</w:t>
            </w:r>
            <w:r>
              <w:rPr>
                <w:rFonts w:ascii="Times New Roman" w:hAnsi="Times New Roman" w:cs="Times New Roman"/>
                <w:color w:val="auto"/>
                <w:sz w:val="24"/>
                <w:szCs w:val="24"/>
              </w:rPr>
              <w:t>；临时施工场地、临时堆土场</w:t>
            </w:r>
            <w:r>
              <w:rPr>
                <w:rFonts w:hint="eastAsia" w:ascii="Times New Roman" w:hAnsi="Times New Roman" w:cs="Times New Roman"/>
                <w:color w:val="auto"/>
                <w:sz w:val="24"/>
                <w:szCs w:val="24"/>
              </w:rPr>
              <w:t>使用</w:t>
            </w:r>
            <w:r>
              <w:rPr>
                <w:rFonts w:ascii="Times New Roman" w:hAnsi="Times New Roman" w:cs="Times New Roman"/>
                <w:color w:val="auto"/>
                <w:sz w:val="24"/>
                <w:szCs w:val="24"/>
              </w:rPr>
              <w:t>完成后</w:t>
            </w:r>
            <w:r>
              <w:rPr>
                <w:rFonts w:hint="eastAsia" w:ascii="Times New Roman" w:hAnsi="Times New Roman" w:cs="Times New Roman"/>
                <w:color w:val="auto"/>
                <w:sz w:val="24"/>
                <w:szCs w:val="24"/>
              </w:rPr>
              <w:t>破除硬化层（作为建渣处置）</w:t>
            </w:r>
            <w:r>
              <w:rPr>
                <w:rFonts w:ascii="Times New Roman" w:hAnsi="Times New Roman" w:cs="Times New Roman"/>
                <w:color w:val="auto"/>
                <w:sz w:val="24"/>
                <w:szCs w:val="24"/>
              </w:rPr>
              <w:t>，</w:t>
            </w:r>
            <w:r>
              <w:rPr>
                <w:rFonts w:hint="eastAsia" w:ascii="Times New Roman" w:hAnsi="Times New Roman" w:cs="Times New Roman"/>
                <w:color w:val="auto"/>
                <w:sz w:val="24"/>
                <w:szCs w:val="24"/>
              </w:rPr>
              <w:t>按照</w:t>
            </w:r>
            <w:r>
              <w:rPr>
                <w:rFonts w:hint="eastAsia" w:ascii="Times New Roman" w:hAnsi="Times New Roman" w:cs="Times New Roman"/>
                <w:color w:val="auto"/>
                <w:sz w:val="24"/>
                <w:szCs w:val="24"/>
                <w:lang w:val="en-US" w:eastAsia="zh-CN"/>
              </w:rPr>
              <w:t>占用前使用用途</w:t>
            </w:r>
            <w:r>
              <w:rPr>
                <w:rFonts w:hint="eastAsia" w:ascii="Times New Roman" w:hAnsi="Times New Roman" w:cs="Times New Roman"/>
                <w:color w:val="auto"/>
                <w:sz w:val="24"/>
                <w:szCs w:val="24"/>
              </w:rPr>
              <w:t>对临时占地</w:t>
            </w:r>
            <w:r>
              <w:rPr>
                <w:rFonts w:ascii="Times New Roman" w:hAnsi="Times New Roman" w:cs="Times New Roman"/>
                <w:color w:val="auto"/>
                <w:sz w:val="24"/>
                <w:szCs w:val="24"/>
              </w:rPr>
              <w:t>区域</w:t>
            </w:r>
            <w:r>
              <w:rPr>
                <w:rFonts w:hint="eastAsia" w:ascii="Times New Roman" w:hAnsi="Times New Roman" w:cs="Times New Roman"/>
                <w:color w:val="auto"/>
                <w:sz w:val="24"/>
                <w:szCs w:val="24"/>
              </w:rPr>
              <w:t>进行迹地恢复</w:t>
            </w:r>
            <w:r>
              <w:rPr>
                <w:rFonts w:ascii="Times New Roman" w:hAnsi="Times New Roman" w:cs="Times New Roman"/>
                <w:color w:val="auto"/>
                <w:sz w:val="24"/>
                <w:szCs w:val="24"/>
              </w:rPr>
              <w:t>。</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u w:val="single"/>
              </w:rPr>
              <w:t>③</w:t>
            </w:r>
            <w:r>
              <w:rPr>
                <w:rFonts w:hint="eastAsia" w:ascii="Times New Roman" w:hAnsi="Times New Roman" w:cs="Times New Roman"/>
                <w:color w:val="auto"/>
                <w:sz w:val="24"/>
                <w:szCs w:val="24"/>
                <w:u w:val="single"/>
              </w:rPr>
              <w:t>生物量损失补充措施：</w:t>
            </w:r>
            <w:r>
              <w:rPr>
                <w:rFonts w:hint="eastAsia" w:ascii="Times New Roman" w:hAnsi="Times New Roman" w:cs="Times New Roman"/>
                <w:color w:val="auto"/>
                <w:sz w:val="24"/>
                <w:szCs w:val="24"/>
              </w:rPr>
              <w:t>本项目</w:t>
            </w:r>
            <w:r>
              <w:rPr>
                <w:rFonts w:hint="eastAsia" w:ascii="Times New Roman" w:hAnsi="Times New Roman" w:cs="Times New Roman"/>
                <w:color w:val="auto"/>
                <w:sz w:val="24"/>
                <w:szCs w:val="24"/>
                <w:lang w:val="en-US" w:eastAsia="zh-CN"/>
              </w:rPr>
              <w:t>管线开挖、施工作业等不可避免对植被进行破坏，造成生物量损失</w:t>
            </w:r>
            <w:r>
              <w:rPr>
                <w:rFonts w:hint="eastAsia"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因此</w:t>
            </w:r>
            <w:r>
              <w:rPr>
                <w:rFonts w:hint="eastAsia" w:ascii="Times New Roman" w:hAnsi="Times New Roman" w:cs="Times New Roman"/>
                <w:color w:val="auto"/>
                <w:sz w:val="24"/>
                <w:szCs w:val="24"/>
              </w:rPr>
              <w:t>，在</w:t>
            </w:r>
            <w:r>
              <w:rPr>
                <w:rFonts w:hint="eastAsia" w:ascii="Times New Roman" w:hAnsi="Times New Roman" w:cs="Times New Roman"/>
                <w:color w:val="auto"/>
                <w:sz w:val="24"/>
                <w:szCs w:val="24"/>
                <w:lang w:val="en-US" w:eastAsia="zh-CN"/>
              </w:rPr>
              <w:t>回填</w:t>
            </w:r>
            <w:r>
              <w:rPr>
                <w:rFonts w:hint="eastAsia" w:ascii="Times New Roman" w:hAnsi="Times New Roman" w:cs="Times New Roman"/>
                <w:color w:val="auto"/>
                <w:sz w:val="24"/>
                <w:szCs w:val="24"/>
              </w:rPr>
              <w:t>时</w:t>
            </w:r>
            <w:r>
              <w:rPr>
                <w:rFonts w:hint="eastAsia" w:ascii="Times New Roman" w:hAnsi="Times New Roman" w:cs="Times New Roman"/>
                <w:color w:val="auto"/>
                <w:sz w:val="24"/>
                <w:szCs w:val="24"/>
                <w:lang w:val="en-US" w:eastAsia="zh-CN"/>
              </w:rPr>
              <w:t>进行迹地恢复以补充生物量，应</w:t>
            </w:r>
            <w:r>
              <w:rPr>
                <w:rFonts w:hint="eastAsia" w:ascii="Times New Roman" w:hAnsi="Times New Roman" w:cs="Times New Roman"/>
                <w:color w:val="auto"/>
                <w:sz w:val="24"/>
                <w:szCs w:val="24"/>
              </w:rPr>
              <w:t>以当地物种为宜，不得引入存在生物入侵风险的植物进行绿化修复，保护复生物多样性。</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u w:val="single"/>
              </w:rPr>
            </w:pPr>
            <w:r>
              <w:rPr>
                <w:rFonts w:hint="eastAsia" w:ascii="Times New Roman" w:hAnsi="Times New Roman" w:cs="Times New Roman"/>
                <w:color w:val="auto"/>
                <w:sz w:val="24"/>
                <w:szCs w:val="24"/>
                <w:u w:val="single"/>
              </w:rPr>
              <w:t>④水土保持措施：</w:t>
            </w:r>
            <w:r>
              <w:rPr>
                <w:rFonts w:hint="eastAsia" w:ascii="Times New Roman" w:hAnsi="Times New Roman" w:cs="Times New Roman"/>
                <w:color w:val="auto"/>
                <w:sz w:val="24"/>
                <w:szCs w:val="24"/>
              </w:rPr>
              <w:t>土石方堆放过程中，应进行适当的碾压夯实，在坡脚设袋装土拦挡，前期需采取表层固化措施，并在上部遮盖防雨布或防尘网以加强防护；后期可在表层种植绿化，防止水土流失，也可以起到美化环境的作用。</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u w:val="single"/>
              </w:rPr>
            </w:pPr>
            <w:r>
              <w:rPr>
                <w:rFonts w:hint="eastAsia" w:ascii="Times New Roman" w:hAnsi="Times New Roman" w:cs="Times New Roman"/>
                <w:color w:val="auto"/>
                <w:sz w:val="24"/>
                <w:szCs w:val="24"/>
              </w:rPr>
              <w:t>2、水生生态保护措施</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u w:val="single"/>
              </w:rPr>
            </w:pPr>
            <w:r>
              <w:rPr>
                <w:rFonts w:ascii="Times New Roman" w:hAnsi="Times New Roman" w:cs="Times New Roman"/>
                <w:color w:val="auto"/>
                <w:sz w:val="24"/>
                <w:szCs w:val="24"/>
              </w:rPr>
              <w:t>根据工程</w:t>
            </w:r>
            <w:r>
              <w:rPr>
                <w:rFonts w:hint="eastAsia" w:ascii="Times New Roman" w:hAnsi="Times New Roman" w:cs="Times New Roman"/>
                <w:color w:val="auto"/>
                <w:sz w:val="24"/>
                <w:szCs w:val="24"/>
              </w:rPr>
              <w:t>与周围地表水体位置关系</w:t>
            </w:r>
            <w:r>
              <w:rPr>
                <w:rFonts w:ascii="Times New Roman" w:hAnsi="Times New Roman" w:cs="Times New Roman"/>
                <w:color w:val="auto"/>
                <w:sz w:val="24"/>
                <w:szCs w:val="24"/>
              </w:rPr>
              <w:t>及</w:t>
            </w:r>
            <w:r>
              <w:rPr>
                <w:rFonts w:hint="eastAsia" w:ascii="Times New Roman" w:hAnsi="Times New Roman" w:cs="Times New Roman"/>
                <w:color w:val="auto"/>
                <w:sz w:val="24"/>
                <w:szCs w:val="24"/>
              </w:rPr>
              <w:t>地表水体功能</w:t>
            </w:r>
            <w:r>
              <w:rPr>
                <w:rFonts w:ascii="Times New Roman" w:hAnsi="Times New Roman" w:cs="Times New Roman"/>
                <w:color w:val="auto"/>
                <w:sz w:val="24"/>
                <w:szCs w:val="24"/>
              </w:rPr>
              <w:t>，应采取以下</w:t>
            </w:r>
            <w:r>
              <w:rPr>
                <w:rFonts w:hint="eastAsia" w:ascii="Times New Roman" w:hAnsi="Times New Roman" w:cs="Times New Roman"/>
                <w:color w:val="auto"/>
                <w:sz w:val="24"/>
                <w:szCs w:val="24"/>
              </w:rPr>
              <w:t>水生生态</w:t>
            </w:r>
            <w:r>
              <w:rPr>
                <w:rFonts w:ascii="Times New Roman" w:hAnsi="Times New Roman" w:cs="Times New Roman"/>
                <w:color w:val="auto"/>
                <w:sz w:val="24"/>
                <w:szCs w:val="24"/>
              </w:rPr>
              <w:t>保护措施：</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u w:val="single"/>
              </w:rPr>
              <w:t>①</w:t>
            </w:r>
            <w:r>
              <w:rPr>
                <w:rFonts w:hint="eastAsia" w:ascii="Times New Roman" w:hAnsi="Times New Roman" w:cs="Times New Roman"/>
                <w:color w:val="auto"/>
                <w:sz w:val="24"/>
                <w:szCs w:val="24"/>
                <w:u w:val="single"/>
                <w:lang w:val="en-US" w:eastAsia="zh-CN"/>
              </w:rPr>
              <w:t>渠道水质</w:t>
            </w:r>
            <w:r>
              <w:rPr>
                <w:rFonts w:hint="eastAsia" w:ascii="Times New Roman" w:hAnsi="Times New Roman" w:cs="Times New Roman"/>
                <w:color w:val="auto"/>
                <w:sz w:val="24"/>
                <w:szCs w:val="24"/>
                <w:u w:val="single"/>
              </w:rPr>
              <w:t>影响防护措施</w:t>
            </w:r>
            <w:r>
              <w:rPr>
                <w:rFonts w:hint="eastAsia" w:ascii="Times New Roman" w:hAnsi="Times New Roman" w:cs="Times New Roman"/>
                <w:color w:val="auto"/>
                <w:sz w:val="24"/>
                <w:szCs w:val="24"/>
              </w:rPr>
              <w:t>：</w:t>
            </w:r>
            <w:r>
              <w:rPr>
                <w:rFonts w:ascii="Times New Roman" w:hAnsi="Times New Roman" w:cs="Times New Roman"/>
                <w:color w:val="auto"/>
                <w:sz w:val="24"/>
                <w:szCs w:val="24"/>
              </w:rPr>
              <w:t>施工期间临近</w:t>
            </w:r>
            <w:r>
              <w:rPr>
                <w:rFonts w:hint="eastAsia" w:ascii="Times New Roman" w:hAnsi="Times New Roman" w:cs="Times New Roman"/>
                <w:color w:val="auto"/>
                <w:sz w:val="24"/>
                <w:szCs w:val="24"/>
                <w:lang w:val="en-US" w:eastAsia="zh-CN"/>
              </w:rPr>
              <w:t>各渠道</w:t>
            </w:r>
            <w:r>
              <w:rPr>
                <w:rFonts w:ascii="Times New Roman" w:hAnsi="Times New Roman" w:cs="Times New Roman"/>
                <w:color w:val="auto"/>
                <w:sz w:val="24"/>
                <w:szCs w:val="24"/>
              </w:rPr>
              <w:t>水体施工时，</w:t>
            </w:r>
            <w:r>
              <w:rPr>
                <w:rFonts w:hint="eastAsia" w:ascii="Times New Roman" w:hAnsi="Times New Roman" w:cs="Times New Roman"/>
                <w:color w:val="auto"/>
                <w:sz w:val="24"/>
                <w:szCs w:val="24"/>
              </w:rPr>
              <w:t>严格控制施工作业带范围，</w:t>
            </w:r>
            <w:r>
              <w:rPr>
                <w:rFonts w:ascii="Times New Roman" w:hAnsi="Times New Roman" w:cs="Times New Roman"/>
                <w:color w:val="auto"/>
                <w:sz w:val="24"/>
                <w:szCs w:val="24"/>
              </w:rPr>
              <w:t>做好</w:t>
            </w:r>
            <w:r>
              <w:rPr>
                <w:rFonts w:hint="eastAsia" w:ascii="Times New Roman" w:hAnsi="Times New Roman" w:cs="Times New Roman"/>
                <w:color w:val="auto"/>
                <w:sz w:val="24"/>
                <w:szCs w:val="24"/>
              </w:rPr>
              <w:t>边界</w:t>
            </w:r>
            <w:r>
              <w:rPr>
                <w:rFonts w:ascii="Times New Roman" w:hAnsi="Times New Roman" w:cs="Times New Roman"/>
                <w:color w:val="auto"/>
                <w:sz w:val="24"/>
                <w:szCs w:val="24"/>
              </w:rPr>
              <w:t>防护，设置围挡，防止</w:t>
            </w:r>
            <w:r>
              <w:rPr>
                <w:rFonts w:hint="eastAsia" w:ascii="Times New Roman" w:hAnsi="Times New Roman" w:cs="Times New Roman"/>
                <w:color w:val="auto"/>
                <w:sz w:val="24"/>
                <w:szCs w:val="24"/>
              </w:rPr>
              <w:t>各类固废、废水</w:t>
            </w:r>
            <w:r>
              <w:rPr>
                <w:rFonts w:ascii="Times New Roman" w:hAnsi="Times New Roman" w:cs="Times New Roman"/>
                <w:color w:val="auto"/>
                <w:sz w:val="24"/>
                <w:szCs w:val="24"/>
              </w:rPr>
              <w:t>及</w:t>
            </w:r>
            <w:r>
              <w:rPr>
                <w:rFonts w:hint="eastAsia" w:ascii="Times New Roman" w:hAnsi="Times New Roman" w:cs="Times New Roman"/>
                <w:color w:val="auto"/>
                <w:sz w:val="24"/>
                <w:szCs w:val="24"/>
              </w:rPr>
              <w:t>建筑材料等</w:t>
            </w:r>
            <w:r>
              <w:rPr>
                <w:rFonts w:ascii="Times New Roman" w:hAnsi="Times New Roman" w:cs="Times New Roman"/>
                <w:color w:val="auto"/>
                <w:sz w:val="24"/>
                <w:szCs w:val="24"/>
              </w:rPr>
              <w:t>进入</w:t>
            </w:r>
            <w:r>
              <w:rPr>
                <w:rFonts w:hint="eastAsia" w:ascii="Times New Roman" w:hAnsi="Times New Roman" w:cs="Times New Roman"/>
                <w:color w:val="auto"/>
                <w:sz w:val="24"/>
                <w:szCs w:val="24"/>
                <w:lang w:val="en-US" w:eastAsia="zh-CN"/>
              </w:rPr>
              <w:t>渠道</w:t>
            </w:r>
            <w:r>
              <w:rPr>
                <w:rFonts w:hint="eastAsia" w:ascii="Times New Roman" w:hAnsi="Times New Roman" w:cs="Times New Roman"/>
                <w:color w:val="auto"/>
                <w:sz w:val="24"/>
                <w:szCs w:val="24"/>
              </w:rPr>
              <w:t>污染水质。</w:t>
            </w:r>
          </w:p>
          <w:p>
            <w:pPr>
              <w:autoSpaceDE w:val="0"/>
              <w:autoSpaceDN w:val="0"/>
              <w:adjustRightInd w:val="0"/>
              <w:snapToGrid w:val="0"/>
              <w:spacing w:line="360" w:lineRule="auto"/>
              <w:ind w:firstLine="480" w:firstLineChars="200"/>
              <w:rPr>
                <w:rFonts w:ascii="Times New Roman" w:hAnsi="Times New Roman" w:eastAsia="宋体" w:cs="Times New Roman"/>
                <w:color w:val="auto"/>
                <w:sz w:val="24"/>
                <w:szCs w:val="24"/>
              </w:rPr>
            </w:pPr>
            <w:r>
              <w:rPr>
                <w:rFonts w:ascii="Times New Roman" w:hAnsi="Times New Roman" w:cs="Times New Roman"/>
                <w:color w:val="auto"/>
                <w:sz w:val="24"/>
                <w:szCs w:val="24"/>
                <w:u w:val="single"/>
              </w:rPr>
              <w:t>②</w:t>
            </w:r>
            <w:r>
              <w:rPr>
                <w:rFonts w:hint="eastAsia" w:ascii="Times New Roman" w:hAnsi="Times New Roman" w:cs="Times New Roman"/>
                <w:color w:val="auto"/>
                <w:sz w:val="24"/>
                <w:szCs w:val="24"/>
                <w:u w:val="single"/>
              </w:rPr>
              <w:t>施工方案保护措施：</w:t>
            </w:r>
            <w:r>
              <w:rPr>
                <w:rFonts w:hint="eastAsia" w:ascii="Times New Roman" w:hAnsi="Times New Roman" w:cs="Times New Roman"/>
                <w:color w:val="auto"/>
                <w:sz w:val="24"/>
                <w:szCs w:val="24"/>
              </w:rPr>
              <w:t>优化施工方案，</w:t>
            </w:r>
            <w:r>
              <w:rPr>
                <w:rFonts w:hint="eastAsia" w:ascii="Times New Roman" w:hAnsi="Times New Roman" w:cs="Times New Roman"/>
                <w:color w:val="auto"/>
                <w:sz w:val="24"/>
                <w:szCs w:val="24"/>
                <w:lang w:val="en-US" w:eastAsia="zh-CN"/>
              </w:rPr>
              <w:t>避开农灌季节，</w:t>
            </w:r>
            <w:r>
              <w:rPr>
                <w:rFonts w:hint="eastAsia" w:ascii="Times New Roman" w:hAnsi="Times New Roman" w:cs="Times New Roman"/>
                <w:color w:val="auto"/>
                <w:sz w:val="24"/>
                <w:szCs w:val="24"/>
              </w:rPr>
              <w:t>严格控制施工时间，</w:t>
            </w:r>
            <w:r>
              <w:rPr>
                <w:rFonts w:hint="eastAsia" w:ascii="Times New Roman" w:hAnsi="Times New Roman" w:eastAsia="宋体" w:cs="Times New Roman"/>
                <w:color w:val="auto"/>
                <w:sz w:val="24"/>
                <w:szCs w:val="24"/>
              </w:rPr>
              <w:t>避免长时间</w:t>
            </w:r>
            <w:r>
              <w:rPr>
                <w:rFonts w:ascii="Times New Roman" w:hAnsi="Times New Roman" w:cs="Times New Roman"/>
                <w:color w:val="auto"/>
                <w:sz w:val="24"/>
                <w:szCs w:val="24"/>
              </w:rPr>
              <w:t>施工</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高强度扰动</w:t>
            </w:r>
            <w:r>
              <w:rPr>
                <w:rFonts w:ascii="Times New Roman" w:hAnsi="Times New Roman" w:eastAsia="宋体" w:cs="Times New Roman"/>
                <w:color w:val="auto"/>
                <w:sz w:val="24"/>
                <w:szCs w:val="24"/>
              </w:rPr>
              <w:t>对</w:t>
            </w:r>
            <w:r>
              <w:rPr>
                <w:rFonts w:hint="eastAsia" w:ascii="Times New Roman" w:hAnsi="Times New Roman" w:eastAsia="宋体" w:cs="Times New Roman"/>
                <w:color w:val="auto"/>
                <w:sz w:val="24"/>
                <w:szCs w:val="24"/>
                <w:lang w:val="en-US" w:eastAsia="zh-CN"/>
              </w:rPr>
              <w:t>水生</w:t>
            </w:r>
            <w:r>
              <w:rPr>
                <w:rFonts w:ascii="Times New Roman" w:hAnsi="Times New Roman" w:eastAsia="宋体" w:cs="Times New Roman"/>
                <w:color w:val="auto"/>
                <w:sz w:val="24"/>
                <w:szCs w:val="24"/>
              </w:rPr>
              <w:t>生态环境的</w:t>
            </w:r>
            <w:r>
              <w:rPr>
                <w:rFonts w:hint="eastAsia" w:ascii="Times New Roman" w:hAnsi="Times New Roman" w:eastAsia="宋体" w:cs="Times New Roman"/>
                <w:color w:val="auto"/>
                <w:sz w:val="24"/>
                <w:szCs w:val="24"/>
              </w:rPr>
              <w:t>长期</w:t>
            </w:r>
            <w:r>
              <w:rPr>
                <w:rFonts w:ascii="Times New Roman" w:hAnsi="Times New Roman" w:eastAsia="宋体" w:cs="Times New Roman"/>
                <w:color w:val="auto"/>
                <w:sz w:val="24"/>
                <w:szCs w:val="24"/>
              </w:rPr>
              <w:t>影响</w:t>
            </w:r>
            <w:r>
              <w:rPr>
                <w:rFonts w:hint="eastAsia" w:ascii="Times New Roman" w:hAnsi="Times New Roman" w:eastAsia="宋体" w:cs="Times New Roman"/>
                <w:color w:val="auto"/>
                <w:sz w:val="24"/>
                <w:szCs w:val="24"/>
              </w:rPr>
              <w:t>。</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u w:val="single"/>
              </w:rPr>
              <w:t>③</w:t>
            </w:r>
            <w:r>
              <w:rPr>
                <w:rFonts w:hint="eastAsia" w:ascii="Times New Roman" w:hAnsi="Times New Roman" w:cs="Times New Roman"/>
                <w:color w:val="auto"/>
                <w:sz w:val="24"/>
                <w:szCs w:val="24"/>
                <w:u w:val="single"/>
              </w:rPr>
              <w:t>水质污染防治措施：</w:t>
            </w:r>
            <w:r>
              <w:rPr>
                <w:rFonts w:ascii="Times New Roman" w:hAnsi="Times New Roman" w:cs="Times New Roman"/>
                <w:color w:val="auto"/>
                <w:sz w:val="24"/>
                <w:szCs w:val="24"/>
              </w:rPr>
              <w:t>施工过程中确保现状</w:t>
            </w:r>
            <w:r>
              <w:rPr>
                <w:rFonts w:hint="eastAsia" w:ascii="Times New Roman" w:hAnsi="Times New Roman" w:cs="Times New Roman"/>
                <w:color w:val="auto"/>
                <w:sz w:val="24"/>
                <w:szCs w:val="24"/>
                <w:lang w:val="en-US" w:eastAsia="zh-CN"/>
              </w:rPr>
              <w:t>渠道</w:t>
            </w:r>
            <w:r>
              <w:rPr>
                <w:rFonts w:ascii="Times New Roman" w:hAnsi="Times New Roman" w:cs="Times New Roman"/>
                <w:color w:val="auto"/>
                <w:sz w:val="24"/>
                <w:szCs w:val="24"/>
              </w:rPr>
              <w:t>水质，落实水土流失防治措施，施工废水、施工</w:t>
            </w:r>
            <w:r>
              <w:rPr>
                <w:rFonts w:hint="eastAsia" w:ascii="Times New Roman" w:hAnsi="Times New Roman" w:cs="Times New Roman"/>
                <w:color w:val="auto"/>
                <w:sz w:val="24"/>
                <w:szCs w:val="24"/>
              </w:rPr>
              <w:t>各类</w:t>
            </w:r>
            <w:r>
              <w:rPr>
                <w:rFonts w:ascii="Times New Roman" w:hAnsi="Times New Roman" w:cs="Times New Roman"/>
                <w:color w:val="auto"/>
                <w:sz w:val="24"/>
                <w:szCs w:val="24"/>
              </w:rPr>
              <w:t>固废禁止</w:t>
            </w:r>
            <w:r>
              <w:rPr>
                <w:rFonts w:hint="eastAsia" w:ascii="Times New Roman" w:hAnsi="Times New Roman" w:cs="Times New Roman"/>
                <w:color w:val="auto"/>
                <w:sz w:val="24"/>
                <w:szCs w:val="24"/>
              </w:rPr>
              <w:t>入</w:t>
            </w:r>
            <w:r>
              <w:rPr>
                <w:rFonts w:hint="eastAsia" w:ascii="Times New Roman" w:hAnsi="Times New Roman" w:cs="Times New Roman"/>
                <w:color w:val="auto"/>
                <w:sz w:val="24"/>
                <w:szCs w:val="24"/>
                <w:lang w:val="en-US" w:eastAsia="zh-CN"/>
              </w:rPr>
              <w:t>渠</w:t>
            </w:r>
            <w:r>
              <w:rPr>
                <w:rFonts w:ascii="Times New Roman" w:hAnsi="Times New Roman" w:cs="Times New Roman"/>
                <w:color w:val="auto"/>
                <w:sz w:val="24"/>
                <w:szCs w:val="24"/>
              </w:rPr>
              <w:t>，落实</w:t>
            </w:r>
            <w:r>
              <w:rPr>
                <w:rFonts w:hint="eastAsia" w:ascii="Times New Roman" w:hAnsi="Times New Roman" w:cs="Times New Roman"/>
                <w:color w:val="auto"/>
                <w:sz w:val="24"/>
                <w:szCs w:val="24"/>
              </w:rPr>
              <w:t>各项</w:t>
            </w:r>
            <w:r>
              <w:rPr>
                <w:rFonts w:ascii="Times New Roman" w:hAnsi="Times New Roman" w:cs="Times New Roman"/>
                <w:color w:val="auto"/>
                <w:sz w:val="24"/>
                <w:szCs w:val="24"/>
              </w:rPr>
              <w:t>污染控制措施以达到保护水质和水生生态环境的目的</w:t>
            </w:r>
            <w:r>
              <w:rPr>
                <w:rFonts w:hint="eastAsia" w:ascii="Times New Roman" w:hAnsi="Times New Roman" w:cs="Times New Roman"/>
                <w:color w:val="auto"/>
                <w:sz w:val="24"/>
                <w:szCs w:val="24"/>
              </w:rPr>
              <w:t>。</w:t>
            </w:r>
          </w:p>
          <w:p>
            <w:pPr>
              <w:autoSpaceDE w:val="0"/>
              <w:autoSpaceDN w:val="0"/>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u w:val="single"/>
              </w:rPr>
              <w:t>④</w:t>
            </w:r>
            <w:r>
              <w:rPr>
                <w:rFonts w:hint="eastAsia" w:ascii="Times New Roman" w:hAnsi="Times New Roman" w:cs="Times New Roman"/>
                <w:color w:val="auto"/>
                <w:sz w:val="24"/>
                <w:szCs w:val="24"/>
                <w:u w:val="single"/>
              </w:rPr>
              <w:t>水生生物保护措施：</w:t>
            </w:r>
            <w:r>
              <w:rPr>
                <w:rFonts w:ascii="Times New Roman" w:hAnsi="Times New Roman" w:cs="Times New Roman"/>
                <w:color w:val="auto"/>
                <w:sz w:val="24"/>
                <w:szCs w:val="24"/>
              </w:rPr>
              <w:t>施工中应加强</w:t>
            </w:r>
            <w:r>
              <w:rPr>
                <w:rFonts w:hint="eastAsia" w:ascii="Times New Roman" w:hAnsi="Times New Roman" w:cs="Times New Roman"/>
                <w:color w:val="auto"/>
                <w:sz w:val="24"/>
                <w:szCs w:val="24"/>
              </w:rPr>
              <w:t>施工人员</w:t>
            </w:r>
            <w:r>
              <w:rPr>
                <w:rFonts w:ascii="Times New Roman" w:hAnsi="Times New Roman" w:cs="Times New Roman"/>
                <w:color w:val="auto"/>
                <w:sz w:val="24"/>
                <w:szCs w:val="24"/>
              </w:rPr>
              <w:t>管理，禁止捕捞当地鱼类。</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color w:val="auto"/>
                <w:sz w:val="24"/>
                <w:szCs w:val="24"/>
              </w:rPr>
              <w:t>在认真落实好本报告提出的生态保护措施后，项目建设造成的</w:t>
            </w:r>
            <w:r>
              <w:rPr>
                <w:rFonts w:hint="eastAsia" w:ascii="Times New Roman" w:hAnsi="Times New Roman" w:cs="Times New Roman"/>
                <w:color w:val="auto"/>
                <w:sz w:val="24"/>
                <w:szCs w:val="24"/>
              </w:rPr>
              <w:t>陆生生态影响、水生生态影响</w:t>
            </w:r>
            <w:r>
              <w:rPr>
                <w:rFonts w:ascii="Times New Roman" w:hAnsi="Times New Roman" w:cs="Times New Roman"/>
                <w:color w:val="auto"/>
                <w:sz w:val="24"/>
                <w:szCs w:val="24"/>
              </w:rPr>
              <w:t>能够降到最低</w:t>
            </w:r>
            <w:r>
              <w:rPr>
                <w:rFonts w:hint="eastAsia" w:ascii="Times New Roman" w:hAnsi="Times New Roman" w:cs="Times New Roman"/>
                <w:color w:val="auto"/>
                <w:sz w:val="24"/>
                <w:szCs w:val="24"/>
              </w:rPr>
              <w:t>程度</w:t>
            </w:r>
            <w:r>
              <w:rPr>
                <w:rFonts w:ascii="Times New Roman" w:hAnsi="Times New Roman"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autoSpaceDE w:val="0"/>
              <w:autoSpaceDN w:val="0"/>
              <w:adjustRightInd w:val="0"/>
              <w:snapToGrid w:val="0"/>
              <w:jc w:val="center"/>
              <w:rPr>
                <w:rFonts w:ascii="Times New Roman" w:hAnsi="Times New Roman" w:cs="Times New Roman"/>
                <w:kern w:val="0"/>
                <w:szCs w:val="21"/>
              </w:rPr>
            </w:pPr>
            <w:r>
              <w:rPr>
                <w:rFonts w:ascii="Times New Roman" w:hAnsi="Times New Roman" w:cs="Times New Roman"/>
                <w:kern w:val="0"/>
                <w:szCs w:val="21"/>
              </w:rPr>
              <w:t>运营期生态环境保护措施</w:t>
            </w:r>
          </w:p>
        </w:tc>
        <w:tc>
          <w:tcPr>
            <w:tcW w:w="9061" w:type="dxa"/>
            <w:vAlign w:val="center"/>
          </w:tcPr>
          <w:p>
            <w:pPr>
              <w:autoSpaceDE w:val="0"/>
              <w:autoSpaceDN w:val="0"/>
              <w:adjustRightInd w:val="0"/>
              <w:snapToGrid w:val="0"/>
              <w:spacing w:line="360" w:lineRule="auto"/>
              <w:ind w:firstLine="482" w:firstLineChars="200"/>
              <w:rPr>
                <w:rFonts w:ascii="Times New Roman" w:hAnsi="Times New Roman" w:cs="Times New Roman"/>
                <w:kern w:val="0"/>
                <w:sz w:val="24"/>
                <w:szCs w:val="24"/>
              </w:rPr>
            </w:pPr>
            <w:r>
              <w:rPr>
                <w:rFonts w:ascii="Times New Roman" w:hAnsi="Times New Roman" w:cs="Times New Roman"/>
                <w:b/>
                <w:bCs/>
                <w:kern w:val="0"/>
                <w:sz w:val="24"/>
                <w:szCs w:val="24"/>
              </w:rPr>
              <w:t>本项目运行过程中无废气、废水产生。</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hint="eastAsia" w:ascii="Times New Roman" w:hAnsi="Times New Roman" w:cs="Times New Roman"/>
                <w:kern w:val="0"/>
                <w:sz w:val="24"/>
                <w:szCs w:val="24"/>
              </w:rPr>
              <w:t>一、声环境保护措施</w:t>
            </w:r>
          </w:p>
          <w:p>
            <w:pPr>
              <w:autoSpaceDE w:val="0"/>
              <w:autoSpaceDN w:val="0"/>
              <w:adjustRightInd w:val="0"/>
              <w:snapToGrid w:val="0"/>
              <w:spacing w:line="360" w:lineRule="auto"/>
              <w:ind w:firstLine="480" w:firstLineChars="200"/>
              <w:rPr>
                <w:rFonts w:ascii="Times New Roman" w:hAnsi="Times New Roman" w:cs="Times New Roman"/>
                <w:color w:val="FF0000"/>
                <w:kern w:val="0"/>
                <w:sz w:val="24"/>
                <w:szCs w:val="24"/>
              </w:rPr>
            </w:pPr>
            <w:r>
              <w:rPr>
                <w:rFonts w:hint="eastAsia" w:ascii="Times New Roman" w:hAnsi="Times New Roman" w:cs="Times New Roman"/>
                <w:color w:val="000000" w:themeColor="text1"/>
                <w:kern w:val="0"/>
                <w:sz w:val="24"/>
                <w:szCs w:val="24"/>
                <w:lang w:val="en-US" w:eastAsia="zh-CN"/>
                <w14:textFill>
                  <w14:solidFill>
                    <w14:schemeClr w14:val="tx1"/>
                  </w14:solidFill>
                </w14:textFill>
              </w:rPr>
              <w:t>运营期提灌站、各类小型闸门启闭时产生短时间噪声污染，通过基础减震、加强维护管理对噪声可得到有效治理</w:t>
            </w:r>
            <w:r>
              <w:rPr>
                <w:rFonts w:hint="eastAsia" w:ascii="Times New Roman" w:hAnsi="Times New Roman" w:cs="Times New Roman"/>
                <w:color w:val="000000" w:themeColor="text1"/>
                <w:kern w:val="0"/>
                <w:sz w:val="24"/>
                <w:szCs w:val="24"/>
                <w14:textFill>
                  <w14:solidFill>
                    <w14:schemeClr w14:val="tx1"/>
                  </w14:solidFill>
                </w14:textFill>
              </w:rPr>
              <w:t>。</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hint="eastAsia" w:ascii="Times New Roman" w:hAnsi="Times New Roman" w:cs="Times New Roman"/>
                <w:kern w:val="0"/>
                <w:sz w:val="24"/>
                <w:szCs w:val="24"/>
              </w:rPr>
              <w:t>二</w:t>
            </w:r>
            <w:r>
              <w:rPr>
                <w:rFonts w:ascii="Times New Roman" w:hAnsi="Times New Roman" w:cs="Times New Roman"/>
                <w:kern w:val="0"/>
                <w:sz w:val="24"/>
                <w:szCs w:val="24"/>
              </w:rPr>
              <w:t>、固体废物</w:t>
            </w:r>
          </w:p>
          <w:p>
            <w:pPr>
              <w:autoSpaceDE w:val="0"/>
              <w:autoSpaceDN w:val="0"/>
              <w:adjustRightInd w:val="0"/>
              <w:snapToGrid w:val="0"/>
              <w:spacing w:line="360" w:lineRule="auto"/>
              <w:ind w:firstLine="480" w:firstLineChars="200"/>
              <w:rPr>
                <w:rFonts w:ascii="Times New Roman" w:hAnsi="Times New Roman" w:cs="Times New Roman"/>
                <w:color w:val="FF0000"/>
                <w:kern w:val="0"/>
                <w:sz w:val="24"/>
                <w:szCs w:val="24"/>
              </w:rPr>
            </w:pPr>
            <w:r>
              <w:rPr>
                <w:rFonts w:ascii="Times New Roman" w:hAnsi="Times New Roman" w:cs="Times New Roman"/>
                <w:color w:val="000000" w:themeColor="text1"/>
                <w:kern w:val="0"/>
                <w:sz w:val="24"/>
                <w:szCs w:val="24"/>
                <w14:textFill>
                  <w14:solidFill>
                    <w14:schemeClr w14:val="tx1"/>
                  </w14:solidFill>
                </w14:textFill>
              </w:rPr>
              <w:t>本项目</w:t>
            </w:r>
            <w:r>
              <w:rPr>
                <w:rFonts w:hint="eastAsia" w:ascii="Times New Roman" w:hAnsi="Times New Roman" w:cs="Times New Roman"/>
                <w:color w:val="000000" w:themeColor="text1"/>
                <w:kern w:val="0"/>
                <w:sz w:val="24"/>
                <w:szCs w:val="24"/>
                <w:lang w:val="en-US" w:eastAsia="zh-CN"/>
                <w14:textFill>
                  <w14:solidFill>
                    <w14:schemeClr w14:val="tx1"/>
                  </w14:solidFill>
                </w14:textFill>
              </w:rPr>
              <w:t>渠道在运营中</w:t>
            </w:r>
            <w:r>
              <w:rPr>
                <w:rFonts w:ascii="Times New Roman" w:hAnsi="Times New Roman" w:cs="Times New Roman"/>
                <w:color w:val="000000" w:themeColor="text1"/>
                <w:kern w:val="0"/>
                <w:sz w:val="24"/>
                <w:szCs w:val="24"/>
                <w14:textFill>
                  <w14:solidFill>
                    <w14:schemeClr w14:val="tx1"/>
                  </w14:solidFill>
                </w14:textFill>
              </w:rPr>
              <w:t>截留一些随着水流带来的枯枝败叶</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14:textFill>
                  <w14:solidFill>
                    <w14:schemeClr w14:val="tx1"/>
                  </w14:solidFill>
                </w14:textFill>
              </w:rPr>
              <w:t>生活垃圾及慢慢形成的底泥</w:t>
            </w:r>
            <w:r>
              <w:rPr>
                <w:rFonts w:ascii="Times New Roman" w:hAnsi="Times New Roman" w:cs="Times New Roman"/>
                <w:color w:val="000000" w:themeColor="text1"/>
                <w:kern w:val="0"/>
                <w:sz w:val="24"/>
                <w:szCs w:val="24"/>
                <w14:textFill>
                  <w14:solidFill>
                    <w14:schemeClr w14:val="tx1"/>
                  </w14:solidFill>
                </w14:textFill>
              </w:rPr>
              <w:t>，属于一般固废</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ascii="Times New Roman" w:hAnsi="Times New Roman" w:cs="Times New Roman"/>
                <w:kern w:val="0"/>
                <w:sz w:val="24"/>
                <w:szCs w:val="24"/>
              </w:rPr>
              <w:t>其定期由当地环卫部门统一清掏后处置，</w:t>
            </w:r>
            <w:r>
              <w:rPr>
                <w:rFonts w:hint="eastAsia" w:ascii="Times New Roman" w:hAnsi="Times New Roman" w:cs="Times New Roman"/>
                <w:kern w:val="0"/>
                <w:sz w:val="24"/>
                <w:szCs w:val="24"/>
              </w:rPr>
              <w:t>去</w:t>
            </w:r>
            <w:r>
              <w:rPr>
                <w:rFonts w:ascii="Times New Roman" w:hAnsi="Times New Roman" w:cs="Times New Roman"/>
                <w:kern w:val="0"/>
                <w:sz w:val="24"/>
                <w:szCs w:val="24"/>
              </w:rPr>
              <w:t>向明确，不产生二次污染。</w:t>
            </w:r>
          </w:p>
          <w:p>
            <w:pPr>
              <w:autoSpaceDE w:val="0"/>
              <w:autoSpaceDN w:val="0"/>
              <w:adjustRightInd w:val="0"/>
              <w:snapToGrid w:val="0"/>
              <w:spacing w:line="360" w:lineRule="auto"/>
              <w:ind w:firstLine="482" w:firstLineChars="200"/>
              <w:rPr>
                <w:rFonts w:ascii="Times New Roman" w:hAnsi="Times New Roman" w:cs="Times New Roman"/>
                <w:b/>
                <w:bCs/>
                <w:color w:val="000000" w:themeColor="text1"/>
                <w:kern w:val="0"/>
                <w:sz w:val="24"/>
                <w:szCs w:val="24"/>
                <w14:textFill>
                  <w14:solidFill>
                    <w14:schemeClr w14:val="tx1"/>
                  </w14:solidFill>
                </w14:textFill>
              </w:rPr>
            </w:pPr>
            <w:r>
              <w:rPr>
                <w:rFonts w:hint="eastAsia" w:ascii="Times New Roman" w:hAnsi="Times New Roman" w:cs="Times New Roman"/>
                <w:b/>
                <w:bCs/>
                <w:color w:val="000000" w:themeColor="text1"/>
                <w:kern w:val="0"/>
                <w:sz w:val="24"/>
                <w:szCs w:val="24"/>
                <w:lang w:val="en-US" w:eastAsia="zh-CN"/>
                <w14:textFill>
                  <w14:solidFill>
                    <w14:schemeClr w14:val="tx1"/>
                  </w14:solidFill>
                </w14:textFill>
              </w:rPr>
              <w:t>三</w:t>
            </w:r>
            <w:r>
              <w:rPr>
                <w:rFonts w:ascii="Times New Roman" w:hAnsi="Times New Roman" w:cs="Times New Roman"/>
                <w:b/>
                <w:bCs/>
                <w:color w:val="000000" w:themeColor="text1"/>
                <w:kern w:val="0"/>
                <w:sz w:val="24"/>
                <w:szCs w:val="24"/>
                <w14:textFill>
                  <w14:solidFill>
                    <w14:schemeClr w14:val="tx1"/>
                  </w14:solidFill>
                </w14:textFill>
              </w:rPr>
              <w:t>、环境正效益</w:t>
            </w:r>
          </w:p>
          <w:p>
            <w:pPr>
              <w:autoSpaceDE w:val="0"/>
              <w:autoSpaceDN w:val="0"/>
              <w:adjustRightInd w:val="0"/>
              <w:snapToGrid w:val="0"/>
              <w:spacing w:line="360" w:lineRule="auto"/>
              <w:ind w:firstLine="435"/>
              <w:rPr>
                <w:rFonts w:ascii="Times New Roman" w:hAnsi="Times New Roman" w:cs="Times New Roman"/>
                <w:b/>
                <w:bCs/>
                <w:color w:val="000000" w:themeColor="text1"/>
                <w:kern w:val="0"/>
                <w:sz w:val="24"/>
                <w:szCs w:val="24"/>
                <w14:textFill>
                  <w14:solidFill>
                    <w14:schemeClr w14:val="tx1"/>
                  </w14:solidFill>
                </w14:textFill>
              </w:rPr>
            </w:pPr>
            <w:r>
              <w:rPr>
                <w:rFonts w:hint="eastAsia" w:ascii="Times New Roman" w:hAnsi="Times New Roman" w:cs="Times New Roman"/>
                <w:b/>
                <w:bCs/>
                <w:color w:val="000000" w:themeColor="text1"/>
                <w:kern w:val="0"/>
                <w:sz w:val="24"/>
                <w:szCs w:val="24"/>
                <w14:textFill>
                  <w14:solidFill>
                    <w14:schemeClr w14:val="tx1"/>
                  </w14:solidFill>
                </w14:textFill>
              </w:rPr>
              <w:t>通过前述生态环境正效益分析，原有退水中污染因子通过渠道破损处下渗至土壤和地下水的现象得到有效治理，通过水力联系进入地下水的水污染物也会大大降低，项目实施对区域地下水环境具有一定的环境正效益。</w:t>
            </w:r>
          </w:p>
          <w:p>
            <w:pPr>
              <w:autoSpaceDE w:val="0"/>
              <w:autoSpaceDN w:val="0"/>
              <w:adjustRightInd w:val="0"/>
              <w:snapToGrid w:val="0"/>
              <w:spacing w:line="360" w:lineRule="auto"/>
              <w:ind w:firstLine="482" w:firstLineChars="200"/>
              <w:rPr>
                <w:rFonts w:hint="eastAsia" w:ascii="Times New Roman" w:hAnsi="Times New Roman" w:cs="Times New Roman"/>
                <w:color w:val="000000" w:themeColor="text1"/>
                <w:kern w:val="0"/>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项目现有渠道</w:t>
            </w:r>
            <w:r>
              <w:rPr>
                <w:rFonts w:hint="eastAsia" w:ascii="Times New Roman" w:hAnsi="Times New Roman" w:cs="Times New Roman"/>
                <w:b/>
                <w:bCs w:val="0"/>
                <w:color w:val="000000" w:themeColor="text1"/>
                <w:kern w:val="0"/>
                <w:sz w:val="24"/>
                <w:szCs w:val="24"/>
                <w:lang w:val="en-US" w:eastAsia="zh-CN"/>
                <w14:textFill>
                  <w14:solidFill>
                    <w14:schemeClr w14:val="tx1"/>
                  </w14:solidFill>
                </w14:textFill>
              </w:rPr>
              <w:t>破损、渗漏、垮塌等情况较多，由于渠道两侧以耕地为主，部分渠道的破损带来不同程度的水土流失，本项目实施后通过渠道修复，耕地内土壤不再被冲刷、垮塌等进入渠道，对渠道两侧水土保持有积极的正效益。</w:t>
            </w:r>
          </w:p>
          <w:p>
            <w:pPr>
              <w:autoSpaceDE w:val="0"/>
              <w:autoSpaceDN w:val="0"/>
              <w:adjustRightInd w:val="0"/>
              <w:snapToGrid w:val="0"/>
              <w:spacing w:line="360" w:lineRule="auto"/>
              <w:ind w:firstLine="480" w:firstLineChars="200"/>
              <w:rPr>
                <w:rFonts w:ascii="Times New Roman" w:hAnsi="Times New Roman" w:cs="Times New Roman"/>
                <w:color w:val="000000" w:themeColor="text1"/>
                <w:kern w:val="0"/>
                <w:sz w:val="24"/>
                <w:szCs w:val="24"/>
                <w14:textFill>
                  <w14:solidFill>
                    <w14:schemeClr w14:val="tx1"/>
                  </w14:solidFill>
                </w14:textFill>
              </w:rPr>
            </w:pPr>
            <w:r>
              <w:rPr>
                <w:rFonts w:hint="eastAsia" w:ascii="Times New Roman" w:hAnsi="Times New Roman" w:cs="Times New Roman"/>
                <w:color w:val="000000" w:themeColor="text1"/>
                <w:kern w:val="0"/>
                <w:sz w:val="24"/>
                <w:szCs w:val="24"/>
                <w:lang w:val="en-US" w:eastAsia="zh-CN"/>
                <w14:textFill>
                  <w14:solidFill>
                    <w14:schemeClr w14:val="tx1"/>
                  </w14:solidFill>
                </w14:textFill>
              </w:rPr>
              <w:t>四</w:t>
            </w:r>
            <w:r>
              <w:rPr>
                <w:rFonts w:ascii="Times New Roman" w:hAnsi="Times New Roman" w:cs="Times New Roman"/>
                <w:color w:val="000000" w:themeColor="text1"/>
                <w:kern w:val="0"/>
                <w:sz w:val="24"/>
                <w:szCs w:val="24"/>
                <w14:textFill>
                  <w14:solidFill>
                    <w14:schemeClr w14:val="tx1"/>
                  </w14:solidFill>
                </w14:textFill>
              </w:rPr>
              <w:t>、环境监测计划</w:t>
            </w:r>
          </w:p>
          <w:p>
            <w:pPr>
              <w:autoSpaceDE w:val="0"/>
              <w:autoSpaceDN w:val="0"/>
              <w:adjustRightInd w:val="0"/>
              <w:snapToGrid w:val="0"/>
              <w:spacing w:line="360" w:lineRule="auto"/>
              <w:ind w:firstLine="480" w:firstLineChars="200"/>
              <w:rPr>
                <w:rFonts w:ascii="Times New Roman" w:hAnsi="Times New Roman" w:cs="Times New Roman"/>
                <w:kern w:val="0"/>
                <w:szCs w:val="21"/>
              </w:rPr>
            </w:pPr>
            <w:r>
              <w:rPr>
                <w:rFonts w:hint="eastAsia" w:ascii="Times New Roman" w:hAnsi="Times New Roman" w:cs="Times New Roman"/>
                <w:color w:val="000000" w:themeColor="text1"/>
                <w:kern w:val="0"/>
                <w:sz w:val="24"/>
                <w:szCs w:val="24"/>
                <w14:textFill>
                  <w14:solidFill>
                    <w14:schemeClr w14:val="tx1"/>
                  </w14:solidFill>
                </w14:textFill>
              </w:rPr>
              <w:t>本次评价建议后期加强对</w:t>
            </w:r>
            <w:r>
              <w:rPr>
                <w:rFonts w:hint="eastAsia" w:ascii="Times New Roman" w:hAnsi="Times New Roman" w:cs="Times New Roman"/>
                <w:color w:val="000000" w:themeColor="text1"/>
                <w:kern w:val="0"/>
                <w:sz w:val="24"/>
                <w:szCs w:val="24"/>
                <w:lang w:val="en-US" w:eastAsia="zh-CN"/>
                <w14:textFill>
                  <w14:solidFill>
                    <w14:schemeClr w14:val="tx1"/>
                  </w14:solidFill>
                </w14:textFill>
              </w:rPr>
              <w:t>各渠道</w:t>
            </w:r>
            <w:r>
              <w:rPr>
                <w:rFonts w:hint="eastAsia" w:ascii="Times New Roman" w:hAnsi="Times New Roman" w:cs="Times New Roman"/>
                <w:color w:val="000000" w:themeColor="text1"/>
                <w:kern w:val="0"/>
                <w:sz w:val="24"/>
                <w:szCs w:val="24"/>
                <w14:textFill>
                  <w14:solidFill>
                    <w14:schemeClr w14:val="tx1"/>
                  </w14:solidFill>
                </w14:textFill>
              </w:rPr>
              <w:t>的水质跟踪监测工作，根据监测结果合理完善水体清淤计划</w:t>
            </w:r>
            <w:r>
              <w:rPr>
                <w:rFonts w:ascii="Times New Roman" w:hAnsi="Times New Roman" w:cs="Times New Roman"/>
                <w:color w:val="000000" w:themeColor="text1"/>
                <w:kern w:val="0"/>
                <w:sz w:val="24"/>
                <w:szCs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autoSpaceDE w:val="0"/>
              <w:autoSpaceDN w:val="0"/>
              <w:adjustRightInd w:val="0"/>
              <w:snapToGrid w:val="0"/>
              <w:jc w:val="center"/>
              <w:rPr>
                <w:rFonts w:ascii="Times New Roman" w:hAnsi="Times New Roman" w:cs="Times New Roman"/>
                <w:kern w:val="0"/>
                <w:sz w:val="24"/>
                <w:szCs w:val="24"/>
              </w:rPr>
            </w:pPr>
            <w:r>
              <w:rPr>
                <w:rFonts w:ascii="Times New Roman" w:hAnsi="Times New Roman" w:cs="Times New Roman"/>
                <w:kern w:val="0"/>
                <w:sz w:val="24"/>
                <w:szCs w:val="24"/>
              </w:rPr>
              <w:t>其他</w:t>
            </w:r>
          </w:p>
        </w:tc>
        <w:tc>
          <w:tcPr>
            <w:tcW w:w="9061" w:type="dxa"/>
            <w:vAlign w:val="center"/>
          </w:tcPr>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1、施工期环境管理</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建设单位对施工期环境保护工作全面负责，要求施工单位按本报告提出的环保要求施工，并进行监督检查，重点控制扬尘污染和噪声污染：①对施工人员进行环保知识的教育；②指派专人监督环保措施的实施；③开工前，履行“三同时”手续；④对运输车辆加强管理，对噪声较大的设备采取隔声、减振措施；⑤合理安排施工计划和施工机械合理布局，禁止夜间（22:00~06:00）进行产生环境噪声污染的建筑施工作业；⑥施工前及时向</w:t>
            </w:r>
            <w:r>
              <w:rPr>
                <w:rFonts w:hint="eastAsia" w:ascii="Times New Roman" w:hAnsi="Times New Roman" w:cs="Times New Roman"/>
                <w:kern w:val="0"/>
                <w:sz w:val="24"/>
                <w:szCs w:val="24"/>
                <w:lang w:val="en-US" w:eastAsia="zh-CN"/>
              </w:rPr>
              <w:t>当地</w:t>
            </w:r>
            <w:r>
              <w:rPr>
                <w:rFonts w:ascii="Times New Roman" w:hAnsi="Times New Roman" w:cs="Times New Roman"/>
                <w:kern w:val="0"/>
                <w:sz w:val="24"/>
                <w:szCs w:val="24"/>
              </w:rPr>
              <w:t>生态环境局报告，接受其日常监管。</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2、营运期环境管理</w:t>
            </w:r>
          </w:p>
          <w:p>
            <w:pPr>
              <w:autoSpaceDE w:val="0"/>
              <w:autoSpaceDN w:val="0"/>
              <w:adjustRightInd w:val="0"/>
              <w:snapToGrid w:val="0"/>
              <w:spacing w:line="360" w:lineRule="auto"/>
              <w:ind w:firstLine="480" w:firstLineChars="200"/>
              <w:rPr>
                <w:rFonts w:ascii="Times New Roman" w:hAnsi="Times New Roman" w:cs="Times New Roman"/>
                <w:kern w:val="0"/>
                <w:sz w:val="24"/>
                <w:szCs w:val="24"/>
              </w:rPr>
            </w:pPr>
            <w:r>
              <w:rPr>
                <w:rFonts w:ascii="Times New Roman" w:hAnsi="Times New Roman" w:cs="Times New Roman"/>
                <w:kern w:val="0"/>
                <w:sz w:val="24"/>
                <w:szCs w:val="24"/>
              </w:rPr>
              <w:t>本项目</w:t>
            </w:r>
            <w:r>
              <w:rPr>
                <w:rFonts w:hint="eastAsia" w:ascii="Times New Roman" w:hAnsi="Times New Roman" w:cs="Times New Roman"/>
                <w:kern w:val="0"/>
                <w:sz w:val="24"/>
                <w:szCs w:val="24"/>
                <w:lang w:val="en-US" w:eastAsia="zh-CN"/>
              </w:rPr>
              <w:t>渠道整治</w:t>
            </w:r>
            <w:r>
              <w:rPr>
                <w:rFonts w:ascii="Times New Roman" w:hAnsi="Times New Roman" w:cs="Times New Roman"/>
                <w:kern w:val="0"/>
                <w:sz w:val="24"/>
                <w:szCs w:val="24"/>
              </w:rPr>
              <w:t>应该满足汛期防洪要求。营运期建设单位应认真按照生态环境部门的要求制定环境管理计划，把环保工作落到实处。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环保</w:t>
            </w:r>
          </w:p>
          <w:p>
            <w:pPr>
              <w:autoSpaceDE w:val="0"/>
              <w:autoSpaceDN w:val="0"/>
              <w:adjustRightInd w:val="0"/>
              <w:snapToGrid w:val="0"/>
              <w:spacing w:line="360" w:lineRule="auto"/>
              <w:jc w:val="center"/>
              <w:rPr>
                <w:rFonts w:ascii="Times New Roman" w:hAnsi="Times New Roman" w:cs="Times New Roman"/>
                <w:kern w:val="0"/>
                <w:sz w:val="24"/>
                <w:szCs w:val="24"/>
              </w:rPr>
            </w:pPr>
            <w:r>
              <w:rPr>
                <w:rFonts w:ascii="Times New Roman" w:hAnsi="Times New Roman" w:cs="Times New Roman"/>
                <w:kern w:val="0"/>
                <w:sz w:val="24"/>
                <w:szCs w:val="24"/>
              </w:rPr>
              <w:t>投资</w:t>
            </w:r>
          </w:p>
        </w:tc>
        <w:tc>
          <w:tcPr>
            <w:tcW w:w="9061" w:type="dxa"/>
            <w:vAlign w:val="center"/>
          </w:tcPr>
          <w:p>
            <w:pPr>
              <w:autoSpaceDE w:val="0"/>
              <w:autoSpaceDN w:val="0"/>
              <w:adjustRightInd w:val="0"/>
              <w:snapToGrid w:val="0"/>
              <w:spacing w:line="360" w:lineRule="auto"/>
              <w:ind w:firstLine="480"/>
              <w:rPr>
                <w:rFonts w:ascii="Times New Roman" w:hAnsi="Times New Roman" w:cs="Times New Roman"/>
                <w:kern w:val="0"/>
                <w:sz w:val="24"/>
                <w:szCs w:val="24"/>
              </w:rPr>
            </w:pPr>
            <w:r>
              <w:rPr>
                <w:rFonts w:ascii="Times New Roman" w:hAnsi="Times New Roman" w:cs="Times New Roman"/>
                <w:kern w:val="0"/>
                <w:sz w:val="24"/>
                <w:szCs w:val="24"/>
              </w:rPr>
              <w:t>本项目总投资</w:t>
            </w:r>
            <w:r>
              <w:rPr>
                <w:rFonts w:hint="eastAsia" w:ascii="Times New Roman" w:hAnsi="Times New Roman" w:cs="Times New Roman"/>
                <w:sz w:val="24"/>
                <w:szCs w:val="24"/>
                <w:lang w:val="en-US" w:eastAsia="zh-CN"/>
              </w:rPr>
              <w:t>5790</w:t>
            </w:r>
            <w:r>
              <w:rPr>
                <w:rFonts w:ascii="Times New Roman" w:hAnsi="Times New Roman" w:cs="Times New Roman"/>
                <w:kern w:val="0"/>
                <w:sz w:val="24"/>
                <w:szCs w:val="24"/>
              </w:rPr>
              <w:t>万元，其中环保投资为</w:t>
            </w:r>
            <w:r>
              <w:rPr>
                <w:rFonts w:hint="eastAsia" w:ascii="Times New Roman" w:hAnsi="Times New Roman" w:cs="Times New Roman"/>
                <w:kern w:val="0"/>
                <w:sz w:val="24"/>
                <w:szCs w:val="24"/>
                <w:lang w:val="en-US" w:eastAsia="zh-CN"/>
              </w:rPr>
              <w:t>303</w:t>
            </w:r>
            <w:r>
              <w:rPr>
                <w:rFonts w:ascii="Times New Roman" w:hAnsi="Times New Roman" w:cs="Times New Roman"/>
                <w:kern w:val="0"/>
                <w:sz w:val="24"/>
                <w:szCs w:val="24"/>
              </w:rPr>
              <w:t>万元，占总投资</w:t>
            </w:r>
            <w:r>
              <w:rPr>
                <w:rFonts w:hint="eastAsia" w:ascii="Times New Roman" w:hAnsi="Times New Roman" w:cs="Times New Roman"/>
                <w:kern w:val="0"/>
                <w:sz w:val="24"/>
                <w:szCs w:val="24"/>
                <w:lang w:val="en-US" w:eastAsia="zh-CN"/>
              </w:rPr>
              <w:t>5.23</w:t>
            </w:r>
            <w:r>
              <w:rPr>
                <w:rFonts w:ascii="Times New Roman" w:hAnsi="Times New Roman" w:cs="Times New Roman"/>
                <w:kern w:val="0"/>
                <w:sz w:val="24"/>
                <w:szCs w:val="24"/>
              </w:rPr>
              <w:t>%，项目主要环保措施及投资见下表。</w:t>
            </w:r>
          </w:p>
          <w:p>
            <w:pPr>
              <w:autoSpaceDE w:val="0"/>
              <w:autoSpaceDN w:val="0"/>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表5-</w:t>
            </w:r>
            <w:r>
              <w:rPr>
                <w:rFonts w:hint="eastAsia" w:ascii="Times New Roman" w:hAnsi="Times New Roman" w:eastAsia="宋体" w:cs="Times New Roman"/>
                <w:b/>
                <w:bCs/>
                <w:kern w:val="0"/>
                <w:szCs w:val="21"/>
              </w:rPr>
              <w:t>1</w:t>
            </w:r>
            <w:r>
              <w:rPr>
                <w:rFonts w:ascii="Times New Roman" w:hAnsi="Times New Roman" w:eastAsia="宋体" w:cs="Times New Roman"/>
                <w:b/>
                <w:bCs/>
                <w:kern w:val="0"/>
                <w:szCs w:val="21"/>
              </w:rPr>
              <w:t xml:space="preserve"> </w:t>
            </w:r>
            <w:r>
              <w:rPr>
                <w:rFonts w:hint="eastAsia" w:ascii="Times New Roman" w:hAnsi="Times New Roman" w:eastAsia="宋体" w:cs="Times New Roman"/>
                <w:b/>
                <w:bCs/>
                <w:kern w:val="0"/>
                <w:szCs w:val="21"/>
              </w:rPr>
              <w:t xml:space="preserve"> </w:t>
            </w:r>
            <w:r>
              <w:rPr>
                <w:rFonts w:ascii="Times New Roman" w:hAnsi="Times New Roman" w:eastAsia="宋体" w:cs="Times New Roman"/>
                <w:b/>
                <w:bCs/>
                <w:kern w:val="0"/>
                <w:szCs w:val="21"/>
              </w:rPr>
              <w:t>环保设施（措施）投资一览表   单位：万元</w:t>
            </w:r>
          </w:p>
          <w:tbl>
            <w:tblPr>
              <w:tblStyle w:val="26"/>
              <w:tblW w:w="8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
              <w:gridCol w:w="993"/>
              <w:gridCol w:w="6237"/>
              <w:gridCol w:w="1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Align w:val="center"/>
                </w:tcPr>
                <w:p>
                  <w:pPr>
                    <w:pStyle w:val="78"/>
                    <w:rPr>
                      <w:rFonts w:cs="Times New Roman" w:eastAsiaTheme="minorEastAsia"/>
                      <w:szCs w:val="21"/>
                    </w:rPr>
                  </w:pPr>
                  <w:r>
                    <w:rPr>
                      <w:rFonts w:cs="Times New Roman" w:eastAsiaTheme="minorEastAsia"/>
                      <w:szCs w:val="21"/>
                    </w:rPr>
                    <w:t>时段</w:t>
                  </w:r>
                </w:p>
              </w:tc>
              <w:tc>
                <w:tcPr>
                  <w:tcW w:w="993" w:type="dxa"/>
                  <w:vAlign w:val="center"/>
                </w:tcPr>
                <w:p>
                  <w:pPr>
                    <w:pStyle w:val="78"/>
                    <w:rPr>
                      <w:rFonts w:cs="Times New Roman" w:eastAsiaTheme="minorEastAsia"/>
                      <w:szCs w:val="21"/>
                    </w:rPr>
                  </w:pPr>
                  <w:r>
                    <w:rPr>
                      <w:rFonts w:cs="Times New Roman" w:eastAsiaTheme="minorEastAsia"/>
                      <w:szCs w:val="21"/>
                    </w:rPr>
                    <w:t>类  别</w:t>
                  </w:r>
                </w:p>
              </w:tc>
              <w:tc>
                <w:tcPr>
                  <w:tcW w:w="6237" w:type="dxa"/>
                  <w:vAlign w:val="center"/>
                </w:tcPr>
                <w:p>
                  <w:pPr>
                    <w:pStyle w:val="78"/>
                    <w:rPr>
                      <w:rFonts w:cs="Times New Roman" w:eastAsiaTheme="minorEastAsia"/>
                      <w:szCs w:val="21"/>
                    </w:rPr>
                  </w:pPr>
                  <w:r>
                    <w:rPr>
                      <w:rFonts w:cs="Times New Roman" w:eastAsiaTheme="minorEastAsia"/>
                      <w:szCs w:val="21"/>
                    </w:rPr>
                    <w:t>措 施 内 容</w:t>
                  </w:r>
                </w:p>
              </w:tc>
              <w:tc>
                <w:tcPr>
                  <w:tcW w:w="1011" w:type="dxa"/>
                  <w:vAlign w:val="center"/>
                </w:tcPr>
                <w:p>
                  <w:pPr>
                    <w:pStyle w:val="78"/>
                    <w:rPr>
                      <w:rFonts w:cs="Times New Roman" w:eastAsiaTheme="minorEastAsia"/>
                      <w:szCs w:val="21"/>
                    </w:rPr>
                  </w:pPr>
                  <w:r>
                    <w:rPr>
                      <w:rFonts w:cs="Times New Roman" w:eastAsiaTheme="minorEastAsia"/>
                      <w:szCs w:val="21"/>
                    </w:rPr>
                    <w:t>投资估算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restart"/>
                  <w:vAlign w:val="center"/>
                </w:tcPr>
                <w:p>
                  <w:pPr>
                    <w:pStyle w:val="78"/>
                    <w:rPr>
                      <w:rFonts w:cs="Times New Roman" w:eastAsiaTheme="minorEastAsia"/>
                      <w:b w:val="0"/>
                      <w:szCs w:val="21"/>
                    </w:rPr>
                  </w:pPr>
                  <w:r>
                    <w:rPr>
                      <w:rFonts w:cs="Times New Roman" w:eastAsiaTheme="minorEastAsia"/>
                      <w:b w:val="0"/>
                      <w:szCs w:val="21"/>
                    </w:rPr>
                    <w:t>施</w:t>
                  </w:r>
                </w:p>
                <w:p>
                  <w:pPr>
                    <w:pStyle w:val="78"/>
                    <w:rPr>
                      <w:rFonts w:cs="Times New Roman" w:eastAsiaTheme="minorEastAsia"/>
                      <w:b w:val="0"/>
                      <w:szCs w:val="21"/>
                    </w:rPr>
                  </w:pPr>
                  <w:r>
                    <w:rPr>
                      <w:rFonts w:cs="Times New Roman" w:eastAsiaTheme="minorEastAsia"/>
                      <w:b w:val="0"/>
                      <w:szCs w:val="21"/>
                    </w:rPr>
                    <w:t>工</w:t>
                  </w:r>
                </w:p>
                <w:p>
                  <w:pPr>
                    <w:pStyle w:val="78"/>
                    <w:rPr>
                      <w:rFonts w:cs="Times New Roman" w:eastAsiaTheme="minorEastAsia"/>
                      <w:szCs w:val="21"/>
                    </w:rPr>
                  </w:pPr>
                  <w:r>
                    <w:rPr>
                      <w:rFonts w:cs="Times New Roman" w:eastAsiaTheme="minorEastAsia"/>
                      <w:b w:val="0"/>
                      <w:szCs w:val="21"/>
                    </w:rPr>
                    <w:t>期</w:t>
                  </w:r>
                </w:p>
              </w:tc>
              <w:tc>
                <w:tcPr>
                  <w:tcW w:w="993" w:type="dxa"/>
                  <w:vMerge w:val="restart"/>
                  <w:vAlign w:val="center"/>
                </w:tcPr>
                <w:p>
                  <w:pPr>
                    <w:pStyle w:val="65"/>
                    <w:rPr>
                      <w:rFonts w:ascii="Times New Roman" w:hAnsi="Times New Roman" w:cs="Times New Roman"/>
                    </w:rPr>
                  </w:pPr>
                  <w:r>
                    <w:rPr>
                      <w:rFonts w:ascii="Times New Roman" w:hAnsi="Times New Roman" w:cs="Times New Roman"/>
                    </w:rPr>
                    <w:t>大气</w:t>
                  </w:r>
                </w:p>
              </w:tc>
              <w:tc>
                <w:tcPr>
                  <w:tcW w:w="6237" w:type="dxa"/>
                  <w:vAlign w:val="center"/>
                </w:tcPr>
                <w:p>
                  <w:pPr>
                    <w:pStyle w:val="65"/>
                    <w:rPr>
                      <w:rFonts w:ascii="Times New Roman" w:hAnsi="Times New Roman" w:cs="Times New Roman"/>
                    </w:rPr>
                  </w:pPr>
                  <w:r>
                    <w:rPr>
                      <w:rFonts w:ascii="Times New Roman" w:hAnsi="Times New Roman" w:cs="Times New Roman"/>
                    </w:rPr>
                    <w:t>施工场地</w:t>
                  </w:r>
                  <w:r>
                    <w:rPr>
                      <w:rFonts w:hint="eastAsia" w:ascii="Times New Roman" w:hAnsi="Times New Roman" w:cs="Times New Roman"/>
                      <w:lang w:val="en-US" w:eastAsia="zh-CN"/>
                    </w:rPr>
                    <w:t>临近集中居住区段</w:t>
                  </w:r>
                  <w:r>
                    <w:rPr>
                      <w:rFonts w:ascii="Times New Roman" w:hAnsi="Times New Roman" w:cs="Times New Roman"/>
                    </w:rPr>
                    <w:t>设置围墙喷雾定时洒水降尘、防尘遮布、及时清扫，出入口设洗车设备</w:t>
                  </w:r>
                  <w:r>
                    <w:rPr>
                      <w:rFonts w:hint="eastAsia" w:ascii="Times New Roman" w:hAnsi="Times New Roman" w:cs="Times New Roman"/>
                    </w:rPr>
                    <w:t>，配套建设沉淀循环水池</w:t>
                  </w:r>
                </w:p>
              </w:tc>
              <w:tc>
                <w:tcPr>
                  <w:tcW w:w="1011" w:type="dxa"/>
                  <w:vAlign w:val="center"/>
                </w:tcPr>
                <w:p>
                  <w:pPr>
                    <w:pStyle w:val="65"/>
                    <w:rPr>
                      <w:rFonts w:hint="eastAsia" w:ascii="Times New Roman" w:hAnsi="Times New Roman" w:cs="Times New Roman" w:eastAsiaTheme="minorEastAsia"/>
                      <w:lang w:eastAsia="zh-CN"/>
                    </w:rPr>
                  </w:pPr>
                  <w:r>
                    <w:rPr>
                      <w:rFonts w:ascii="Times New Roman" w:hAnsi="Times New Roman" w:cs="Times New Roman"/>
                    </w:rPr>
                    <w:t>2</w:t>
                  </w:r>
                  <w:r>
                    <w:rPr>
                      <w:rFonts w:hint="eastAsia" w:ascii="Times New Roman" w:hAnsi="Times New Roman" w:cs="Times New Roman"/>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continue"/>
                  <w:vAlign w:val="center"/>
                </w:tcPr>
                <w:p>
                  <w:pPr>
                    <w:pStyle w:val="78"/>
                    <w:rPr>
                      <w:rFonts w:cs="Times New Roman" w:eastAsiaTheme="minorEastAsia"/>
                      <w:szCs w:val="21"/>
                    </w:rPr>
                  </w:pPr>
                </w:p>
              </w:tc>
              <w:tc>
                <w:tcPr>
                  <w:tcW w:w="993" w:type="dxa"/>
                  <w:vMerge w:val="continue"/>
                  <w:vAlign w:val="center"/>
                </w:tcPr>
                <w:p>
                  <w:pPr>
                    <w:pStyle w:val="65"/>
                    <w:rPr>
                      <w:rFonts w:ascii="Times New Roman" w:hAnsi="Times New Roman" w:cs="Times New Roman"/>
                    </w:rPr>
                  </w:pPr>
                </w:p>
              </w:tc>
              <w:tc>
                <w:tcPr>
                  <w:tcW w:w="6237" w:type="dxa"/>
                  <w:vAlign w:val="center"/>
                </w:tcPr>
                <w:p>
                  <w:pPr>
                    <w:pStyle w:val="65"/>
                    <w:rPr>
                      <w:rFonts w:ascii="Times New Roman" w:hAnsi="Times New Roman" w:cs="Times New Roman"/>
                    </w:rPr>
                  </w:pPr>
                  <w:r>
                    <w:rPr>
                      <w:rFonts w:ascii="Times New Roman" w:hAnsi="Times New Roman" w:cs="Times New Roman"/>
                    </w:rPr>
                    <w:t>施工车辆拦网覆盖，控制运输时间段及运输线路</w:t>
                  </w:r>
                </w:p>
              </w:tc>
              <w:tc>
                <w:tcPr>
                  <w:tcW w:w="1011" w:type="dxa"/>
                  <w:vAlign w:val="center"/>
                </w:tcPr>
                <w:p>
                  <w:pPr>
                    <w:pStyle w:val="65"/>
                    <w:rPr>
                      <w:rFonts w:ascii="Times New Roman" w:hAnsi="Times New Roman" w:cs="Times New Roman"/>
                    </w:rPr>
                  </w:pPr>
                  <w:r>
                    <w:rPr>
                      <w:rFonts w:hint="eastAsia" w:ascii="Times New Roman" w:hAnsi="Times New Roman" w:cs="Times New Roma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94" w:type="dxa"/>
                  <w:vMerge w:val="continue"/>
                  <w:vAlign w:val="center"/>
                </w:tcPr>
                <w:p>
                  <w:pPr>
                    <w:pStyle w:val="78"/>
                    <w:rPr>
                      <w:rFonts w:cs="Times New Roman" w:eastAsiaTheme="minorEastAsia"/>
                      <w:szCs w:val="21"/>
                    </w:rPr>
                  </w:pPr>
                </w:p>
              </w:tc>
              <w:tc>
                <w:tcPr>
                  <w:tcW w:w="993" w:type="dxa"/>
                  <w:vMerge w:val="restart"/>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废水</w:t>
                  </w:r>
                </w:p>
              </w:tc>
              <w:tc>
                <w:tcPr>
                  <w:tcW w:w="6237" w:type="dxa"/>
                  <w:vAlign w:val="center"/>
                </w:tcPr>
                <w:p>
                  <w:pPr>
                    <w:pStyle w:val="65"/>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施工期间生活污水通过</w:t>
                  </w:r>
                  <w:r>
                    <w:rPr>
                      <w:rFonts w:hint="default" w:ascii="Times New Roman" w:hAnsi="Times New Roman" w:cs="Times New Roman"/>
                      <w:color w:val="000000" w:themeColor="text1"/>
                      <w:lang w:val="en-US" w:eastAsia="zh-CN"/>
                      <w14:textFill>
                        <w14:solidFill>
                          <w14:schemeClr w14:val="tx1"/>
                        </w14:solidFill>
                      </w14:textFill>
                    </w:rPr>
                    <w:t>依托周边居民既有旱厕</w:t>
                  </w:r>
                  <w:r>
                    <w:rPr>
                      <w:rFonts w:hint="default" w:ascii="Times New Roman" w:hAnsi="Times New Roman" w:cs="Times New Roman"/>
                      <w:color w:val="000000" w:themeColor="text1"/>
                      <w14:textFill>
                        <w14:solidFill>
                          <w14:schemeClr w14:val="tx1"/>
                        </w14:solidFill>
                      </w14:textFill>
                    </w:rPr>
                    <w:t>收集后用于</w:t>
                  </w:r>
                  <w:r>
                    <w:rPr>
                      <w:rFonts w:hint="default" w:ascii="Times New Roman" w:hAnsi="Times New Roman" w:cs="Times New Roman"/>
                      <w:color w:val="000000" w:themeColor="text1"/>
                      <w:lang w:val="en-US" w:eastAsia="zh-CN"/>
                      <w14:textFill>
                        <w14:solidFill>
                          <w14:schemeClr w14:val="tx1"/>
                        </w14:solidFill>
                      </w14:textFill>
                    </w:rPr>
                    <w:t>周边农田施肥</w:t>
                  </w:r>
                  <w:r>
                    <w:rPr>
                      <w:rFonts w:hint="default" w:ascii="Times New Roman" w:hAnsi="Times New Roman" w:cs="Times New Roman"/>
                      <w:color w:val="000000" w:themeColor="text1"/>
                      <w14:textFill>
                        <w14:solidFill>
                          <w14:schemeClr w14:val="tx1"/>
                        </w14:solidFill>
                      </w14:textFill>
                    </w:rPr>
                    <w:t>，不外排</w:t>
                  </w:r>
                </w:p>
              </w:tc>
              <w:tc>
                <w:tcPr>
                  <w:tcW w:w="1011" w:type="dxa"/>
                  <w:vAlign w:val="center"/>
                </w:tcPr>
                <w:p>
                  <w:pPr>
                    <w:pStyle w:val="65"/>
                    <w:rPr>
                      <w:rFonts w:hint="eastAsia" w:ascii="Times New Roman" w:hAnsi="Times New Roman" w:cs="Times New Roman" w:eastAsiaTheme="minorEastAsia"/>
                      <w:lang w:eastAsia="zh-CN"/>
                    </w:rPr>
                  </w:pPr>
                  <w:r>
                    <w:rPr>
                      <w:rFonts w:hint="eastAsia" w:ascii="Times New Roman" w:hAnsi="Times New Roman" w:cs="Times New Roman"/>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continue"/>
                  <w:vAlign w:val="center"/>
                </w:tcPr>
                <w:p>
                  <w:pPr>
                    <w:pStyle w:val="78"/>
                    <w:rPr>
                      <w:rFonts w:cs="Times New Roman" w:eastAsiaTheme="minorEastAsia"/>
                      <w:szCs w:val="21"/>
                    </w:rPr>
                  </w:pPr>
                </w:p>
              </w:tc>
              <w:tc>
                <w:tcPr>
                  <w:tcW w:w="993"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c>
                <w:tcPr>
                  <w:tcW w:w="6237" w:type="dxa"/>
                  <w:vAlign w:val="center"/>
                </w:tcPr>
                <w:p>
                  <w:pPr>
                    <w:pStyle w:val="65"/>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各临时施工场地均设置</w:t>
                  </w:r>
                  <w:r>
                    <w:rPr>
                      <w:rFonts w:hint="default" w:ascii="Times New Roman" w:hAnsi="Times New Roman" w:cs="Times New Roman"/>
                      <w:b w:val="0"/>
                      <w:bCs w:val="0"/>
                      <w:color w:val="000000" w:themeColor="text1"/>
                      <w:szCs w:val="21"/>
                      <w14:textFill>
                        <w14:solidFill>
                          <w14:schemeClr w14:val="tx1"/>
                        </w14:solidFill>
                      </w14:textFill>
                    </w:rPr>
                    <w:t>沉砂池</w:t>
                  </w:r>
                  <w:r>
                    <w:rPr>
                      <w:rFonts w:hint="eastAsia" w:ascii="Times New Roman" w:hAnsi="Times New Roman" w:cs="Times New Roman"/>
                      <w:b w:val="0"/>
                      <w:bCs w:val="0"/>
                      <w:color w:val="000000" w:themeColor="text1"/>
                      <w:szCs w:val="21"/>
                      <w:lang w:eastAsia="zh-CN"/>
                      <w14:textFill>
                        <w14:solidFill>
                          <w14:schemeClr w14:val="tx1"/>
                        </w14:solidFill>
                      </w14:textFill>
                    </w:rPr>
                    <w:t>（</w:t>
                  </w:r>
                  <w:r>
                    <w:rPr>
                      <w:rFonts w:hint="eastAsia" w:ascii="Times New Roman" w:hAnsi="Times New Roman" w:cs="Times New Roman"/>
                      <w:b w:val="0"/>
                      <w:bCs w:val="0"/>
                      <w:color w:val="000000" w:themeColor="text1"/>
                      <w:szCs w:val="21"/>
                      <w:lang w:val="en-US" w:eastAsia="zh-CN"/>
                      <w14:textFill>
                        <w14:solidFill>
                          <w14:schemeClr w14:val="tx1"/>
                        </w14:solidFill>
                      </w14:textFill>
                    </w:rPr>
                    <w:t>8</w:t>
                  </w:r>
                  <w:r>
                    <w:rPr>
                      <w:rFonts w:hint="default" w:ascii="Times New Roman" w:hAnsi="Times New Roman" w:cs="Times New Roman"/>
                      <w:b w:val="0"/>
                      <w:bCs w:val="0"/>
                      <w:color w:val="000000" w:themeColor="text1"/>
                      <w:szCs w:val="21"/>
                      <w14:textFill>
                        <w14:solidFill>
                          <w14:schemeClr w14:val="tx1"/>
                        </w14:solidFill>
                      </w14:textFill>
                    </w:rPr>
                    <w:t>m</w:t>
                  </w:r>
                  <w:r>
                    <w:rPr>
                      <w:rFonts w:hint="default" w:ascii="Times New Roman" w:hAnsi="Times New Roman" w:cs="Times New Roman"/>
                      <w:b w:val="0"/>
                      <w:bCs w:val="0"/>
                      <w:color w:val="000000" w:themeColor="text1"/>
                      <w:szCs w:val="21"/>
                      <w:vertAlign w:val="superscript"/>
                      <w14:textFill>
                        <w14:solidFill>
                          <w14:schemeClr w14:val="tx1"/>
                        </w14:solidFill>
                      </w14:textFill>
                    </w:rPr>
                    <w:t>3</w:t>
                  </w:r>
                  <w:r>
                    <w:rPr>
                      <w:rFonts w:hint="eastAsia" w:ascii="Times New Roman" w:hAnsi="Times New Roman" w:cs="Times New Roman"/>
                      <w:b w:val="0"/>
                      <w:bCs w:val="0"/>
                      <w:color w:val="000000" w:themeColor="text1"/>
                      <w:szCs w:val="21"/>
                      <w:vertAlign w:val="baseline"/>
                      <w:lang w:val="en-US" w:eastAsia="zh-CN"/>
                      <w14:textFill>
                        <w14:solidFill>
                          <w14:schemeClr w14:val="tx1"/>
                        </w14:solidFill>
                      </w14:textFill>
                    </w:rPr>
                    <w:t>/口，共计14口</w:t>
                  </w:r>
                  <w:r>
                    <w:rPr>
                      <w:rFonts w:hint="eastAsia" w:ascii="Times New Roman" w:hAnsi="Times New Roman" w:cs="Times New Roman"/>
                      <w:b w:val="0"/>
                      <w:bCs w:val="0"/>
                      <w:color w:val="000000" w:themeColor="text1"/>
                      <w:szCs w:val="21"/>
                      <w:lang w:eastAsia="zh-CN"/>
                      <w14:textFill>
                        <w14:solidFill>
                          <w14:schemeClr w14:val="tx1"/>
                        </w14:solidFill>
                      </w14:textFill>
                    </w:rPr>
                    <w:t>）</w:t>
                  </w:r>
                  <w:r>
                    <w:rPr>
                      <w:rFonts w:hint="default" w:ascii="Times New Roman" w:hAnsi="Times New Roman" w:cs="Times New Roman"/>
                      <w:b w:val="0"/>
                      <w:bCs w:val="0"/>
                      <w:color w:val="000000" w:themeColor="text1"/>
                      <w:szCs w:val="21"/>
                      <w14:textFill>
                        <w14:solidFill>
                          <w14:schemeClr w14:val="tx1"/>
                        </w14:solidFill>
                      </w14:textFill>
                    </w:rPr>
                    <w:t>，</w:t>
                  </w:r>
                  <w:r>
                    <w:rPr>
                      <w:rFonts w:hint="eastAsia" w:ascii="Times New Roman" w:hAnsi="Times New Roman" w:cs="Times New Roman"/>
                      <w:b w:val="0"/>
                      <w:bCs w:val="0"/>
                      <w:color w:val="000000" w:themeColor="text1"/>
                      <w:szCs w:val="21"/>
                      <w:lang w:val="en-US" w:eastAsia="zh-CN"/>
                      <w14:textFill>
                        <w14:solidFill>
                          <w14:schemeClr w14:val="tx1"/>
                        </w14:solidFill>
                      </w14:textFill>
                    </w:rPr>
                    <w:t>隔油沉淀池（2</w:t>
                  </w:r>
                  <w:r>
                    <w:rPr>
                      <w:rFonts w:hint="default" w:ascii="Times New Roman" w:hAnsi="Times New Roman" w:cs="Times New Roman"/>
                      <w:b w:val="0"/>
                      <w:bCs w:val="0"/>
                      <w:color w:val="000000" w:themeColor="text1"/>
                      <w:szCs w:val="21"/>
                      <w14:textFill>
                        <w14:solidFill>
                          <w14:schemeClr w14:val="tx1"/>
                        </w14:solidFill>
                      </w14:textFill>
                    </w:rPr>
                    <w:t>m</w:t>
                  </w:r>
                  <w:r>
                    <w:rPr>
                      <w:rFonts w:hint="default" w:ascii="Times New Roman" w:hAnsi="Times New Roman" w:cs="Times New Roman"/>
                      <w:b w:val="0"/>
                      <w:bCs w:val="0"/>
                      <w:color w:val="000000" w:themeColor="text1"/>
                      <w:szCs w:val="21"/>
                      <w:vertAlign w:val="superscript"/>
                      <w14:textFill>
                        <w14:solidFill>
                          <w14:schemeClr w14:val="tx1"/>
                        </w14:solidFill>
                      </w14:textFill>
                    </w:rPr>
                    <w:t>3</w:t>
                  </w:r>
                  <w:r>
                    <w:rPr>
                      <w:rFonts w:hint="eastAsia" w:ascii="Times New Roman" w:hAnsi="Times New Roman" w:cs="Times New Roman"/>
                      <w:b w:val="0"/>
                      <w:bCs w:val="0"/>
                      <w:color w:val="000000" w:themeColor="text1"/>
                      <w:szCs w:val="21"/>
                      <w:vertAlign w:val="baseline"/>
                      <w:lang w:val="en-US" w:eastAsia="zh-CN"/>
                      <w14:textFill>
                        <w14:solidFill>
                          <w14:schemeClr w14:val="tx1"/>
                        </w14:solidFill>
                      </w14:textFill>
                    </w:rPr>
                    <w:t>/口，共计14口</w:t>
                  </w:r>
                  <w:r>
                    <w:rPr>
                      <w:rFonts w:hint="eastAsia" w:ascii="Times New Roman" w:hAnsi="Times New Roman" w:cs="Times New Roman"/>
                      <w:b w:val="0"/>
                      <w:bCs w:val="0"/>
                      <w:color w:val="000000" w:themeColor="text1"/>
                      <w:szCs w:val="21"/>
                      <w:lang w:val="en-US" w:eastAsia="zh-CN"/>
                      <w14:textFill>
                        <w14:solidFill>
                          <w14:schemeClr w14:val="tx1"/>
                        </w14:solidFill>
                      </w14:textFill>
                    </w:rPr>
                    <w:t>），</w:t>
                  </w:r>
                  <w:r>
                    <w:rPr>
                      <w:rFonts w:hint="default" w:ascii="Times New Roman" w:hAnsi="Times New Roman" w:cs="Times New Roman"/>
                      <w:b w:val="0"/>
                      <w:bCs w:val="0"/>
                      <w:color w:val="000000" w:themeColor="text1"/>
                      <w:szCs w:val="21"/>
                      <w14:textFill>
                        <w14:solidFill>
                          <w14:schemeClr w14:val="tx1"/>
                        </w14:solidFill>
                      </w14:textFill>
                    </w:rPr>
                    <w:t>土袋拦挡180m</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施工废水</w:t>
                  </w:r>
                  <w:r>
                    <w:rPr>
                      <w:rFonts w:hint="default" w:ascii="Times New Roman" w:hAnsi="Times New Roman" w:cs="Times New Roman" w:eastAsiaTheme="minorEastAsia"/>
                      <w:color w:val="000000" w:themeColor="text1"/>
                      <w14:textFill>
                        <w14:solidFill>
                          <w14:schemeClr w14:val="tx1"/>
                        </w14:solidFill>
                      </w14:textFill>
                    </w:rPr>
                    <w:t>收集处理后回用于洒水降尘，不外排；基坑废水及</w:t>
                  </w:r>
                  <w:r>
                    <w:rPr>
                      <w:rFonts w:hint="default" w:ascii="Times New Roman" w:hAnsi="Times New Roman" w:cs="Times New Roman" w:eastAsiaTheme="minorEastAsia"/>
                      <w:color w:val="000000" w:themeColor="text1"/>
                      <w:lang w:val="en-US" w:eastAsia="zh-CN"/>
                      <w14:textFill>
                        <w14:solidFill>
                          <w14:schemeClr w14:val="tx1"/>
                        </w14:solidFill>
                      </w14:textFill>
                    </w:rPr>
                    <w:t>初期</w:t>
                  </w:r>
                  <w:r>
                    <w:rPr>
                      <w:rFonts w:hint="default" w:ascii="Times New Roman" w:hAnsi="Times New Roman" w:cs="Times New Roman" w:eastAsiaTheme="minorEastAsia"/>
                      <w:color w:val="000000" w:themeColor="text1"/>
                      <w14:textFill>
                        <w14:solidFill>
                          <w14:schemeClr w14:val="tx1"/>
                        </w14:solidFill>
                      </w14:textFill>
                    </w:rPr>
                    <w:t>雨水经收集处理后回用于洒水降尘，不外排。</w:t>
                  </w:r>
                </w:p>
              </w:tc>
              <w:tc>
                <w:tcPr>
                  <w:tcW w:w="1011" w:type="dxa"/>
                  <w:vAlign w:val="center"/>
                </w:tcPr>
                <w:p>
                  <w:pPr>
                    <w:pStyle w:val="65"/>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continue"/>
                  <w:vAlign w:val="center"/>
                </w:tcPr>
                <w:p>
                  <w:pPr>
                    <w:pStyle w:val="78"/>
                    <w:rPr>
                      <w:rFonts w:cs="Times New Roman" w:eastAsiaTheme="minorEastAsia"/>
                      <w:szCs w:val="21"/>
                    </w:rPr>
                  </w:pPr>
                </w:p>
              </w:tc>
              <w:tc>
                <w:tcPr>
                  <w:tcW w:w="993" w:type="dxa"/>
                  <w:vMerge w:val="restart"/>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噪声</w:t>
                  </w:r>
                </w:p>
              </w:tc>
              <w:tc>
                <w:tcPr>
                  <w:tcW w:w="6237"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选用低噪声设备，对噪声较大的设备采取隔声、临时声屏障，进出车辆减速</w:t>
                  </w:r>
                </w:p>
              </w:tc>
              <w:tc>
                <w:tcPr>
                  <w:tcW w:w="1011" w:type="dxa"/>
                  <w:vAlign w:val="center"/>
                </w:tcPr>
                <w:p>
                  <w:pPr>
                    <w:pStyle w:val="65"/>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continue"/>
                  <w:vAlign w:val="center"/>
                </w:tcPr>
                <w:p>
                  <w:pPr>
                    <w:pStyle w:val="78"/>
                    <w:rPr>
                      <w:rFonts w:cs="Times New Roman" w:eastAsiaTheme="minorEastAsia"/>
                      <w:szCs w:val="21"/>
                    </w:rPr>
                  </w:pPr>
                </w:p>
              </w:tc>
              <w:tc>
                <w:tcPr>
                  <w:tcW w:w="993"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c>
                <w:tcPr>
                  <w:tcW w:w="6237"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合理布置施工总平面，合理布置施工交通及运输路线，尽量远离环境敏感保护目标</w:t>
                  </w:r>
                </w:p>
              </w:tc>
              <w:tc>
                <w:tcPr>
                  <w:tcW w:w="1011" w:type="dxa"/>
                  <w:vAlign w:val="center"/>
                </w:tcPr>
                <w:p>
                  <w:pPr>
                    <w:pStyle w:val="65"/>
                    <w:rPr>
                      <w:rFonts w:ascii="Times New Roman" w:hAnsi="Times New Roman" w:cs="Times New Roman"/>
                    </w:rPr>
                  </w:pPr>
                  <w:r>
                    <w:rPr>
                      <w:rFonts w:ascii="Times New Roman" w:hAnsi="Times New Roman"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continue"/>
                  <w:vAlign w:val="center"/>
                </w:tcPr>
                <w:p>
                  <w:pPr>
                    <w:pStyle w:val="78"/>
                    <w:rPr>
                      <w:rFonts w:cs="Times New Roman" w:eastAsiaTheme="minorEastAsia"/>
                      <w:szCs w:val="21"/>
                    </w:rPr>
                  </w:pPr>
                </w:p>
              </w:tc>
              <w:tc>
                <w:tcPr>
                  <w:tcW w:w="993"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c>
                <w:tcPr>
                  <w:tcW w:w="6237"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合理安排作业时间，夜间禁止施工</w:t>
                  </w:r>
                </w:p>
              </w:tc>
              <w:tc>
                <w:tcPr>
                  <w:tcW w:w="1011" w:type="dxa"/>
                  <w:vAlign w:val="center"/>
                </w:tcPr>
                <w:p>
                  <w:pPr>
                    <w:pStyle w:val="65"/>
                    <w:rPr>
                      <w:rFonts w:ascii="Times New Roman" w:hAnsi="Times New Roman" w:cs="Times New Roman"/>
                    </w:rPr>
                  </w:pPr>
                  <w:r>
                    <w:rPr>
                      <w:rFonts w:ascii="Times New Roman" w:hAnsi="Times New Roman"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continue"/>
                  <w:vAlign w:val="center"/>
                </w:tcPr>
                <w:p>
                  <w:pPr>
                    <w:pStyle w:val="78"/>
                    <w:rPr>
                      <w:rFonts w:cs="Times New Roman" w:eastAsiaTheme="minorEastAsia"/>
                      <w:szCs w:val="21"/>
                    </w:rPr>
                  </w:pPr>
                </w:p>
              </w:tc>
              <w:tc>
                <w:tcPr>
                  <w:tcW w:w="993"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c>
                <w:tcPr>
                  <w:tcW w:w="6237"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严格进行施工人员管理，文明施工</w:t>
                  </w:r>
                </w:p>
              </w:tc>
              <w:tc>
                <w:tcPr>
                  <w:tcW w:w="1011" w:type="dxa"/>
                  <w:vAlign w:val="center"/>
                </w:tcPr>
                <w:p>
                  <w:pPr>
                    <w:pStyle w:val="65"/>
                    <w:rPr>
                      <w:rFonts w:ascii="Times New Roman" w:hAnsi="Times New Roman" w:cs="Times New Roman"/>
                    </w:rPr>
                  </w:pPr>
                  <w:r>
                    <w:rPr>
                      <w:rFonts w:ascii="Times New Roman" w:hAnsi="Times New Roman"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continue"/>
                  <w:vAlign w:val="center"/>
                </w:tcPr>
                <w:p>
                  <w:pPr>
                    <w:pStyle w:val="78"/>
                    <w:rPr>
                      <w:rFonts w:cs="Times New Roman" w:eastAsiaTheme="minorEastAsia"/>
                      <w:szCs w:val="21"/>
                    </w:rPr>
                  </w:pPr>
                </w:p>
              </w:tc>
              <w:tc>
                <w:tcPr>
                  <w:tcW w:w="993"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水土保持措施</w:t>
                  </w:r>
                </w:p>
              </w:tc>
              <w:tc>
                <w:tcPr>
                  <w:tcW w:w="6237"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设置排水沟，采取临时挡护、遮盖的措施，施工完毕后对临时占地进行人工植草绿化治理和恢复</w:t>
                  </w:r>
                </w:p>
              </w:tc>
              <w:tc>
                <w:tcPr>
                  <w:tcW w:w="1011" w:type="dxa"/>
                  <w:vAlign w:val="center"/>
                </w:tcPr>
                <w:p>
                  <w:pPr>
                    <w:pStyle w:val="65"/>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c>
                <w:tcPr>
                  <w:tcW w:w="993"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生态环境</w:t>
                  </w:r>
                </w:p>
              </w:tc>
              <w:tc>
                <w:tcPr>
                  <w:tcW w:w="6237"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在开挖建设中，应尽量避开雨季；</w:t>
                  </w:r>
                  <w:r>
                    <w:rPr>
                      <w:color w:val="000000" w:themeColor="text1"/>
                      <w14:textFill>
                        <w14:solidFill>
                          <w14:schemeClr w14:val="tx1"/>
                        </w14:solidFill>
                      </w14:textFill>
                    </w:rPr>
                    <w:t>优化工程布局，严格控制施工范围；</w:t>
                  </w:r>
                  <w:r>
                    <w:rPr>
                      <w:rFonts w:hint="eastAsia"/>
                      <w:color w:val="000000" w:themeColor="text1"/>
                      <w14:textFill>
                        <w14:solidFill>
                          <w14:schemeClr w14:val="tx1"/>
                        </w14:solidFill>
                      </w14:textFill>
                    </w:rPr>
                    <w:t>剥离表土</w:t>
                  </w:r>
                  <w:r>
                    <w:rPr>
                      <w:color w:val="000000" w:themeColor="text1"/>
                      <w14:textFill>
                        <w14:solidFill>
                          <w14:schemeClr w14:val="tx1"/>
                        </w14:solidFill>
                      </w14:textFill>
                    </w:rPr>
                    <w:t>分层开挖、</w:t>
                  </w:r>
                  <w:r>
                    <w:rPr>
                      <w:rFonts w:hint="eastAsia"/>
                      <w:color w:val="000000" w:themeColor="text1"/>
                      <w14:textFill>
                        <w14:solidFill>
                          <w14:schemeClr w14:val="tx1"/>
                        </w14:solidFill>
                      </w14:textFill>
                    </w:rPr>
                    <w:t>分层堆放、</w:t>
                  </w:r>
                  <w:r>
                    <w:rPr>
                      <w:color w:val="000000" w:themeColor="text1"/>
                      <w14:textFill>
                        <w14:solidFill>
                          <w14:schemeClr w14:val="tx1"/>
                        </w14:solidFill>
                      </w14:textFill>
                    </w:rPr>
                    <w:t>分层</w:t>
                  </w:r>
                  <w:r>
                    <w:rPr>
                      <w:rFonts w:hint="eastAsia"/>
                      <w:color w:val="000000" w:themeColor="text1"/>
                      <w14:textFill>
                        <w14:solidFill>
                          <w14:schemeClr w14:val="tx1"/>
                        </w14:solidFill>
                      </w14:textFill>
                    </w:rPr>
                    <w:t>反序</w:t>
                  </w:r>
                  <w:r>
                    <w:rPr>
                      <w:color w:val="000000" w:themeColor="text1"/>
                      <w14:textFill>
                        <w14:solidFill>
                          <w14:schemeClr w14:val="tx1"/>
                        </w14:solidFill>
                      </w14:textFill>
                    </w:rPr>
                    <w:t>回填；优化建材和弃渣运输线路和时间；禁止将施工废水、弃渣</w:t>
                  </w:r>
                  <w:r>
                    <w:rPr>
                      <w:rFonts w:hint="eastAsia"/>
                      <w:color w:val="000000" w:themeColor="text1"/>
                      <w14:textFill>
                        <w14:solidFill>
                          <w14:schemeClr w14:val="tx1"/>
                        </w14:solidFill>
                      </w14:textFill>
                    </w:rPr>
                    <w:t>、淤泥等</w:t>
                  </w:r>
                  <w:r>
                    <w:rPr>
                      <w:color w:val="000000" w:themeColor="text1"/>
                      <w14:textFill>
                        <w14:solidFill>
                          <w14:schemeClr w14:val="tx1"/>
                        </w14:solidFill>
                      </w14:textFill>
                    </w:rPr>
                    <w:t>排入</w:t>
                  </w:r>
                  <w:r>
                    <w:rPr>
                      <w:rFonts w:hint="eastAsia"/>
                      <w:color w:val="000000" w:themeColor="text1"/>
                      <w:lang w:val="en-US" w:eastAsia="zh-CN"/>
                      <w14:textFill>
                        <w14:solidFill>
                          <w14:schemeClr w14:val="tx1"/>
                        </w14:solidFill>
                      </w14:textFill>
                    </w:rPr>
                    <w:t>渠道</w:t>
                  </w:r>
                  <w:r>
                    <w:rPr>
                      <w:color w:val="000000" w:themeColor="text1"/>
                      <w14:textFill>
                        <w14:solidFill>
                          <w14:schemeClr w14:val="tx1"/>
                        </w14:solidFill>
                      </w14:textFill>
                    </w:rPr>
                    <w:t>；采用分段施工、分段防护方式，加强管理，施工结束后立即进行生态恢复。</w:t>
                  </w:r>
                </w:p>
              </w:tc>
              <w:tc>
                <w:tcPr>
                  <w:tcW w:w="1011" w:type="dxa"/>
                  <w:vAlign w:val="center"/>
                </w:tcPr>
                <w:p>
                  <w:pPr>
                    <w:pStyle w:val="65"/>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594"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c>
                <w:tcPr>
                  <w:tcW w:w="993"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施工固废</w:t>
                  </w:r>
                </w:p>
              </w:tc>
              <w:tc>
                <w:tcPr>
                  <w:tcW w:w="6237"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生活垃圾定期清运，土石方回填，</w:t>
                  </w:r>
                  <w:r>
                    <w:rPr>
                      <w:rFonts w:hint="eastAsia" w:ascii="Times New Roman" w:hAnsi="Times New Roman" w:cs="Times New Roman"/>
                      <w:color w:val="000000" w:themeColor="text1"/>
                      <w14:textFill>
                        <w14:solidFill>
                          <w14:schemeClr w14:val="tx1"/>
                        </w14:solidFill>
                      </w14:textFill>
                    </w:rPr>
                    <w:t>建筑垃圾运至市政指定建筑垃圾处置场处置</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渠道清淤</w:t>
                  </w:r>
                  <w:r>
                    <w:rPr>
                      <w:rFonts w:hint="eastAsia" w:ascii="Times New Roman" w:hAnsi="Times New Roman" w:cs="Times New Roman"/>
                      <w:color w:val="000000" w:themeColor="text1"/>
                      <w14:textFill>
                        <w14:solidFill>
                          <w14:schemeClr w14:val="tx1"/>
                        </w14:solidFill>
                      </w14:textFill>
                    </w:rPr>
                    <w:t>淤泥</w:t>
                  </w:r>
                  <w:r>
                    <w:rPr>
                      <w:rFonts w:ascii="Times New Roman" w:hAnsi="Times New Roman" w:cs="Times New Roman"/>
                      <w:color w:val="000000" w:themeColor="text1"/>
                      <w14:textFill>
                        <w14:solidFill>
                          <w14:schemeClr w14:val="tx1"/>
                        </w14:solidFill>
                      </w14:textFill>
                    </w:rPr>
                    <w:t>通过密闭翻斗车人工拉运至</w:t>
                  </w:r>
                  <w:r>
                    <w:rPr>
                      <w:rFonts w:hint="eastAsia" w:ascii="Times New Roman" w:hAnsi="Times New Roman" w:cs="Times New Roman"/>
                      <w:color w:val="000000" w:themeColor="text1"/>
                      <w:lang w:val="en-US" w:eastAsia="zh-CN"/>
                      <w14:textFill>
                        <w14:solidFill>
                          <w14:schemeClr w14:val="tx1"/>
                        </w14:solidFill>
                      </w14:textFill>
                    </w:rPr>
                    <w:t>各施工</w:t>
                  </w:r>
                  <w:r>
                    <w:rPr>
                      <w:rFonts w:ascii="Times New Roman" w:hAnsi="Times New Roman" w:cs="Times New Roman"/>
                      <w:color w:val="000000" w:themeColor="text1"/>
                      <w14:textFill>
                        <w14:solidFill>
                          <w14:schemeClr w14:val="tx1"/>
                        </w14:solidFill>
                      </w14:textFill>
                    </w:rPr>
                    <w:t>现场设置的</w:t>
                  </w:r>
                  <w:r>
                    <w:rPr>
                      <w:rFonts w:hint="eastAsia" w:ascii="Times New Roman" w:hAnsi="Times New Roman" w:cs="Times New Roman"/>
                      <w:color w:val="000000" w:themeColor="text1"/>
                      <w14:textFill>
                        <w14:solidFill>
                          <w14:schemeClr w14:val="tx1"/>
                        </w14:solidFill>
                      </w14:textFill>
                    </w:rPr>
                    <w:t>淤泥</w:t>
                  </w:r>
                  <w:r>
                    <w:rPr>
                      <w:rFonts w:ascii="Times New Roman" w:hAnsi="Times New Roman" w:cs="Times New Roman"/>
                      <w:color w:val="000000" w:themeColor="text1"/>
                      <w14:textFill>
                        <w14:solidFill>
                          <w14:schemeClr w14:val="tx1"/>
                        </w14:solidFill>
                      </w14:textFill>
                    </w:rPr>
                    <w:t>沉淀池（</w:t>
                  </w:r>
                  <w:r>
                    <w:rPr>
                      <w:rFonts w:hint="eastAsia" w:ascii="Times New Roman" w:hAnsi="Times New Roman" w:cs="Times New Roman"/>
                      <w:color w:val="000000" w:themeColor="text1"/>
                      <w:lang w:val="en-US" w:eastAsia="zh-CN"/>
                      <w14:textFill>
                        <w14:solidFill>
                          <w14:schemeClr w14:val="tx1"/>
                        </w14:solidFill>
                      </w14:textFill>
                    </w:rPr>
                    <w:t>3</w:t>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vertAlign w:val="superscript"/>
                      <w14:textFill>
                        <w14:solidFill>
                          <w14:schemeClr w14:val="tx1"/>
                        </w14:solidFill>
                      </w14:textFill>
                    </w:rPr>
                    <w:t>3</w:t>
                  </w:r>
                  <w:r>
                    <w:rPr>
                      <w:rFonts w:hint="eastAsia" w:ascii="Times New Roman" w:hAnsi="Times New Roman" w:cs="Times New Roman"/>
                      <w:color w:val="000000" w:themeColor="text1"/>
                      <w:vertAlign w:val="baseline"/>
                      <w:lang w:val="en-US" w:eastAsia="zh-CN"/>
                      <w14:textFill>
                        <w14:solidFill>
                          <w14:schemeClr w14:val="tx1"/>
                        </w14:solidFill>
                      </w14:textFill>
                    </w:rPr>
                    <w:t>/口</w:t>
                  </w:r>
                  <w:r>
                    <w:rPr>
                      <w:rFonts w:hint="eastAsia" w:ascii="Times New Roman" w:hAnsi="Times New Roman" w:cs="Times New Roman"/>
                      <w:color w:val="000000" w:themeColor="text1"/>
                      <w:vertAlign w:val="baseline"/>
                      <w:lang w:eastAsia="zh-CN"/>
                      <w14:textFill>
                        <w14:solidFill>
                          <w14:schemeClr w14:val="tx1"/>
                        </w14:solidFill>
                      </w14:textFill>
                    </w:rPr>
                    <w:t>，</w:t>
                  </w:r>
                  <w:r>
                    <w:rPr>
                      <w:rFonts w:hint="eastAsia" w:ascii="Times New Roman" w:hAnsi="Times New Roman" w:cs="Times New Roman"/>
                      <w:color w:val="000000" w:themeColor="text1"/>
                      <w:vertAlign w:val="baseline"/>
                      <w:lang w:val="en-US" w:eastAsia="zh-CN"/>
                      <w14:textFill>
                        <w14:solidFill>
                          <w14:schemeClr w14:val="tx1"/>
                        </w14:solidFill>
                      </w14:textFill>
                    </w:rPr>
                    <w:t>共计11口</w:t>
                  </w:r>
                  <w:r>
                    <w:rPr>
                      <w:rFonts w:ascii="Times New Roman" w:hAnsi="Times New Roman" w:cs="Times New Roman"/>
                      <w:color w:val="000000" w:themeColor="text1"/>
                      <w14:textFill>
                        <w14:solidFill>
                          <w14:schemeClr w14:val="tx1"/>
                        </w14:solidFill>
                      </w14:textFill>
                    </w:rPr>
                    <w:t>）沉淀处理，再通过添加砂土干化后现场回填利用</w:t>
                  </w:r>
                </w:p>
              </w:tc>
              <w:tc>
                <w:tcPr>
                  <w:tcW w:w="1011" w:type="dxa"/>
                  <w:vAlign w:val="center"/>
                </w:tcPr>
                <w:p>
                  <w:pPr>
                    <w:pStyle w:val="65"/>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4" w:type="dxa"/>
                  <w:vMerge w:val="restart"/>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营运期</w:t>
                  </w:r>
                </w:p>
              </w:tc>
              <w:tc>
                <w:tcPr>
                  <w:tcW w:w="993" w:type="dxa"/>
                  <w:vAlign w:val="center"/>
                </w:tcPr>
                <w:p>
                  <w:pPr>
                    <w:pStyle w:val="65"/>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闸们运行</w:t>
                  </w:r>
                </w:p>
              </w:tc>
              <w:tc>
                <w:tcPr>
                  <w:tcW w:w="6237" w:type="dxa"/>
                  <w:vAlign w:val="center"/>
                </w:tcPr>
                <w:p>
                  <w:pPr>
                    <w:pStyle w:val="65"/>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基础减震、</w:t>
                  </w:r>
                  <w:r>
                    <w:rPr>
                      <w:rFonts w:hint="eastAsia" w:ascii="Times New Roman" w:hAnsi="Times New Roman" w:cs="Times New Roman"/>
                      <w:color w:val="000000" w:themeColor="text1"/>
                      <w:lang w:val="en-US" w:eastAsia="zh-CN"/>
                      <w14:textFill>
                        <w14:solidFill>
                          <w14:schemeClr w14:val="tx1"/>
                        </w14:solidFill>
                      </w14:textFill>
                    </w:rPr>
                    <w:t>加强维护管理</w:t>
                  </w:r>
                </w:p>
              </w:tc>
              <w:tc>
                <w:tcPr>
                  <w:tcW w:w="1011" w:type="dxa"/>
                  <w:vAlign w:val="center"/>
                </w:tcPr>
                <w:p>
                  <w:pPr>
                    <w:pStyle w:val="65"/>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594"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c>
                <w:tcPr>
                  <w:tcW w:w="993" w:type="dxa"/>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固体废物</w:t>
                  </w:r>
                </w:p>
              </w:tc>
              <w:tc>
                <w:tcPr>
                  <w:tcW w:w="6237" w:type="dxa"/>
                  <w:vAlign w:val="center"/>
                </w:tcPr>
                <w:p>
                  <w:pPr>
                    <w:pStyle w:val="65"/>
                    <w:rPr>
                      <w:rFonts w:hint="eastAsia" w:ascii="Times New Roman" w:hAnsi="Times New Roman" w:cs="Times New Roman" w:eastAsiaTheme="minorEastAsia"/>
                      <w:color w:val="000000" w:themeColor="text1"/>
                      <w:lang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渠道内</w:t>
                  </w:r>
                  <w:r>
                    <w:rPr>
                      <w:rFonts w:hint="eastAsia" w:ascii="Times New Roman" w:hAnsi="Times New Roman" w:cs="Times New Roman" w:eastAsiaTheme="minorEastAsia"/>
                      <w:color w:val="000000" w:themeColor="text1"/>
                      <w:lang w:eastAsia="zh-CN"/>
                      <w14:textFill>
                        <w14:solidFill>
                          <w14:schemeClr w14:val="tx1"/>
                        </w14:solidFill>
                      </w14:textFill>
                    </w:rPr>
                    <w:t>枯枝败叶、生活垃圾及慢慢形成的底泥，</w:t>
                  </w:r>
                  <w:r>
                    <w:rPr>
                      <w:rFonts w:hint="eastAsia" w:ascii="Times New Roman" w:hAnsi="Times New Roman" w:cs="Times New Roman"/>
                      <w:color w:val="000000" w:themeColor="text1"/>
                      <w:lang w:val="en-US" w:eastAsia="zh-CN"/>
                      <w14:textFill>
                        <w14:solidFill>
                          <w14:schemeClr w14:val="tx1"/>
                        </w14:solidFill>
                      </w14:textFill>
                    </w:rPr>
                    <w:t>委托</w:t>
                  </w:r>
                  <w:r>
                    <w:rPr>
                      <w:rFonts w:hint="eastAsia" w:ascii="Times New Roman" w:hAnsi="Times New Roman" w:cs="Times New Roman" w:eastAsiaTheme="minorEastAsia"/>
                      <w:color w:val="000000" w:themeColor="text1"/>
                      <w:lang w:eastAsia="zh-CN"/>
                      <w14:textFill>
                        <w14:solidFill>
                          <w14:schemeClr w14:val="tx1"/>
                        </w14:solidFill>
                      </w14:textFill>
                    </w:rPr>
                    <w:t>当地环卫部门统一清掏后处置</w:t>
                  </w:r>
                </w:p>
              </w:tc>
              <w:tc>
                <w:tcPr>
                  <w:tcW w:w="1011" w:type="dxa"/>
                  <w:vMerge w:val="restart"/>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纳入后期管理资金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594"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c>
                <w:tcPr>
                  <w:tcW w:w="993" w:type="dxa"/>
                  <w:vAlign w:val="center"/>
                </w:tcPr>
                <w:p>
                  <w:pPr>
                    <w:pStyle w:val="65"/>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水质保护</w:t>
                  </w:r>
                </w:p>
              </w:tc>
              <w:tc>
                <w:tcPr>
                  <w:tcW w:w="6237" w:type="dxa"/>
                  <w:vAlign w:val="center"/>
                </w:tcPr>
                <w:p>
                  <w:pPr>
                    <w:pStyle w:val="65"/>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加强对</w:t>
                  </w:r>
                  <w:r>
                    <w:rPr>
                      <w:rFonts w:hint="eastAsia" w:ascii="Times New Roman" w:hAnsi="Times New Roman" w:cs="Times New Roman"/>
                      <w:color w:val="000000" w:themeColor="text1"/>
                      <w:lang w:val="en-US" w:eastAsia="zh-CN"/>
                      <w14:textFill>
                        <w14:solidFill>
                          <w14:schemeClr w14:val="tx1"/>
                        </w14:solidFill>
                      </w14:textFill>
                    </w:rPr>
                    <w:t>主要渠道</w:t>
                  </w:r>
                  <w:r>
                    <w:rPr>
                      <w:rFonts w:hint="eastAsia" w:ascii="Times New Roman" w:hAnsi="Times New Roman" w:cs="Times New Roman"/>
                      <w:color w:val="000000" w:themeColor="text1"/>
                      <w14:textFill>
                        <w14:solidFill>
                          <w14:schemeClr w14:val="tx1"/>
                        </w14:solidFill>
                      </w14:textFill>
                    </w:rPr>
                    <w:t>的水质跟踪监测工作，根据监测结果合理完善水体清淤计划</w:t>
                  </w:r>
                </w:p>
              </w:tc>
              <w:tc>
                <w:tcPr>
                  <w:tcW w:w="1011" w:type="dxa"/>
                  <w:vMerge w:val="continue"/>
                  <w:vAlign w:val="center"/>
                </w:tcPr>
                <w:p>
                  <w:pPr>
                    <w:pStyle w:val="65"/>
                    <w:rPr>
                      <w:rFonts w:ascii="Times New Roman" w:hAnsi="Times New Roman" w:cs="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gridSpan w:val="2"/>
                  <w:vAlign w:val="center"/>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合计</w:t>
                  </w:r>
                </w:p>
              </w:tc>
              <w:tc>
                <w:tcPr>
                  <w:tcW w:w="6237" w:type="dxa"/>
                </w:tcPr>
                <w:p>
                  <w:pPr>
                    <w:pStyle w:val="65"/>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c>
                <w:tcPr>
                  <w:tcW w:w="1011" w:type="dxa"/>
                  <w:vAlign w:val="center"/>
                </w:tcPr>
                <w:p>
                  <w:pPr>
                    <w:pStyle w:val="65"/>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303</w:t>
                  </w:r>
                </w:p>
              </w:tc>
            </w:tr>
          </w:tbl>
          <w:p>
            <w:pPr>
              <w:autoSpaceDE w:val="0"/>
              <w:autoSpaceDN w:val="0"/>
              <w:adjustRightInd w:val="0"/>
              <w:snapToGrid w:val="0"/>
              <w:spacing w:line="360" w:lineRule="auto"/>
              <w:rPr>
                <w:rFonts w:ascii="Times New Roman" w:hAnsi="Times New Roman" w:cs="Times New Roman"/>
                <w:kern w:val="0"/>
                <w:sz w:val="24"/>
                <w:szCs w:val="24"/>
              </w:rPr>
            </w:pPr>
          </w:p>
        </w:tc>
      </w:tr>
    </w:tbl>
    <w:p>
      <w:pPr>
        <w:adjustRightInd w:val="0"/>
        <w:snapToGrid w:val="0"/>
        <w:spacing w:line="288" w:lineRule="auto"/>
        <w:jc w:val="center"/>
        <w:rPr>
          <w:rFonts w:ascii="Times New Roman" w:hAnsi="Times New Roman" w:eastAsia="黑体" w:cs="Times New Roman"/>
          <w:sz w:val="30"/>
          <w:szCs w:val="30"/>
        </w:rPr>
        <w:sectPr>
          <w:pgSz w:w="11906" w:h="16838"/>
          <w:pgMar w:top="1440" w:right="1080" w:bottom="1440" w:left="1080" w:header="851" w:footer="992" w:gutter="0"/>
          <w:cols w:space="425" w:num="1"/>
          <w:docGrid w:type="lines" w:linePitch="312" w:charSpace="0"/>
        </w:sectPr>
      </w:pPr>
    </w:p>
    <w:p>
      <w:pPr>
        <w:pStyle w:val="22"/>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六、生态环境保护措施监督检查清单</w:t>
      </w:r>
    </w:p>
    <w:tbl>
      <w:tblPr>
        <w:tblStyle w:val="27"/>
        <w:tblW w:w="97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3421"/>
        <w:gridCol w:w="1647"/>
        <w:gridCol w:w="1905"/>
        <w:gridCol w:w="1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rPr>
        <w:tc>
          <w:tcPr>
            <w:tcW w:w="1271" w:type="dxa"/>
            <w:vMerge w:val="restart"/>
            <w:tcBorders>
              <w:tl2br w:val="single" w:color="auto" w:sz="4" w:space="0"/>
            </w:tcBorders>
            <w:vAlign w:val="center"/>
          </w:tcPr>
          <w:p>
            <w:pPr>
              <w:adjustRightInd w:val="0"/>
              <w:snapToGrid w:val="0"/>
              <w:spacing w:line="276" w:lineRule="auto"/>
              <w:ind w:left="630" w:hanging="630" w:hangingChars="300"/>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 xml:space="preserve">           内容</w:t>
            </w:r>
          </w:p>
          <w:p>
            <w:pPr>
              <w:adjustRightInd w:val="0"/>
              <w:snapToGrid w:val="0"/>
              <w:spacing w:line="276" w:lineRule="auto"/>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要素</w:t>
            </w:r>
          </w:p>
        </w:tc>
        <w:tc>
          <w:tcPr>
            <w:tcW w:w="5068" w:type="dxa"/>
            <w:gridSpan w:val="2"/>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施工期</w:t>
            </w:r>
          </w:p>
        </w:tc>
        <w:tc>
          <w:tcPr>
            <w:tcW w:w="3397" w:type="dxa"/>
            <w:gridSpan w:val="2"/>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p>
        </w:tc>
        <w:tc>
          <w:tcPr>
            <w:tcW w:w="3421"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环境保护措施</w:t>
            </w:r>
          </w:p>
        </w:tc>
        <w:tc>
          <w:tcPr>
            <w:tcW w:w="1647"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验收要求</w:t>
            </w:r>
          </w:p>
        </w:tc>
        <w:tc>
          <w:tcPr>
            <w:tcW w:w="1905"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环境保护措施</w:t>
            </w:r>
          </w:p>
        </w:tc>
        <w:tc>
          <w:tcPr>
            <w:tcW w:w="1492"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陆生生态</w:t>
            </w:r>
          </w:p>
        </w:tc>
        <w:tc>
          <w:tcPr>
            <w:tcW w:w="3421" w:type="dxa"/>
            <w:vAlign w:val="center"/>
          </w:tcPr>
          <w:p>
            <w:pPr>
              <w:adjustRightInd w:val="0"/>
              <w:snapToGrid w:val="0"/>
              <w:spacing w:line="276" w:lineRule="auto"/>
              <w:jc w:val="center"/>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施工前，先进行表土剥离，并单独分层堆放保存，以利于保护土壤及植被恢复，施工后反序回填，促使自然植被恢复。施工后期及时开展</w:t>
            </w:r>
            <w:r>
              <w:rPr>
                <w:rFonts w:hint="eastAsia" w:ascii="Times New Roman" w:hAnsi="Times New Roman" w:cs="Times New Roman"/>
                <w:color w:val="000000" w:themeColor="text1"/>
                <w:szCs w:val="21"/>
                <w14:textFill>
                  <w14:solidFill>
                    <w14:schemeClr w14:val="tx1"/>
                  </w14:solidFill>
                </w14:textFill>
              </w:rPr>
              <w:t>临时占地</w:t>
            </w:r>
            <w:r>
              <w:rPr>
                <w:rFonts w:ascii="Times New Roman" w:hAnsi="Times New Roman" w:cs="Times New Roman"/>
                <w:color w:val="000000" w:themeColor="text1"/>
                <w:szCs w:val="21"/>
                <w14:textFill>
                  <w14:solidFill>
                    <w14:schemeClr w14:val="tx1"/>
                  </w14:solidFill>
                </w14:textFill>
              </w:rPr>
              <w:t>区表面土地整治，并在可绿化区域及时撒播</w:t>
            </w:r>
            <w:r>
              <w:rPr>
                <w:rFonts w:hint="eastAsia" w:ascii="Times New Roman" w:hAnsi="Times New Roman" w:cs="Times New Roman"/>
                <w:color w:val="000000" w:themeColor="text1"/>
                <w:szCs w:val="21"/>
                <w:lang w:val="en-US" w:eastAsia="zh-CN"/>
                <w14:textFill>
                  <w14:solidFill>
                    <w14:schemeClr w14:val="tx1"/>
                  </w14:solidFill>
                </w14:textFill>
              </w:rPr>
              <w:t>本地</w:t>
            </w:r>
            <w:r>
              <w:rPr>
                <w:rFonts w:ascii="Times New Roman" w:hAnsi="Times New Roman" w:cs="Times New Roman"/>
                <w:color w:val="000000" w:themeColor="text1"/>
                <w:szCs w:val="21"/>
                <w14:textFill>
                  <w14:solidFill>
                    <w14:schemeClr w14:val="tx1"/>
                  </w14:solidFill>
                </w14:textFill>
              </w:rPr>
              <w:t>草籽，栽植绿化</w:t>
            </w:r>
            <w:r>
              <w:rPr>
                <w:rFonts w:hint="eastAsia" w:ascii="Times New Roman" w:hAnsi="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施工作业带随着</w:t>
            </w:r>
            <w:r>
              <w:rPr>
                <w:rFonts w:hint="eastAsia" w:ascii="Times New Roman" w:hAnsi="Times New Roman" w:cs="Times New Roman"/>
                <w:color w:val="000000" w:themeColor="text1"/>
                <w:szCs w:val="21"/>
                <w:lang w:val="en-US" w:eastAsia="zh-CN"/>
                <w14:textFill>
                  <w14:solidFill>
                    <w14:schemeClr w14:val="tx1"/>
                  </w14:solidFill>
                </w14:textFill>
              </w:rPr>
              <w:t>分段施工结束及时</w:t>
            </w:r>
            <w:r>
              <w:rPr>
                <w:rFonts w:ascii="Times New Roman" w:hAnsi="Times New Roman" w:cs="Times New Roman"/>
                <w:color w:val="000000" w:themeColor="text1"/>
                <w:szCs w:val="21"/>
                <w14:textFill>
                  <w14:solidFill>
                    <w14:schemeClr w14:val="tx1"/>
                  </w14:solidFill>
                </w14:textFill>
              </w:rPr>
              <w:t>进行</w:t>
            </w:r>
            <w:r>
              <w:rPr>
                <w:rFonts w:hint="eastAsia" w:ascii="Times New Roman" w:hAnsi="Times New Roman" w:cs="Times New Roman"/>
                <w:color w:val="000000" w:themeColor="text1"/>
                <w:szCs w:val="21"/>
                <w:lang w:val="en-US" w:eastAsia="zh-CN"/>
                <w14:textFill>
                  <w14:solidFill>
                    <w14:schemeClr w14:val="tx1"/>
                  </w14:solidFill>
                </w14:textFill>
              </w:rPr>
              <w:t>迹地恢复</w:t>
            </w:r>
          </w:p>
        </w:tc>
        <w:tc>
          <w:tcPr>
            <w:tcW w:w="1647"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环评中提出的生态环境保护措施落实情况</w:t>
            </w:r>
          </w:p>
        </w:tc>
        <w:tc>
          <w:tcPr>
            <w:tcW w:w="1905"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492"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水生生态</w:t>
            </w:r>
          </w:p>
        </w:tc>
        <w:tc>
          <w:tcPr>
            <w:tcW w:w="3421"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加强</w:t>
            </w:r>
            <w:r>
              <w:rPr>
                <w:rFonts w:hint="eastAsia" w:ascii="Times New Roman" w:hAnsi="Times New Roman" w:cs="Times New Roman"/>
                <w:color w:val="000000" w:themeColor="text1"/>
                <w:szCs w:val="21"/>
                <w:lang w:val="en-US" w:eastAsia="zh-CN"/>
                <w14:textFill>
                  <w14:solidFill>
                    <w14:schemeClr w14:val="tx1"/>
                  </w14:solidFill>
                </w14:textFill>
              </w:rPr>
              <w:t>各渠道、管道</w:t>
            </w:r>
            <w:r>
              <w:rPr>
                <w:rFonts w:ascii="Times New Roman" w:hAnsi="Times New Roman" w:cs="Times New Roman"/>
                <w:color w:val="000000" w:themeColor="text1"/>
                <w:szCs w:val="21"/>
                <w14:textFill>
                  <w14:solidFill>
                    <w14:schemeClr w14:val="tx1"/>
                  </w14:solidFill>
                </w14:textFill>
              </w:rPr>
              <w:t>施工区域管理、选择</w:t>
            </w:r>
            <w:r>
              <w:rPr>
                <w:rFonts w:hint="eastAsia" w:ascii="Times New Roman" w:hAnsi="Times New Roman" w:cs="Times New Roman"/>
                <w:color w:val="000000" w:themeColor="text1"/>
                <w:szCs w:val="21"/>
                <w14:textFill>
                  <w14:solidFill>
                    <w14:schemeClr w14:val="tx1"/>
                  </w14:solidFill>
                </w14:textFill>
              </w:rPr>
              <w:t>枯水</w:t>
            </w:r>
            <w:r>
              <w:rPr>
                <w:rFonts w:ascii="Times New Roman" w:hAnsi="Times New Roman" w:cs="Times New Roman"/>
                <w:color w:val="000000" w:themeColor="text1"/>
                <w:szCs w:val="21"/>
                <w14:textFill>
                  <w14:solidFill>
                    <w14:schemeClr w14:val="tx1"/>
                  </w14:solidFill>
                </w14:textFill>
              </w:rPr>
              <w:t>季节</w:t>
            </w:r>
            <w:r>
              <w:rPr>
                <w:rFonts w:hint="eastAsia" w:ascii="Times New Roman" w:hAnsi="Times New Roman" w:cs="Times New Roman"/>
                <w:color w:val="000000" w:themeColor="text1"/>
                <w:szCs w:val="21"/>
                <w:lang w:eastAsia="zh-CN"/>
                <w14:textFill>
                  <w14:solidFill>
                    <w14:schemeClr w14:val="tx1"/>
                  </w14:solidFill>
                </w14:textFill>
              </w:rPr>
              <w:t>、</w:t>
            </w:r>
            <w:r>
              <w:rPr>
                <w:rFonts w:hint="eastAsia" w:ascii="Times New Roman" w:hAnsi="Times New Roman" w:cs="Times New Roman"/>
                <w:color w:val="000000" w:themeColor="text1"/>
                <w:szCs w:val="21"/>
                <w:lang w:val="en-US" w:eastAsia="zh-CN"/>
                <w14:textFill>
                  <w14:solidFill>
                    <w14:schemeClr w14:val="tx1"/>
                  </w14:solidFill>
                </w14:textFill>
              </w:rPr>
              <w:t>非农灌季节</w:t>
            </w:r>
            <w:r>
              <w:rPr>
                <w:rFonts w:ascii="Times New Roman" w:hAnsi="Times New Roman" w:cs="Times New Roman"/>
                <w:color w:val="000000" w:themeColor="text1"/>
                <w:szCs w:val="21"/>
                <w14:textFill>
                  <w14:solidFill>
                    <w14:schemeClr w14:val="tx1"/>
                  </w14:solidFill>
                </w14:textFill>
              </w:rPr>
              <w:t>施工</w:t>
            </w:r>
            <w:r>
              <w:rPr>
                <w:rFonts w:hint="eastAsia" w:ascii="Times New Roman" w:hAnsi="Times New Roman" w:cs="Times New Roman"/>
                <w:color w:val="000000" w:themeColor="text1"/>
                <w:szCs w:val="21"/>
                <w14:textFill>
                  <w14:solidFill>
                    <w14:schemeClr w14:val="tx1"/>
                  </w14:solidFill>
                </w14:textFill>
              </w:rPr>
              <w:t>，施工期各类污染物禁止排入河道，避免对</w:t>
            </w:r>
            <w:r>
              <w:rPr>
                <w:rFonts w:hint="eastAsia" w:ascii="Times New Roman" w:hAnsi="Times New Roman" w:cs="Times New Roman"/>
                <w:color w:val="000000" w:themeColor="text1"/>
                <w:szCs w:val="21"/>
                <w:lang w:val="en-US" w:eastAsia="zh-CN"/>
                <w14:textFill>
                  <w14:solidFill>
                    <w14:schemeClr w14:val="tx1"/>
                  </w14:solidFill>
                </w14:textFill>
              </w:rPr>
              <w:t>各渠道</w:t>
            </w:r>
            <w:r>
              <w:rPr>
                <w:rFonts w:hint="eastAsia" w:ascii="Times New Roman" w:hAnsi="Times New Roman" w:cs="Times New Roman"/>
                <w:color w:val="000000" w:themeColor="text1"/>
                <w:szCs w:val="21"/>
                <w14:textFill>
                  <w14:solidFill>
                    <w14:schemeClr w14:val="tx1"/>
                  </w14:solidFill>
                </w14:textFill>
              </w:rPr>
              <w:t>水质产生影响</w:t>
            </w:r>
          </w:p>
        </w:tc>
        <w:tc>
          <w:tcPr>
            <w:tcW w:w="1647"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环评中提出的生态环境保护措施落实情况</w:t>
            </w:r>
          </w:p>
        </w:tc>
        <w:tc>
          <w:tcPr>
            <w:tcW w:w="1905" w:type="dxa"/>
            <w:vAlign w:val="center"/>
          </w:tcPr>
          <w:p>
            <w:pPr>
              <w:adjustRightInd w:val="0"/>
              <w:snapToGrid w:val="0"/>
              <w:spacing w:line="276" w:lineRule="auto"/>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定期对渠道、管道进行清理、避免堵塞</w:t>
            </w:r>
          </w:p>
        </w:tc>
        <w:tc>
          <w:tcPr>
            <w:tcW w:w="1492"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地表水环境</w:t>
            </w:r>
          </w:p>
        </w:tc>
        <w:tc>
          <w:tcPr>
            <w:tcW w:w="3421"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禁止破坏</w:t>
            </w:r>
            <w:r>
              <w:rPr>
                <w:rFonts w:hint="eastAsia" w:ascii="Times New Roman" w:hAnsi="Times New Roman" w:cs="Times New Roman"/>
                <w:color w:val="000000" w:themeColor="text1"/>
                <w:szCs w:val="21"/>
                <w:lang w:val="en-US" w:eastAsia="zh-CN"/>
                <w14:textFill>
                  <w14:solidFill>
                    <w14:schemeClr w14:val="tx1"/>
                  </w14:solidFill>
                </w14:textFill>
              </w:rPr>
              <w:t>地表水体</w:t>
            </w:r>
            <w:r>
              <w:rPr>
                <w:rFonts w:ascii="Times New Roman" w:hAnsi="Times New Roman" w:cs="Times New Roman"/>
                <w:color w:val="000000" w:themeColor="text1"/>
                <w:szCs w:val="21"/>
                <w14:textFill>
                  <w14:solidFill>
                    <w14:schemeClr w14:val="tx1"/>
                  </w14:solidFill>
                </w14:textFill>
              </w:rPr>
              <w:t>周围植被、生态环境；严禁在施工期间向</w:t>
            </w:r>
            <w:r>
              <w:rPr>
                <w:rFonts w:hint="eastAsia" w:ascii="Times New Roman" w:hAnsi="Times New Roman" w:cs="Times New Roman"/>
                <w:color w:val="000000" w:themeColor="text1"/>
                <w:szCs w:val="21"/>
                <w:lang w:val="en-US" w:eastAsia="zh-CN"/>
                <w14:textFill>
                  <w14:solidFill>
                    <w14:schemeClr w14:val="tx1"/>
                  </w14:solidFill>
                </w14:textFill>
              </w:rPr>
              <w:t>各渠道</w:t>
            </w:r>
            <w:r>
              <w:rPr>
                <w:rFonts w:ascii="Times New Roman" w:hAnsi="Times New Roman" w:cs="Times New Roman"/>
                <w:color w:val="000000" w:themeColor="text1"/>
                <w:szCs w:val="21"/>
                <w14:textFill>
                  <w14:solidFill>
                    <w14:schemeClr w14:val="tx1"/>
                  </w14:solidFill>
                </w14:textFill>
              </w:rPr>
              <w:t>中随意倾倒废渣、</w:t>
            </w:r>
            <w:r>
              <w:rPr>
                <w:rFonts w:hint="eastAsia" w:ascii="Times New Roman" w:hAnsi="Times New Roman" w:cs="Times New Roman"/>
                <w:color w:val="000000" w:themeColor="text1"/>
                <w:szCs w:val="21"/>
                <w14:textFill>
                  <w14:solidFill>
                    <w14:schemeClr w14:val="tx1"/>
                  </w14:solidFill>
                </w14:textFill>
              </w:rPr>
              <w:t>淤泥、</w:t>
            </w:r>
            <w:r>
              <w:rPr>
                <w:rFonts w:ascii="Times New Roman" w:hAnsi="Times New Roman" w:cs="Times New Roman"/>
                <w:color w:val="000000" w:themeColor="text1"/>
                <w:szCs w:val="21"/>
                <w14:textFill>
                  <w14:solidFill>
                    <w14:schemeClr w14:val="tx1"/>
                  </w14:solidFill>
                </w14:textFill>
              </w:rPr>
              <w:t>施工废水、垃圾及其他废弃物；</w:t>
            </w:r>
            <w:r>
              <w:rPr>
                <w:rFonts w:hint="eastAsia" w:ascii="Times New Roman" w:hAnsi="Times New Roman" w:cs="Times New Roman"/>
                <w:color w:val="000000" w:themeColor="text1"/>
                <w:szCs w:val="21"/>
                <w:lang w:val="en-US" w:eastAsia="zh-CN"/>
                <w14:textFill>
                  <w14:solidFill>
                    <w14:schemeClr w14:val="tx1"/>
                  </w14:solidFill>
                </w14:textFill>
              </w:rPr>
              <w:t>渠道整治尽量选择</w:t>
            </w:r>
            <w:r>
              <w:rPr>
                <w:rFonts w:ascii="Times New Roman" w:hAnsi="Times New Roman" w:cs="Times New Roman"/>
                <w:color w:val="000000" w:themeColor="text1"/>
                <w:szCs w:val="21"/>
                <w14:textFill>
                  <w14:solidFill>
                    <w14:schemeClr w14:val="tx1"/>
                  </w14:solidFill>
                </w14:textFill>
              </w:rPr>
              <w:t>枯水季节进行；施工完毕后及时清理施工现场</w:t>
            </w:r>
          </w:p>
        </w:tc>
        <w:tc>
          <w:tcPr>
            <w:tcW w:w="1647"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环评中提出的生态环境保护措施落实情况</w:t>
            </w:r>
          </w:p>
        </w:tc>
        <w:tc>
          <w:tcPr>
            <w:tcW w:w="1905"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492"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271" w:type="dxa"/>
            <w:vAlign w:val="center"/>
          </w:tcPr>
          <w:p>
            <w:pPr>
              <w:autoSpaceDE w:val="0"/>
              <w:autoSpaceDN w:val="0"/>
              <w:adjustRightInd w:val="0"/>
              <w:snapToGrid w:val="0"/>
              <w:spacing w:line="276"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地下水及土壤环境</w:t>
            </w:r>
          </w:p>
        </w:tc>
        <w:tc>
          <w:tcPr>
            <w:tcW w:w="3421"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647"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905" w:type="dxa"/>
            <w:vAlign w:val="center"/>
          </w:tcPr>
          <w:p>
            <w:pPr>
              <w:adjustRightInd w:val="0"/>
              <w:snapToGrid w:val="0"/>
              <w:spacing w:line="276" w:lineRule="auto"/>
              <w:jc w:val="center"/>
              <w:rPr>
                <w:rFonts w:hint="eastAsia"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水资源合理调度、加强化肥及农药管控、加强</w:t>
            </w:r>
            <w:r>
              <w:rPr>
                <w:rFonts w:hint="eastAsia" w:ascii="Times New Roman" w:hAnsi="Times New Roman" w:cs="Times New Roman"/>
                <w:color w:val="000000" w:themeColor="text1"/>
                <w14:textFill>
                  <w14:solidFill>
                    <w14:schemeClr w14:val="tx1"/>
                  </w14:solidFill>
                </w14:textFill>
              </w:rPr>
              <w:t>测土配方施肥技术</w:t>
            </w:r>
            <w:r>
              <w:rPr>
                <w:rFonts w:hint="eastAsia" w:ascii="Times New Roman" w:hAnsi="Times New Roman" w:cs="Times New Roman"/>
                <w:color w:val="000000" w:themeColor="text1"/>
                <w:lang w:val="en-US" w:eastAsia="zh-CN"/>
                <w14:textFill>
                  <w14:solidFill>
                    <w14:schemeClr w14:val="tx1"/>
                  </w14:solidFill>
                </w14:textFill>
              </w:rPr>
              <w:t>实施</w:t>
            </w:r>
          </w:p>
        </w:tc>
        <w:tc>
          <w:tcPr>
            <w:tcW w:w="1492"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271" w:type="dxa"/>
            <w:vAlign w:val="center"/>
          </w:tcPr>
          <w:p>
            <w:pPr>
              <w:autoSpaceDE w:val="0"/>
              <w:autoSpaceDN w:val="0"/>
              <w:adjustRightInd w:val="0"/>
              <w:snapToGrid w:val="0"/>
              <w:spacing w:line="276" w:lineRule="auto"/>
              <w:jc w:val="center"/>
              <w:rPr>
                <w:rFonts w:ascii="Times New Roman" w:hAnsi="Times New Roman" w:cs="Times New Roman"/>
                <w:color w:val="000000" w:themeColor="text1"/>
                <w:kern w:val="0"/>
                <w:szCs w:val="21"/>
                <w14:textFill>
                  <w14:solidFill>
                    <w14:schemeClr w14:val="tx1"/>
                  </w14:solidFill>
                </w14:textFill>
              </w:rPr>
            </w:pPr>
            <w:r>
              <w:rPr>
                <w:rFonts w:ascii="Times New Roman" w:hAnsi="Times New Roman" w:cs="Times New Roman"/>
                <w:color w:val="000000" w:themeColor="text1"/>
                <w:kern w:val="0"/>
                <w:szCs w:val="21"/>
                <w14:textFill>
                  <w14:solidFill>
                    <w14:schemeClr w14:val="tx1"/>
                  </w14:solidFill>
                </w14:textFill>
              </w:rPr>
              <w:t>声环境</w:t>
            </w:r>
          </w:p>
        </w:tc>
        <w:tc>
          <w:tcPr>
            <w:tcW w:w="3421" w:type="dxa"/>
            <w:vAlign w:val="center"/>
          </w:tcPr>
          <w:p>
            <w:pPr>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合理布局，加强管理，避免夜间施工</w:t>
            </w:r>
          </w:p>
        </w:tc>
        <w:tc>
          <w:tcPr>
            <w:tcW w:w="1647" w:type="dxa"/>
            <w:vAlign w:val="center"/>
          </w:tcPr>
          <w:p>
            <w:pPr>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905" w:type="dxa"/>
            <w:vAlign w:val="center"/>
          </w:tcPr>
          <w:p>
            <w:pPr>
              <w:spacing w:line="276" w:lineRule="auto"/>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提灌站、各类闸门基础减震、加强运行维护管理</w:t>
            </w:r>
          </w:p>
        </w:tc>
        <w:tc>
          <w:tcPr>
            <w:tcW w:w="1492"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环评中提出的生态环境保护措施落实情况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振动</w:t>
            </w:r>
          </w:p>
        </w:tc>
        <w:tc>
          <w:tcPr>
            <w:tcW w:w="3421" w:type="dxa"/>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c>
          <w:tcPr>
            <w:tcW w:w="1647" w:type="dxa"/>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c>
          <w:tcPr>
            <w:tcW w:w="1905" w:type="dxa"/>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c>
          <w:tcPr>
            <w:tcW w:w="1492" w:type="dxa"/>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大气环境</w:t>
            </w:r>
          </w:p>
        </w:tc>
        <w:tc>
          <w:tcPr>
            <w:tcW w:w="3421" w:type="dxa"/>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注意车辆保养；采用优质、污染小的燃油；采用洒水降尘的方法；凡运送土石方、砂石料等材料的运货车，都应用</w:t>
            </w:r>
            <w:r>
              <w:rPr>
                <w:rFonts w:hint="eastAsia" w:ascii="Times New Roman" w:hAnsi="Times New Roman" w:cs="Times New Roman"/>
                <w:szCs w:val="21"/>
                <w:lang w:eastAsia="zh-CN"/>
              </w:rPr>
              <w:t>篷布</w:t>
            </w:r>
            <w:r>
              <w:rPr>
                <w:rFonts w:ascii="Times New Roman" w:hAnsi="Times New Roman" w:cs="Times New Roman"/>
                <w:szCs w:val="21"/>
              </w:rPr>
              <w:t>或塑料布覆盖，或用编织袋分装，或采取密封措施。</w:t>
            </w:r>
          </w:p>
        </w:tc>
        <w:tc>
          <w:tcPr>
            <w:tcW w:w="1647" w:type="dxa"/>
            <w:vAlign w:val="center"/>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c>
          <w:tcPr>
            <w:tcW w:w="1905" w:type="dxa"/>
            <w:vAlign w:val="center"/>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c>
          <w:tcPr>
            <w:tcW w:w="1492" w:type="dxa"/>
            <w:vAlign w:val="center"/>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固体废物</w:t>
            </w:r>
          </w:p>
        </w:tc>
        <w:tc>
          <w:tcPr>
            <w:tcW w:w="3421"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合理安排工期，土石方开挖阶段选择在少雨季节；土石方及建筑垃圾优先综合利用</w:t>
            </w:r>
            <w:r>
              <w:rPr>
                <w:rFonts w:hint="eastAsia" w:ascii="Times New Roman" w:hAnsi="Times New Roman" w:cs="Times New Roman"/>
                <w:color w:val="000000" w:themeColor="text1"/>
                <w:szCs w:val="21"/>
                <w14:textFill>
                  <w14:solidFill>
                    <w14:schemeClr w14:val="tx1"/>
                  </w14:solidFill>
                </w14:textFill>
              </w:rPr>
              <w:t>，建筑垃圾运至市政指定建筑垃圾处置场处置；</w:t>
            </w:r>
            <w:r>
              <w:rPr>
                <w:rFonts w:hint="eastAsia" w:ascii="Times New Roman" w:hAnsi="Times New Roman" w:cs="Times New Roman"/>
                <w:color w:val="000000" w:themeColor="text1"/>
                <w:szCs w:val="21"/>
                <w:lang w:val="en-US" w:eastAsia="zh-CN"/>
                <w14:textFill>
                  <w14:solidFill>
                    <w14:schemeClr w14:val="tx1"/>
                  </w14:solidFill>
                </w14:textFill>
              </w:rPr>
              <w:t>清淤</w:t>
            </w:r>
            <w:r>
              <w:rPr>
                <w:rFonts w:hint="eastAsia" w:ascii="Times New Roman" w:hAnsi="Times New Roman" w:cs="Times New Roman"/>
                <w:color w:val="000000" w:themeColor="text1"/>
                <w:szCs w:val="21"/>
                <w14:textFill>
                  <w14:solidFill>
                    <w14:schemeClr w14:val="tx1"/>
                  </w14:solidFill>
                </w14:textFill>
              </w:rPr>
              <w:t>淤泥</w:t>
            </w:r>
            <w:r>
              <w:rPr>
                <w:rFonts w:ascii="Times New Roman" w:hAnsi="Times New Roman" w:cs="Times New Roman"/>
                <w:color w:val="000000" w:themeColor="text1"/>
                <w:szCs w:val="21"/>
                <w14:textFill>
                  <w14:solidFill>
                    <w14:schemeClr w14:val="tx1"/>
                  </w14:solidFill>
                </w14:textFill>
              </w:rPr>
              <w:t>沉淀处理</w:t>
            </w:r>
            <w:r>
              <w:rPr>
                <w:rFonts w:hint="eastAsia" w:ascii="Times New Roman" w:hAnsi="Times New Roman" w:cs="Times New Roman"/>
                <w:color w:val="000000" w:themeColor="text1"/>
                <w:szCs w:val="21"/>
                <w14:textFill>
                  <w14:solidFill>
                    <w14:schemeClr w14:val="tx1"/>
                  </w14:solidFill>
                </w14:textFill>
              </w:rPr>
              <w:t>后</w:t>
            </w:r>
            <w:r>
              <w:rPr>
                <w:rFonts w:ascii="Times New Roman" w:hAnsi="Times New Roman" w:cs="Times New Roman"/>
                <w:color w:val="000000" w:themeColor="text1"/>
                <w:szCs w:val="21"/>
                <w14:textFill>
                  <w14:solidFill>
                    <w14:schemeClr w14:val="tx1"/>
                  </w14:solidFill>
                </w14:textFill>
              </w:rPr>
              <w:t>通过添加砂土干化后现场回填利用</w:t>
            </w:r>
            <w:r>
              <w:rPr>
                <w:rFonts w:hint="eastAsia" w:ascii="Times New Roman" w:hAnsi="Times New Roman" w:cs="Times New Roman"/>
                <w:color w:val="000000" w:themeColor="text1"/>
                <w:szCs w:val="2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生活垃圾</w:t>
            </w:r>
            <w:r>
              <w:rPr>
                <w:rFonts w:hint="eastAsia" w:ascii="Times New Roman" w:hAnsi="Times New Roman" w:cs="Times New Roman"/>
                <w:color w:val="000000" w:themeColor="text1"/>
                <w:szCs w:val="21"/>
                <w:lang w:val="en-US" w:eastAsia="zh-CN"/>
                <w14:textFill>
                  <w14:solidFill>
                    <w14:schemeClr w14:val="tx1"/>
                  </w14:solidFill>
                </w14:textFill>
              </w:rPr>
              <w:t>交</w:t>
            </w:r>
            <w:r>
              <w:rPr>
                <w:rFonts w:ascii="Times New Roman" w:hAnsi="Times New Roman" w:cs="Times New Roman"/>
                <w:color w:val="000000" w:themeColor="text1"/>
                <w:szCs w:val="21"/>
                <w14:textFill>
                  <w14:solidFill>
                    <w14:schemeClr w14:val="tx1"/>
                  </w14:solidFill>
                </w14:textFill>
              </w:rPr>
              <w:t>环卫部门及时清运</w:t>
            </w:r>
          </w:p>
        </w:tc>
        <w:tc>
          <w:tcPr>
            <w:tcW w:w="1647"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环评中提出的环境保护措施落实情况</w:t>
            </w:r>
          </w:p>
        </w:tc>
        <w:tc>
          <w:tcPr>
            <w:tcW w:w="1905" w:type="dxa"/>
            <w:vAlign w:val="center"/>
          </w:tcPr>
          <w:p>
            <w:pPr>
              <w:spacing w:line="276" w:lineRule="auto"/>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定期清理渠道内</w:t>
            </w:r>
            <w:r>
              <w:rPr>
                <w:rFonts w:hint="eastAsia" w:ascii="Times New Roman" w:hAnsi="Times New Roman" w:cs="Times New Roman" w:eastAsiaTheme="minorEastAsia"/>
                <w:color w:val="000000" w:themeColor="text1"/>
                <w:lang w:eastAsia="zh-CN"/>
                <w14:textFill>
                  <w14:solidFill>
                    <w14:schemeClr w14:val="tx1"/>
                  </w14:solidFill>
                </w14:textFill>
              </w:rPr>
              <w:t>枯枝败叶、生活垃圾及慢慢形成的底泥</w:t>
            </w:r>
          </w:p>
        </w:tc>
        <w:tc>
          <w:tcPr>
            <w:tcW w:w="1492" w:type="dxa"/>
            <w:vAlign w:val="center"/>
          </w:tcPr>
          <w:p>
            <w:pPr>
              <w:spacing w:line="276" w:lineRule="auto"/>
              <w:jc w:val="center"/>
              <w:rPr>
                <w:rFonts w:ascii="Times New Roman" w:hAnsi="Times New Roman" w:cs="Times New Roman"/>
                <w:szCs w:val="21"/>
              </w:rPr>
            </w:pPr>
            <w:r>
              <w:rPr>
                <w:rFonts w:ascii="Times New Roman" w:hAnsi="Times New Roman" w:cs="Times New Roman"/>
                <w:szCs w:val="21"/>
              </w:rPr>
              <w:t>环评中提出的环境保护措施落实情况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电磁环境</w:t>
            </w:r>
          </w:p>
        </w:tc>
        <w:tc>
          <w:tcPr>
            <w:tcW w:w="3421" w:type="dxa"/>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647" w:type="dxa"/>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905" w:type="dxa"/>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492" w:type="dxa"/>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环境风险</w:t>
            </w:r>
          </w:p>
        </w:tc>
        <w:tc>
          <w:tcPr>
            <w:tcW w:w="3421"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14:textFill>
                  <w14:solidFill>
                    <w14:schemeClr w14:val="tx1"/>
                  </w14:solidFill>
                </w14:textFill>
              </w:rPr>
              <w:t>加强施工期油类物质管理，控制作业区域油类物质存放量，使用完整包装；对施工设备进行定期检修和维护，避免油类物质跑冒滴漏现象发生</w:t>
            </w:r>
          </w:p>
        </w:tc>
        <w:tc>
          <w:tcPr>
            <w:tcW w:w="1647"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905" w:type="dxa"/>
            <w:vAlign w:val="center"/>
          </w:tcPr>
          <w:p>
            <w:pPr>
              <w:adjustRightInd w:val="0"/>
              <w:snapToGrid w:val="0"/>
              <w:spacing w:line="276" w:lineRule="auto"/>
              <w:jc w:val="center"/>
              <w:rPr>
                <w:rFonts w:hint="eastAsia" w:ascii="Times New Roman" w:hAnsi="Times New Roman" w:cs="Times New Roman" w:eastAsiaTheme="minorEastAsia"/>
                <w:color w:val="000000" w:themeColor="text1"/>
                <w:szCs w:val="21"/>
                <w:lang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w:t>
            </w:r>
          </w:p>
        </w:tc>
        <w:tc>
          <w:tcPr>
            <w:tcW w:w="1492" w:type="dxa"/>
            <w:vAlign w:val="center"/>
          </w:tcPr>
          <w:p>
            <w:pPr>
              <w:adjustRightInd w:val="0"/>
              <w:snapToGrid w:val="0"/>
              <w:spacing w:line="276" w:lineRule="auto"/>
              <w:jc w:val="center"/>
              <w:rPr>
                <w:rFonts w:hint="eastAsia" w:ascii="Times New Roman" w:hAnsi="Times New Roman" w:cs="Times New Roman" w:eastAsiaTheme="minorEastAsia"/>
                <w:szCs w:val="21"/>
                <w:lang w:eastAsia="zh-CN"/>
              </w:rPr>
            </w:pPr>
            <w:r>
              <w:rPr>
                <w:rFonts w:hint="eastAsia" w:ascii="Times New Roman" w:hAnsi="Times New Roman" w:cs="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环境监测</w:t>
            </w:r>
          </w:p>
        </w:tc>
        <w:tc>
          <w:tcPr>
            <w:tcW w:w="3421"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647" w:type="dxa"/>
            <w:vAlign w:val="center"/>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w:t>
            </w:r>
          </w:p>
        </w:tc>
        <w:tc>
          <w:tcPr>
            <w:tcW w:w="1905" w:type="dxa"/>
          </w:tcPr>
          <w:p>
            <w:pPr>
              <w:adjustRightInd w:val="0"/>
              <w:snapToGrid w:val="0"/>
              <w:spacing w:line="276" w:lineRule="auto"/>
              <w:jc w:val="center"/>
              <w:rPr>
                <w:rFonts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加强对</w:t>
            </w:r>
            <w:r>
              <w:rPr>
                <w:rFonts w:hint="eastAsia" w:ascii="Times New Roman" w:hAnsi="Times New Roman" w:cs="Times New Roman"/>
                <w:color w:val="000000" w:themeColor="text1"/>
                <w:lang w:val="en-US" w:eastAsia="zh-CN"/>
                <w14:textFill>
                  <w14:solidFill>
                    <w14:schemeClr w14:val="tx1"/>
                  </w14:solidFill>
                </w14:textFill>
              </w:rPr>
              <w:t>各渠道</w:t>
            </w:r>
            <w:r>
              <w:rPr>
                <w:rFonts w:hint="eastAsia" w:ascii="Times New Roman" w:hAnsi="Times New Roman" w:cs="Times New Roman"/>
                <w:color w:val="000000" w:themeColor="text1"/>
                <w14:textFill>
                  <w14:solidFill>
                    <w14:schemeClr w14:val="tx1"/>
                  </w14:solidFill>
                </w14:textFill>
              </w:rPr>
              <w:t>水质跟踪监测工作，根据监测结果合理完善水体清淤计划</w:t>
            </w:r>
          </w:p>
        </w:tc>
        <w:tc>
          <w:tcPr>
            <w:tcW w:w="1492" w:type="dxa"/>
            <w:vAlign w:val="center"/>
          </w:tcPr>
          <w:p>
            <w:pPr>
              <w:spacing w:line="276" w:lineRule="auto"/>
              <w:jc w:val="center"/>
              <w:rPr>
                <w:rFonts w:ascii="Times New Roman" w:hAnsi="Times New Roman" w:cs="Times New Roman"/>
                <w:szCs w:val="21"/>
              </w:rPr>
            </w:pPr>
            <w:r>
              <w:rPr>
                <w:rFonts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autoSpaceDE w:val="0"/>
              <w:autoSpaceDN w:val="0"/>
              <w:adjustRightInd w:val="0"/>
              <w:snapToGrid w:val="0"/>
              <w:spacing w:line="276" w:lineRule="auto"/>
              <w:jc w:val="center"/>
              <w:rPr>
                <w:rFonts w:ascii="Times New Roman" w:hAnsi="Times New Roman" w:cs="Times New Roman"/>
                <w:kern w:val="0"/>
                <w:szCs w:val="21"/>
              </w:rPr>
            </w:pPr>
            <w:r>
              <w:rPr>
                <w:rFonts w:ascii="Times New Roman" w:hAnsi="Times New Roman" w:cs="Times New Roman"/>
                <w:kern w:val="0"/>
                <w:szCs w:val="21"/>
              </w:rPr>
              <w:t>其他</w:t>
            </w:r>
          </w:p>
        </w:tc>
        <w:tc>
          <w:tcPr>
            <w:tcW w:w="3421" w:type="dxa"/>
            <w:vAlign w:val="center"/>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c>
          <w:tcPr>
            <w:tcW w:w="1647" w:type="dxa"/>
            <w:vAlign w:val="center"/>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c>
          <w:tcPr>
            <w:tcW w:w="1905" w:type="dxa"/>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c>
          <w:tcPr>
            <w:tcW w:w="1492" w:type="dxa"/>
          </w:tcPr>
          <w:p>
            <w:pPr>
              <w:adjustRightInd w:val="0"/>
              <w:snapToGrid w:val="0"/>
              <w:spacing w:line="276" w:lineRule="auto"/>
              <w:jc w:val="center"/>
              <w:rPr>
                <w:rFonts w:ascii="Times New Roman" w:hAnsi="Times New Roman" w:cs="Times New Roman"/>
                <w:szCs w:val="21"/>
              </w:rPr>
            </w:pPr>
            <w:r>
              <w:rPr>
                <w:rFonts w:ascii="Times New Roman" w:hAnsi="Times New Roman" w:cs="Times New Roman"/>
                <w:szCs w:val="21"/>
              </w:rPr>
              <w:t>/</w:t>
            </w:r>
          </w:p>
        </w:tc>
      </w:tr>
    </w:tbl>
    <w:p>
      <w:pPr>
        <w:adjustRightInd w:val="0"/>
        <w:snapToGrid w:val="0"/>
        <w:spacing w:line="288" w:lineRule="auto"/>
        <w:jc w:val="center"/>
        <w:rPr>
          <w:rFonts w:ascii="Times New Roman" w:hAnsi="Times New Roman" w:eastAsia="黑体" w:cs="Times New Roman"/>
          <w:sz w:val="30"/>
          <w:szCs w:val="30"/>
        </w:rPr>
        <w:sectPr>
          <w:pgSz w:w="11906" w:h="16838"/>
          <w:pgMar w:top="1440" w:right="1080" w:bottom="1440" w:left="1080" w:header="851" w:footer="992" w:gutter="0"/>
          <w:cols w:space="425" w:num="1"/>
          <w:docGrid w:type="lines" w:linePitch="312" w:charSpace="0"/>
        </w:sectPr>
      </w:pPr>
    </w:p>
    <w:p>
      <w:pPr>
        <w:pStyle w:val="22"/>
        <w:rPr>
          <w:rFonts w:ascii="Times New Roman" w:hAnsi="Times New Roman" w:cs="Times New Roman"/>
        </w:rPr>
      </w:pPr>
      <w:r>
        <w:rPr>
          <w:rFonts w:ascii="Times New Roman" w:hAnsi="Times New Roman" w:cs="Times New Roman"/>
        </w:rPr>
        <w:t>七、结论</w:t>
      </w:r>
    </w:p>
    <w:tbl>
      <w:tblPr>
        <w:tblStyle w:val="27"/>
        <w:tblW w:w="97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36" w:type="dxa"/>
            <w:vAlign w:val="center"/>
          </w:tcPr>
          <w:p>
            <w:pPr>
              <w:autoSpaceDE w:val="0"/>
              <w:autoSpaceDN w:val="0"/>
              <w:adjustRightInd w:val="0"/>
              <w:snapToGrid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宣汉县小型水库服务中心</w:t>
            </w:r>
            <w:r>
              <w:rPr>
                <w:rFonts w:ascii="Times New Roman" w:hAnsi="Times New Roman" w:cs="Times New Roman"/>
                <w:sz w:val="24"/>
                <w:szCs w:val="24"/>
              </w:rPr>
              <w:t>实施的</w:t>
            </w:r>
            <w:r>
              <w:rPr>
                <w:rFonts w:hint="eastAsia" w:ascii="Times New Roman" w:hAnsi="Times New Roman" w:cs="Times New Roman"/>
                <w:sz w:val="24"/>
                <w:szCs w:val="24"/>
                <w:lang w:eastAsia="zh-CN"/>
              </w:rPr>
              <w:t>宣汉县小型灌区新建项目</w:t>
            </w:r>
            <w:r>
              <w:rPr>
                <w:rFonts w:ascii="Times New Roman" w:hAnsi="Times New Roman" w:cs="Times New Roman"/>
                <w:kern w:val="0"/>
                <w:sz w:val="24"/>
                <w:szCs w:val="24"/>
              </w:rPr>
              <w:t>符合国家产业政策，项目用地符合区域相关规划要求。项目所在区域无明显的环境制约因素，废气、废水、噪声及固废采取的污染防治措施及各种生态环境保护措施技术可靠、经济可行。项目认真落实本报告中提出的各项污染防治对策措施，严格执行“三同时”制度，保证环境保护措施的有效运行，确保污染物稳定达标排放</w:t>
            </w:r>
            <w:r>
              <w:rPr>
                <w:rFonts w:hint="eastAsia" w:ascii="Times New Roman" w:hAnsi="Times New Roman" w:cs="Times New Roman"/>
                <w:kern w:val="0"/>
                <w:sz w:val="24"/>
                <w:szCs w:val="24"/>
              </w:rPr>
              <w:t>的前提下，</w:t>
            </w:r>
            <w:r>
              <w:rPr>
                <w:rFonts w:ascii="Times New Roman" w:hAnsi="Times New Roman" w:cs="Times New Roman"/>
                <w:sz w:val="24"/>
                <w:szCs w:val="24"/>
              </w:rPr>
              <w:t>从环保角度考虑，本项目的</w:t>
            </w:r>
            <w:r>
              <w:rPr>
                <w:rFonts w:hint="eastAsia" w:ascii="Times New Roman" w:hAnsi="Times New Roman" w:cs="Times New Roman"/>
                <w:sz w:val="24"/>
                <w:szCs w:val="24"/>
              </w:rPr>
              <w:t>实施</w:t>
            </w:r>
            <w:r>
              <w:rPr>
                <w:rFonts w:ascii="Times New Roman" w:hAnsi="Times New Roman" w:cs="Times New Roman"/>
                <w:sz w:val="24"/>
                <w:szCs w:val="24"/>
              </w:rPr>
              <w:t>是可行的。</w:t>
            </w: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pStyle w:val="15"/>
              <w:rPr>
                <w:rFonts w:ascii="Times New Roman" w:hAnsi="Times New Roman" w:cs="Times New Roman"/>
                <w:sz w:val="24"/>
              </w:rPr>
            </w:pPr>
          </w:p>
          <w:p>
            <w:pPr>
              <w:pStyle w:val="35"/>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ind w:firstLine="480" w:firstLineChars="200"/>
              <w:rPr>
                <w:rFonts w:ascii="Times New Roman" w:hAnsi="Times New Roman" w:cs="Times New Roman"/>
                <w:sz w:val="24"/>
              </w:rPr>
            </w:pPr>
          </w:p>
          <w:p>
            <w:pPr>
              <w:tabs>
                <w:tab w:val="left" w:pos="6945"/>
              </w:tabs>
              <w:adjustRightInd w:val="0"/>
              <w:snapToGrid w:val="0"/>
              <w:spacing w:line="288" w:lineRule="auto"/>
              <w:rPr>
                <w:rFonts w:ascii="Times New Roman" w:hAnsi="Times New Roman" w:cs="Times New Roman"/>
                <w:sz w:val="24"/>
              </w:rPr>
            </w:pPr>
          </w:p>
          <w:p>
            <w:pPr>
              <w:tabs>
                <w:tab w:val="left" w:pos="6945"/>
              </w:tabs>
              <w:adjustRightInd w:val="0"/>
              <w:snapToGrid w:val="0"/>
              <w:spacing w:line="288" w:lineRule="auto"/>
              <w:rPr>
                <w:rFonts w:ascii="Times New Roman" w:hAnsi="Times New Roman" w:eastAsia="黑体" w:cs="Times New Roman"/>
                <w:szCs w:val="21"/>
              </w:rPr>
            </w:pPr>
            <w:r>
              <w:rPr>
                <w:rFonts w:ascii="Times New Roman" w:hAnsi="Times New Roman" w:eastAsia="黑体" w:cs="Times New Roman"/>
                <w:sz w:val="30"/>
                <w:szCs w:val="30"/>
              </w:rPr>
              <w:t xml:space="preserve">   </w:t>
            </w:r>
          </w:p>
        </w:tc>
      </w:tr>
    </w:tbl>
    <w:p>
      <w:pPr>
        <w:sectPr>
          <w:pgSz w:w="11906" w:h="16838"/>
          <w:pgMar w:top="1440" w:right="1080" w:bottom="1440" w:left="1080" w:header="851" w:footer="992" w:gutter="0"/>
          <w:cols w:space="425" w:num="1"/>
          <w:docGrid w:type="lines" w:linePitch="312" w:charSpace="0"/>
        </w:sectPr>
      </w:pPr>
    </w:p>
    <w:p>
      <w:pPr>
        <w:jc w:val="center"/>
        <w:sectPr>
          <w:pgSz w:w="16838" w:h="11906" w:orient="landscape"/>
          <w:pgMar w:top="1080" w:right="1440" w:bottom="1080" w:left="1440" w:header="851" w:footer="992" w:gutter="0"/>
          <w:cols w:space="425" w:num="1"/>
          <w:docGrid w:type="lines" w:linePitch="312" w:charSpace="0"/>
        </w:sectPr>
      </w:pPr>
      <w:r>
        <w:drawing>
          <wp:inline distT="0" distB="0" distL="114300" distR="114300">
            <wp:extent cx="7856220" cy="5364480"/>
            <wp:effectExtent l="0" t="0" r="7620" b="0"/>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105"/>
                    <a:stretch>
                      <a:fillRect/>
                    </a:stretch>
                  </pic:blipFill>
                  <pic:spPr>
                    <a:xfrm>
                      <a:off x="0" y="0"/>
                      <a:ext cx="7856220" cy="5364480"/>
                    </a:xfrm>
                    <a:prstGeom prst="rect">
                      <a:avLst/>
                    </a:prstGeom>
                    <a:noFill/>
                    <a:ln>
                      <a:noFill/>
                    </a:ln>
                  </pic:spPr>
                </pic:pic>
              </a:graphicData>
            </a:graphic>
          </wp:inline>
        </w:drawing>
      </w:r>
    </w:p>
    <w:p>
      <w:pPr>
        <w:jc w:val="center"/>
        <w:sectPr>
          <w:pgSz w:w="11906" w:h="16838"/>
          <w:pgMar w:top="1440" w:right="1080" w:bottom="1440" w:left="1080" w:header="851" w:footer="992" w:gutter="0"/>
          <w:cols w:space="425" w:num="1"/>
          <w:docGrid w:type="lines" w:linePitch="312" w:charSpace="0"/>
        </w:sectPr>
      </w:pPr>
      <w:r>
        <w:drawing>
          <wp:inline distT="0" distB="0" distL="114300" distR="114300">
            <wp:extent cx="6186805" cy="6864350"/>
            <wp:effectExtent l="0" t="0" r="635" b="889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106"/>
                    <a:stretch>
                      <a:fillRect/>
                    </a:stretch>
                  </pic:blipFill>
                  <pic:spPr>
                    <a:xfrm>
                      <a:off x="0" y="0"/>
                      <a:ext cx="6186805" cy="6864350"/>
                    </a:xfrm>
                    <a:prstGeom prst="rect">
                      <a:avLst/>
                    </a:prstGeom>
                    <a:noFill/>
                    <a:ln>
                      <a:noFill/>
                    </a:ln>
                  </pic:spPr>
                </pic:pic>
              </a:graphicData>
            </a:graphic>
          </wp:inline>
        </w:drawing>
      </w:r>
      <w:r>
        <w:drawing>
          <wp:inline distT="0" distB="0" distL="114300" distR="114300">
            <wp:extent cx="6182995" cy="7766685"/>
            <wp:effectExtent l="0" t="0" r="4445" b="5715"/>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107"/>
                    <a:stretch>
                      <a:fillRect/>
                    </a:stretch>
                  </pic:blipFill>
                  <pic:spPr>
                    <a:xfrm>
                      <a:off x="0" y="0"/>
                      <a:ext cx="6182995" cy="7766685"/>
                    </a:xfrm>
                    <a:prstGeom prst="rect">
                      <a:avLst/>
                    </a:prstGeom>
                    <a:noFill/>
                    <a:ln>
                      <a:noFill/>
                    </a:ln>
                  </pic:spPr>
                </pic:pic>
              </a:graphicData>
            </a:graphic>
          </wp:inline>
        </w:drawing>
      </w:r>
    </w:p>
    <w:p>
      <w:pPr>
        <w:jc w:val="center"/>
        <w:sectPr>
          <w:pgSz w:w="16838" w:h="11906" w:orient="landscape"/>
          <w:pgMar w:top="1080" w:right="1440" w:bottom="1080" w:left="1440" w:header="851" w:footer="992" w:gutter="0"/>
          <w:cols w:space="425" w:num="1"/>
          <w:docGrid w:type="lines" w:linePitch="312" w:charSpace="0"/>
        </w:sectPr>
      </w:pPr>
      <w:r>
        <w:drawing>
          <wp:inline distT="0" distB="0" distL="114300" distR="114300">
            <wp:extent cx="7890510" cy="6102985"/>
            <wp:effectExtent l="0" t="0" r="3810" b="8255"/>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108"/>
                    <a:stretch>
                      <a:fillRect/>
                    </a:stretch>
                  </pic:blipFill>
                  <pic:spPr>
                    <a:xfrm>
                      <a:off x="0" y="0"/>
                      <a:ext cx="7890510" cy="6102985"/>
                    </a:xfrm>
                    <a:prstGeom prst="rect">
                      <a:avLst/>
                    </a:prstGeom>
                    <a:noFill/>
                    <a:ln>
                      <a:noFill/>
                    </a:ln>
                  </pic:spPr>
                </pic:pic>
              </a:graphicData>
            </a:graphic>
          </wp:inline>
        </w:drawing>
      </w:r>
      <w:r>
        <w:drawing>
          <wp:inline distT="0" distB="0" distL="114300" distR="114300">
            <wp:extent cx="6483350" cy="6104890"/>
            <wp:effectExtent l="0" t="0" r="8890" b="635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109"/>
                    <a:stretch>
                      <a:fillRect/>
                    </a:stretch>
                  </pic:blipFill>
                  <pic:spPr>
                    <a:xfrm>
                      <a:off x="0" y="0"/>
                      <a:ext cx="6483350" cy="6104890"/>
                    </a:xfrm>
                    <a:prstGeom prst="rect">
                      <a:avLst/>
                    </a:prstGeom>
                    <a:noFill/>
                    <a:ln>
                      <a:noFill/>
                    </a:ln>
                  </pic:spPr>
                </pic:pic>
              </a:graphicData>
            </a:graphic>
          </wp:inline>
        </w:drawing>
      </w:r>
      <w:r>
        <w:drawing>
          <wp:inline distT="0" distB="0" distL="114300" distR="114300">
            <wp:extent cx="7074535" cy="6104890"/>
            <wp:effectExtent l="0" t="0" r="12065" b="635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110"/>
                    <a:stretch>
                      <a:fillRect/>
                    </a:stretch>
                  </pic:blipFill>
                  <pic:spPr>
                    <a:xfrm>
                      <a:off x="0" y="0"/>
                      <a:ext cx="7074535" cy="6104890"/>
                    </a:xfrm>
                    <a:prstGeom prst="rect">
                      <a:avLst/>
                    </a:prstGeom>
                    <a:noFill/>
                    <a:ln>
                      <a:noFill/>
                    </a:ln>
                  </pic:spPr>
                </pic:pic>
              </a:graphicData>
            </a:graphic>
          </wp:inline>
        </w:drawing>
      </w:r>
    </w:p>
    <w:p>
      <w:pPr>
        <w:jc w:val="center"/>
        <w:sectPr>
          <w:pgSz w:w="11906" w:h="16838"/>
          <w:pgMar w:top="1440" w:right="1080" w:bottom="1440" w:left="1080" w:header="851" w:footer="992" w:gutter="0"/>
          <w:cols w:space="425" w:num="1"/>
          <w:docGrid w:type="lines" w:linePitch="312" w:charSpace="0"/>
        </w:sectPr>
      </w:pPr>
      <w:r>
        <w:drawing>
          <wp:inline distT="0" distB="0" distL="114300" distR="114300">
            <wp:extent cx="6188710" cy="7618730"/>
            <wp:effectExtent l="0" t="0" r="13970" b="127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111"/>
                    <a:stretch>
                      <a:fillRect/>
                    </a:stretch>
                  </pic:blipFill>
                  <pic:spPr>
                    <a:xfrm>
                      <a:off x="0" y="0"/>
                      <a:ext cx="6188710" cy="7618730"/>
                    </a:xfrm>
                    <a:prstGeom prst="rect">
                      <a:avLst/>
                    </a:prstGeom>
                    <a:noFill/>
                    <a:ln>
                      <a:noFill/>
                    </a:ln>
                  </pic:spPr>
                </pic:pic>
              </a:graphicData>
            </a:graphic>
          </wp:inline>
        </w:drawing>
      </w:r>
      <w:r>
        <w:drawing>
          <wp:inline distT="0" distB="0" distL="114300" distR="114300">
            <wp:extent cx="6185535" cy="7185660"/>
            <wp:effectExtent l="0" t="0" r="1905" b="7620"/>
            <wp:docPr id="1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
                    <pic:cNvPicPr>
                      <a:picLocks noChangeAspect="1"/>
                    </pic:cNvPicPr>
                  </pic:nvPicPr>
                  <pic:blipFill>
                    <a:blip r:embed="rId112"/>
                    <a:stretch>
                      <a:fillRect/>
                    </a:stretch>
                  </pic:blipFill>
                  <pic:spPr>
                    <a:xfrm>
                      <a:off x="0" y="0"/>
                      <a:ext cx="6185535" cy="7185660"/>
                    </a:xfrm>
                    <a:prstGeom prst="rect">
                      <a:avLst/>
                    </a:prstGeom>
                    <a:noFill/>
                    <a:ln>
                      <a:noFill/>
                    </a:ln>
                  </pic:spPr>
                </pic:pic>
              </a:graphicData>
            </a:graphic>
          </wp:inline>
        </w:drawing>
      </w:r>
    </w:p>
    <w:p>
      <w:pPr>
        <w:jc w:val="center"/>
        <w:sectPr>
          <w:pgSz w:w="16838" w:h="11906" w:orient="landscape"/>
          <w:pgMar w:top="1080" w:right="1440" w:bottom="1080" w:left="1440" w:header="851" w:footer="992" w:gutter="0"/>
          <w:cols w:space="425" w:num="1"/>
          <w:docGrid w:type="lines" w:linePitch="312" w:charSpace="0"/>
        </w:sectPr>
      </w:pPr>
      <w:r>
        <w:drawing>
          <wp:inline distT="0" distB="0" distL="114300" distR="114300">
            <wp:extent cx="6907530" cy="6104890"/>
            <wp:effectExtent l="0" t="0" r="11430" b="6350"/>
            <wp:docPr id="1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3"/>
                    <pic:cNvPicPr>
                      <a:picLocks noChangeAspect="1"/>
                    </pic:cNvPicPr>
                  </pic:nvPicPr>
                  <pic:blipFill>
                    <a:blip r:embed="rId113"/>
                    <a:stretch>
                      <a:fillRect/>
                    </a:stretch>
                  </pic:blipFill>
                  <pic:spPr>
                    <a:xfrm>
                      <a:off x="0" y="0"/>
                      <a:ext cx="6907530" cy="6104890"/>
                    </a:xfrm>
                    <a:prstGeom prst="rect">
                      <a:avLst/>
                    </a:prstGeom>
                    <a:noFill/>
                    <a:ln>
                      <a:noFill/>
                    </a:ln>
                  </pic:spPr>
                </pic:pic>
              </a:graphicData>
            </a:graphic>
          </wp:inline>
        </w:drawing>
      </w:r>
      <w:r>
        <w:drawing>
          <wp:inline distT="0" distB="0" distL="114300" distR="114300">
            <wp:extent cx="6850380" cy="6104255"/>
            <wp:effectExtent l="0" t="0" r="7620" b="6985"/>
            <wp:docPr id="1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4"/>
                    <pic:cNvPicPr>
                      <a:picLocks noChangeAspect="1"/>
                    </pic:cNvPicPr>
                  </pic:nvPicPr>
                  <pic:blipFill>
                    <a:blip r:embed="rId114"/>
                    <a:stretch>
                      <a:fillRect/>
                    </a:stretch>
                  </pic:blipFill>
                  <pic:spPr>
                    <a:xfrm>
                      <a:off x="0" y="0"/>
                      <a:ext cx="6850380" cy="6104255"/>
                    </a:xfrm>
                    <a:prstGeom prst="rect">
                      <a:avLst/>
                    </a:prstGeom>
                    <a:noFill/>
                    <a:ln>
                      <a:noFill/>
                    </a:ln>
                  </pic:spPr>
                </pic:pic>
              </a:graphicData>
            </a:graphic>
          </wp:inline>
        </w:drawing>
      </w:r>
    </w:p>
    <w:p>
      <w:pPr>
        <w:jc w:val="center"/>
        <w:sectPr>
          <w:pgSz w:w="11906" w:h="16838"/>
          <w:pgMar w:top="1440" w:right="1080" w:bottom="1440" w:left="1080" w:header="851" w:footer="992" w:gutter="0"/>
          <w:cols w:space="425" w:num="1"/>
          <w:docGrid w:type="lines" w:linePitch="312" w:charSpace="0"/>
        </w:sectPr>
      </w:pPr>
      <w:r>
        <w:drawing>
          <wp:inline distT="0" distB="0" distL="114300" distR="114300">
            <wp:extent cx="6183630" cy="7743825"/>
            <wp:effectExtent l="0" t="0" r="3810" b="13335"/>
            <wp:docPr id="1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
                    <pic:cNvPicPr>
                      <a:picLocks noChangeAspect="1"/>
                    </pic:cNvPicPr>
                  </pic:nvPicPr>
                  <pic:blipFill>
                    <a:blip r:embed="rId115"/>
                    <a:stretch>
                      <a:fillRect/>
                    </a:stretch>
                  </pic:blipFill>
                  <pic:spPr>
                    <a:xfrm>
                      <a:off x="0" y="0"/>
                      <a:ext cx="6183630" cy="7743825"/>
                    </a:xfrm>
                    <a:prstGeom prst="rect">
                      <a:avLst/>
                    </a:prstGeom>
                    <a:noFill/>
                    <a:ln>
                      <a:noFill/>
                    </a:ln>
                  </pic:spPr>
                </pic:pic>
              </a:graphicData>
            </a:graphic>
          </wp:inline>
        </w:drawing>
      </w:r>
    </w:p>
    <w:p>
      <w:pPr>
        <w:jc w:val="center"/>
        <w:sectPr>
          <w:pgSz w:w="16838" w:h="11906" w:orient="landscape"/>
          <w:pgMar w:top="1080" w:right="1440" w:bottom="1080" w:left="1440" w:header="851" w:footer="992" w:gutter="0"/>
          <w:cols w:space="425" w:num="1"/>
          <w:docGrid w:type="lines" w:linePitch="312" w:charSpace="0"/>
        </w:sectPr>
      </w:pPr>
      <w:r>
        <w:drawing>
          <wp:inline distT="0" distB="0" distL="114300" distR="114300">
            <wp:extent cx="8305800" cy="6073140"/>
            <wp:effectExtent l="0" t="0" r="0" b="7620"/>
            <wp:docPr id="1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6"/>
                    <pic:cNvPicPr>
                      <a:picLocks noChangeAspect="1"/>
                    </pic:cNvPicPr>
                  </pic:nvPicPr>
                  <pic:blipFill>
                    <a:blip r:embed="rId116"/>
                    <a:stretch>
                      <a:fillRect/>
                    </a:stretch>
                  </pic:blipFill>
                  <pic:spPr>
                    <a:xfrm>
                      <a:off x="0" y="0"/>
                      <a:ext cx="8305800" cy="6073140"/>
                    </a:xfrm>
                    <a:prstGeom prst="rect">
                      <a:avLst/>
                    </a:prstGeom>
                    <a:noFill/>
                    <a:ln>
                      <a:noFill/>
                    </a:ln>
                  </pic:spPr>
                </pic:pic>
              </a:graphicData>
            </a:graphic>
          </wp:inline>
        </w:drawing>
      </w:r>
      <w:r>
        <w:drawing>
          <wp:inline distT="0" distB="0" distL="114300" distR="114300">
            <wp:extent cx="8084820" cy="6096000"/>
            <wp:effectExtent l="0" t="0" r="7620"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117"/>
                    <a:stretch>
                      <a:fillRect/>
                    </a:stretch>
                  </pic:blipFill>
                  <pic:spPr>
                    <a:xfrm>
                      <a:off x="0" y="0"/>
                      <a:ext cx="8084820" cy="6096000"/>
                    </a:xfrm>
                    <a:prstGeom prst="rect">
                      <a:avLst/>
                    </a:prstGeom>
                    <a:noFill/>
                    <a:ln>
                      <a:noFill/>
                    </a:ln>
                  </pic:spPr>
                </pic:pic>
              </a:graphicData>
            </a:graphic>
          </wp:inline>
        </w:drawing>
      </w:r>
      <w:r>
        <w:drawing>
          <wp:inline distT="0" distB="0" distL="114300" distR="114300">
            <wp:extent cx="7162800" cy="5372100"/>
            <wp:effectExtent l="0" t="0" r="0" b="7620"/>
            <wp:docPr id="19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8"/>
                    <pic:cNvPicPr>
                      <a:picLocks noChangeAspect="1"/>
                    </pic:cNvPicPr>
                  </pic:nvPicPr>
                  <pic:blipFill>
                    <a:blip r:embed="rId118"/>
                    <a:stretch>
                      <a:fillRect/>
                    </a:stretch>
                  </pic:blipFill>
                  <pic:spPr>
                    <a:xfrm>
                      <a:off x="0" y="0"/>
                      <a:ext cx="7162800" cy="5372100"/>
                    </a:xfrm>
                    <a:prstGeom prst="rect">
                      <a:avLst/>
                    </a:prstGeom>
                    <a:noFill/>
                    <a:ln>
                      <a:noFill/>
                    </a:ln>
                  </pic:spPr>
                </pic:pic>
              </a:graphicData>
            </a:graphic>
          </wp:inline>
        </w:drawing>
      </w:r>
      <w:r>
        <w:drawing>
          <wp:inline distT="0" distB="0" distL="114300" distR="114300">
            <wp:extent cx="6907530" cy="6101080"/>
            <wp:effectExtent l="0" t="0" r="11430" b="10160"/>
            <wp:docPr id="1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
                    <pic:cNvPicPr>
                      <a:picLocks noChangeAspect="1"/>
                    </pic:cNvPicPr>
                  </pic:nvPicPr>
                  <pic:blipFill>
                    <a:blip r:embed="rId119"/>
                    <a:stretch>
                      <a:fillRect/>
                    </a:stretch>
                  </pic:blipFill>
                  <pic:spPr>
                    <a:xfrm>
                      <a:off x="0" y="0"/>
                      <a:ext cx="6907530" cy="6101080"/>
                    </a:xfrm>
                    <a:prstGeom prst="rect">
                      <a:avLst/>
                    </a:prstGeom>
                    <a:noFill/>
                    <a:ln>
                      <a:noFill/>
                    </a:ln>
                  </pic:spPr>
                </pic:pic>
              </a:graphicData>
            </a:graphic>
          </wp:inline>
        </w:drawing>
      </w:r>
    </w:p>
    <w:p>
      <w:pPr>
        <w:jc w:val="center"/>
        <w:sectPr>
          <w:pgSz w:w="11906" w:h="16838"/>
          <w:pgMar w:top="1440" w:right="1080" w:bottom="1440" w:left="1080" w:header="851" w:footer="992" w:gutter="0"/>
          <w:cols w:space="425" w:num="1"/>
          <w:docGrid w:type="lines" w:linePitch="312" w:charSpace="0"/>
        </w:sectPr>
      </w:pPr>
      <w:r>
        <w:drawing>
          <wp:inline distT="0" distB="0" distL="114300" distR="114300">
            <wp:extent cx="5981700" cy="7040880"/>
            <wp:effectExtent l="0" t="0" r="7620" b="0"/>
            <wp:docPr id="2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
                    <pic:cNvPicPr>
                      <a:picLocks noChangeAspect="1"/>
                    </pic:cNvPicPr>
                  </pic:nvPicPr>
                  <pic:blipFill>
                    <a:blip r:embed="rId120"/>
                    <a:stretch>
                      <a:fillRect/>
                    </a:stretch>
                  </pic:blipFill>
                  <pic:spPr>
                    <a:xfrm>
                      <a:off x="0" y="0"/>
                      <a:ext cx="5981700" cy="7040880"/>
                    </a:xfrm>
                    <a:prstGeom prst="rect">
                      <a:avLst/>
                    </a:prstGeom>
                    <a:noFill/>
                    <a:ln>
                      <a:noFill/>
                    </a:ln>
                  </pic:spPr>
                </pic:pic>
              </a:graphicData>
            </a:graphic>
          </wp:inline>
        </w:drawing>
      </w:r>
    </w:p>
    <w:p>
      <w:pPr>
        <w:jc w:val="center"/>
        <w:sectPr>
          <w:pgSz w:w="16838" w:h="11906" w:orient="landscape"/>
          <w:pgMar w:top="1080" w:right="1440" w:bottom="1080" w:left="1440" w:header="851" w:footer="992" w:gutter="0"/>
          <w:cols w:space="425" w:num="1"/>
          <w:docGrid w:type="lines" w:linePitch="312" w:charSpace="0"/>
        </w:sectPr>
      </w:pPr>
      <w:r>
        <w:rPr>
          <w:rFonts w:hint="eastAsia" w:eastAsiaTheme="minorEastAsia"/>
          <w:lang w:eastAsia="zh-CN"/>
        </w:rPr>
        <w:drawing>
          <wp:inline distT="0" distB="0" distL="114300" distR="114300">
            <wp:extent cx="8825865" cy="4184015"/>
            <wp:effectExtent l="0" t="0" r="13335" b="6985"/>
            <wp:docPr id="201" name="图片 201" descr="附图4、项目典型水土保持措施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附图4、项目典型水土保持措施图"/>
                    <pic:cNvPicPr>
                      <a:picLocks noChangeAspect="1"/>
                    </pic:cNvPicPr>
                  </pic:nvPicPr>
                  <pic:blipFill>
                    <a:blip r:embed="rId121"/>
                    <a:stretch>
                      <a:fillRect/>
                    </a:stretch>
                  </pic:blipFill>
                  <pic:spPr>
                    <a:xfrm>
                      <a:off x="0" y="0"/>
                      <a:ext cx="8825865" cy="4184015"/>
                    </a:xfrm>
                    <a:prstGeom prst="rect">
                      <a:avLst/>
                    </a:prstGeom>
                  </pic:spPr>
                </pic:pic>
              </a:graphicData>
            </a:graphic>
          </wp:inline>
        </w:drawing>
      </w:r>
      <w:r>
        <w:drawing>
          <wp:inline distT="0" distB="0" distL="114300" distR="114300">
            <wp:extent cx="8153400" cy="6057900"/>
            <wp:effectExtent l="0" t="0" r="0" b="7620"/>
            <wp:docPr id="2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2"/>
                    <pic:cNvPicPr>
                      <a:picLocks noChangeAspect="1"/>
                    </pic:cNvPicPr>
                  </pic:nvPicPr>
                  <pic:blipFill>
                    <a:blip r:embed="rId122"/>
                    <a:stretch>
                      <a:fillRect/>
                    </a:stretch>
                  </pic:blipFill>
                  <pic:spPr>
                    <a:xfrm>
                      <a:off x="0" y="0"/>
                      <a:ext cx="8153400" cy="6057900"/>
                    </a:xfrm>
                    <a:prstGeom prst="rect">
                      <a:avLst/>
                    </a:prstGeom>
                    <a:noFill/>
                    <a:ln>
                      <a:noFill/>
                    </a:ln>
                  </pic:spPr>
                </pic:pic>
              </a:graphicData>
            </a:graphic>
          </wp:inline>
        </w:drawing>
      </w:r>
    </w:p>
    <w:p>
      <w:pPr>
        <w:jc w:val="center"/>
        <w:rPr>
          <w:rFonts w:hint="eastAsia"/>
          <w:lang w:eastAsia="zh-CN"/>
        </w:rPr>
      </w:pPr>
      <w:r>
        <w:drawing>
          <wp:inline distT="0" distB="0" distL="114300" distR="114300">
            <wp:extent cx="6184900" cy="8818245"/>
            <wp:effectExtent l="0" t="0" r="2540" b="5715"/>
            <wp:docPr id="2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3"/>
                    <pic:cNvPicPr>
                      <a:picLocks noChangeAspect="1"/>
                    </pic:cNvPicPr>
                  </pic:nvPicPr>
                  <pic:blipFill>
                    <a:blip r:embed="rId123"/>
                    <a:stretch>
                      <a:fillRect/>
                    </a:stretch>
                  </pic:blipFill>
                  <pic:spPr>
                    <a:xfrm>
                      <a:off x="0" y="0"/>
                      <a:ext cx="6184900" cy="8818245"/>
                    </a:xfrm>
                    <a:prstGeom prst="rect">
                      <a:avLst/>
                    </a:prstGeom>
                    <a:noFill/>
                    <a:ln>
                      <a:noFill/>
                    </a:ln>
                  </pic:spPr>
                </pic:pic>
              </a:graphicData>
            </a:graphic>
          </wp:inline>
        </w:drawing>
      </w:r>
      <w:r>
        <w:drawing>
          <wp:inline distT="0" distB="0" distL="114300" distR="114300">
            <wp:extent cx="6187440" cy="8827135"/>
            <wp:effectExtent l="0" t="0" r="0" b="12065"/>
            <wp:docPr id="2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4"/>
                    <pic:cNvPicPr>
                      <a:picLocks noChangeAspect="1"/>
                    </pic:cNvPicPr>
                  </pic:nvPicPr>
                  <pic:blipFill>
                    <a:blip r:embed="rId124"/>
                    <a:stretch>
                      <a:fillRect/>
                    </a:stretch>
                  </pic:blipFill>
                  <pic:spPr>
                    <a:xfrm>
                      <a:off x="0" y="0"/>
                      <a:ext cx="6187440" cy="8827135"/>
                    </a:xfrm>
                    <a:prstGeom prst="rect">
                      <a:avLst/>
                    </a:prstGeom>
                    <a:noFill/>
                    <a:ln>
                      <a:noFill/>
                    </a:ln>
                  </pic:spPr>
                </pic:pic>
              </a:graphicData>
            </a:graphic>
          </wp:inline>
        </w:drawing>
      </w:r>
      <w:r>
        <w:drawing>
          <wp:inline distT="0" distB="0" distL="114300" distR="114300">
            <wp:extent cx="6181725" cy="8771890"/>
            <wp:effectExtent l="0" t="0" r="5715" b="6350"/>
            <wp:docPr id="2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5"/>
                    <pic:cNvPicPr>
                      <a:picLocks noChangeAspect="1"/>
                    </pic:cNvPicPr>
                  </pic:nvPicPr>
                  <pic:blipFill>
                    <a:blip r:embed="rId125"/>
                    <a:stretch>
                      <a:fillRect/>
                    </a:stretch>
                  </pic:blipFill>
                  <pic:spPr>
                    <a:xfrm>
                      <a:off x="0" y="0"/>
                      <a:ext cx="6181725" cy="8771890"/>
                    </a:xfrm>
                    <a:prstGeom prst="rect">
                      <a:avLst/>
                    </a:prstGeom>
                    <a:noFill/>
                    <a:ln>
                      <a:noFill/>
                    </a:ln>
                  </pic:spPr>
                </pic:pic>
              </a:graphicData>
            </a:graphic>
          </wp:inline>
        </w:drawing>
      </w:r>
      <w:r>
        <w:drawing>
          <wp:inline distT="0" distB="0" distL="114300" distR="114300">
            <wp:extent cx="6187440" cy="8814435"/>
            <wp:effectExtent l="0" t="0" r="0" b="9525"/>
            <wp:docPr id="2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6"/>
                    <pic:cNvPicPr>
                      <a:picLocks noChangeAspect="1"/>
                    </pic:cNvPicPr>
                  </pic:nvPicPr>
                  <pic:blipFill>
                    <a:blip r:embed="rId126"/>
                    <a:stretch>
                      <a:fillRect/>
                    </a:stretch>
                  </pic:blipFill>
                  <pic:spPr>
                    <a:xfrm>
                      <a:off x="0" y="0"/>
                      <a:ext cx="6187440" cy="8814435"/>
                    </a:xfrm>
                    <a:prstGeom prst="rect">
                      <a:avLst/>
                    </a:prstGeom>
                    <a:noFill/>
                    <a:ln>
                      <a:noFill/>
                    </a:ln>
                  </pic:spPr>
                </pic:pic>
              </a:graphicData>
            </a:graphic>
          </wp:inline>
        </w:drawing>
      </w:r>
      <w:r>
        <w:drawing>
          <wp:inline distT="0" distB="0" distL="114300" distR="114300">
            <wp:extent cx="6181725" cy="8734425"/>
            <wp:effectExtent l="0" t="0" r="5715" b="13335"/>
            <wp:docPr id="2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7"/>
                    <pic:cNvPicPr>
                      <a:picLocks noChangeAspect="1"/>
                    </pic:cNvPicPr>
                  </pic:nvPicPr>
                  <pic:blipFill>
                    <a:blip r:embed="rId127"/>
                    <a:stretch>
                      <a:fillRect/>
                    </a:stretch>
                  </pic:blipFill>
                  <pic:spPr>
                    <a:xfrm>
                      <a:off x="0" y="0"/>
                      <a:ext cx="6181725" cy="8734425"/>
                    </a:xfrm>
                    <a:prstGeom prst="rect">
                      <a:avLst/>
                    </a:prstGeom>
                    <a:noFill/>
                    <a:ln>
                      <a:noFill/>
                    </a:ln>
                  </pic:spPr>
                </pic:pic>
              </a:graphicData>
            </a:graphic>
          </wp:inline>
        </w:drawing>
      </w:r>
      <w:r>
        <w:drawing>
          <wp:inline distT="0" distB="0" distL="114300" distR="114300">
            <wp:extent cx="6181725" cy="8734425"/>
            <wp:effectExtent l="0" t="0" r="5715" b="13335"/>
            <wp:docPr id="24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8"/>
                    <pic:cNvPicPr>
                      <a:picLocks noChangeAspect="1"/>
                    </pic:cNvPicPr>
                  </pic:nvPicPr>
                  <pic:blipFill>
                    <a:blip r:embed="rId128"/>
                    <a:stretch>
                      <a:fillRect/>
                    </a:stretch>
                  </pic:blipFill>
                  <pic:spPr>
                    <a:xfrm>
                      <a:off x="0" y="0"/>
                      <a:ext cx="6181725" cy="8734425"/>
                    </a:xfrm>
                    <a:prstGeom prst="rect">
                      <a:avLst/>
                    </a:prstGeom>
                    <a:noFill/>
                    <a:ln>
                      <a:noFill/>
                    </a:ln>
                  </pic:spPr>
                </pic:pic>
              </a:graphicData>
            </a:graphic>
          </wp:inline>
        </w:drawing>
      </w:r>
      <w:r>
        <w:drawing>
          <wp:inline distT="0" distB="0" distL="114300" distR="114300">
            <wp:extent cx="6181725" cy="8734425"/>
            <wp:effectExtent l="0" t="0" r="5715" b="13335"/>
            <wp:docPr id="2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9"/>
                    <pic:cNvPicPr>
                      <a:picLocks noChangeAspect="1"/>
                    </pic:cNvPicPr>
                  </pic:nvPicPr>
                  <pic:blipFill>
                    <a:blip r:embed="rId129"/>
                    <a:stretch>
                      <a:fillRect/>
                    </a:stretch>
                  </pic:blipFill>
                  <pic:spPr>
                    <a:xfrm>
                      <a:off x="0" y="0"/>
                      <a:ext cx="6181725" cy="8734425"/>
                    </a:xfrm>
                    <a:prstGeom prst="rect">
                      <a:avLst/>
                    </a:prstGeom>
                    <a:noFill/>
                    <a:ln>
                      <a:noFill/>
                    </a:ln>
                  </pic:spPr>
                </pic:pic>
              </a:graphicData>
            </a:graphic>
          </wp:inline>
        </w:drawing>
      </w:r>
      <w:r>
        <w:drawing>
          <wp:inline distT="0" distB="0" distL="114300" distR="114300">
            <wp:extent cx="6181725" cy="8734425"/>
            <wp:effectExtent l="0" t="0" r="5715" b="13335"/>
            <wp:docPr id="2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0"/>
                    <pic:cNvPicPr>
                      <a:picLocks noChangeAspect="1"/>
                    </pic:cNvPicPr>
                  </pic:nvPicPr>
                  <pic:blipFill>
                    <a:blip r:embed="rId130"/>
                    <a:stretch>
                      <a:fillRect/>
                    </a:stretch>
                  </pic:blipFill>
                  <pic:spPr>
                    <a:xfrm>
                      <a:off x="0" y="0"/>
                      <a:ext cx="6181725" cy="8734425"/>
                    </a:xfrm>
                    <a:prstGeom prst="rect">
                      <a:avLst/>
                    </a:prstGeom>
                    <a:noFill/>
                    <a:ln>
                      <a:noFill/>
                    </a:ln>
                  </pic:spPr>
                </pic:pic>
              </a:graphicData>
            </a:graphic>
          </wp:inline>
        </w:drawing>
      </w:r>
      <w:r>
        <w:drawing>
          <wp:inline distT="0" distB="0" distL="114300" distR="114300">
            <wp:extent cx="6186170" cy="8707120"/>
            <wp:effectExtent l="0" t="0" r="1270" b="10160"/>
            <wp:docPr id="24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1"/>
                    <pic:cNvPicPr>
                      <a:picLocks noChangeAspect="1"/>
                    </pic:cNvPicPr>
                  </pic:nvPicPr>
                  <pic:blipFill>
                    <a:blip r:embed="rId131"/>
                    <a:stretch>
                      <a:fillRect/>
                    </a:stretch>
                  </pic:blipFill>
                  <pic:spPr>
                    <a:xfrm>
                      <a:off x="0" y="0"/>
                      <a:ext cx="6186170" cy="8707120"/>
                    </a:xfrm>
                    <a:prstGeom prst="rect">
                      <a:avLst/>
                    </a:prstGeom>
                    <a:noFill/>
                    <a:ln>
                      <a:noFill/>
                    </a:ln>
                  </pic:spPr>
                </pic:pic>
              </a:graphicData>
            </a:graphic>
          </wp:inline>
        </w:drawing>
      </w:r>
      <w:r>
        <w:drawing>
          <wp:inline distT="0" distB="0" distL="114300" distR="114300">
            <wp:extent cx="6188075" cy="8759190"/>
            <wp:effectExtent l="0" t="0" r="14605" b="3810"/>
            <wp:docPr id="2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2"/>
                    <pic:cNvPicPr>
                      <a:picLocks noChangeAspect="1"/>
                    </pic:cNvPicPr>
                  </pic:nvPicPr>
                  <pic:blipFill>
                    <a:blip r:embed="rId132"/>
                    <a:stretch>
                      <a:fillRect/>
                    </a:stretch>
                  </pic:blipFill>
                  <pic:spPr>
                    <a:xfrm>
                      <a:off x="0" y="0"/>
                      <a:ext cx="6188075" cy="8759190"/>
                    </a:xfrm>
                    <a:prstGeom prst="rect">
                      <a:avLst/>
                    </a:prstGeom>
                    <a:noFill/>
                    <a:ln>
                      <a:noFill/>
                    </a:ln>
                  </pic:spPr>
                </pic:pic>
              </a:graphicData>
            </a:graphic>
          </wp:inline>
        </w:drawing>
      </w:r>
      <w:r>
        <w:drawing>
          <wp:inline distT="0" distB="0" distL="114300" distR="114300">
            <wp:extent cx="6186170" cy="8713470"/>
            <wp:effectExtent l="0" t="0" r="1270" b="3810"/>
            <wp:docPr id="2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3"/>
                    <pic:cNvPicPr>
                      <a:picLocks noChangeAspect="1"/>
                    </pic:cNvPicPr>
                  </pic:nvPicPr>
                  <pic:blipFill>
                    <a:blip r:embed="rId133"/>
                    <a:stretch>
                      <a:fillRect/>
                    </a:stretch>
                  </pic:blipFill>
                  <pic:spPr>
                    <a:xfrm>
                      <a:off x="0" y="0"/>
                      <a:ext cx="6186170" cy="8713470"/>
                    </a:xfrm>
                    <a:prstGeom prst="rect">
                      <a:avLst/>
                    </a:prstGeom>
                    <a:noFill/>
                    <a:ln>
                      <a:noFill/>
                    </a:ln>
                  </pic:spPr>
                </pic:pic>
              </a:graphicData>
            </a:graphic>
          </wp:inline>
        </w:drawing>
      </w:r>
      <w:r>
        <w:drawing>
          <wp:inline distT="0" distB="0" distL="114300" distR="114300">
            <wp:extent cx="6182360" cy="8716645"/>
            <wp:effectExtent l="0" t="0" r="5080" b="635"/>
            <wp:docPr id="2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4"/>
                    <pic:cNvPicPr>
                      <a:picLocks noChangeAspect="1"/>
                    </pic:cNvPicPr>
                  </pic:nvPicPr>
                  <pic:blipFill>
                    <a:blip r:embed="rId134"/>
                    <a:stretch>
                      <a:fillRect/>
                    </a:stretch>
                  </pic:blipFill>
                  <pic:spPr>
                    <a:xfrm>
                      <a:off x="0" y="0"/>
                      <a:ext cx="6182360" cy="8716645"/>
                    </a:xfrm>
                    <a:prstGeom prst="rect">
                      <a:avLst/>
                    </a:prstGeom>
                    <a:noFill/>
                    <a:ln>
                      <a:noFill/>
                    </a:ln>
                  </pic:spPr>
                </pic:pic>
              </a:graphicData>
            </a:graphic>
          </wp:inline>
        </w:drawing>
      </w:r>
      <w:r>
        <w:drawing>
          <wp:inline distT="0" distB="0" distL="114300" distR="114300">
            <wp:extent cx="6187440" cy="8724265"/>
            <wp:effectExtent l="0" t="0" r="0" b="8255"/>
            <wp:docPr id="25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5"/>
                    <pic:cNvPicPr>
                      <a:picLocks noChangeAspect="1"/>
                    </pic:cNvPicPr>
                  </pic:nvPicPr>
                  <pic:blipFill>
                    <a:blip r:embed="rId135"/>
                    <a:stretch>
                      <a:fillRect/>
                    </a:stretch>
                  </pic:blipFill>
                  <pic:spPr>
                    <a:xfrm>
                      <a:off x="0" y="0"/>
                      <a:ext cx="6187440" cy="8724265"/>
                    </a:xfrm>
                    <a:prstGeom prst="rect">
                      <a:avLst/>
                    </a:prstGeom>
                    <a:noFill/>
                    <a:ln>
                      <a:noFill/>
                    </a:ln>
                  </pic:spPr>
                </pic:pic>
              </a:graphicData>
            </a:graphic>
          </wp:inline>
        </w:drawing>
      </w:r>
      <w:r>
        <w:drawing>
          <wp:inline distT="0" distB="0" distL="114300" distR="114300">
            <wp:extent cx="6188075" cy="8771890"/>
            <wp:effectExtent l="0" t="0" r="14605" b="6350"/>
            <wp:docPr id="25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6"/>
                    <pic:cNvPicPr>
                      <a:picLocks noChangeAspect="1"/>
                    </pic:cNvPicPr>
                  </pic:nvPicPr>
                  <pic:blipFill>
                    <a:blip r:embed="rId136"/>
                    <a:stretch>
                      <a:fillRect/>
                    </a:stretch>
                  </pic:blipFill>
                  <pic:spPr>
                    <a:xfrm>
                      <a:off x="0" y="0"/>
                      <a:ext cx="6188075" cy="8771890"/>
                    </a:xfrm>
                    <a:prstGeom prst="rect">
                      <a:avLst/>
                    </a:prstGeom>
                    <a:noFill/>
                    <a:ln>
                      <a:noFill/>
                    </a:ln>
                  </pic:spPr>
                </pic:pic>
              </a:graphicData>
            </a:graphic>
          </wp:inline>
        </w:drawing>
      </w:r>
      <w:r>
        <w:drawing>
          <wp:inline distT="0" distB="0" distL="114300" distR="114300">
            <wp:extent cx="6186170" cy="8726170"/>
            <wp:effectExtent l="0" t="0" r="1270" b="6350"/>
            <wp:docPr id="25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7"/>
                    <pic:cNvPicPr>
                      <a:picLocks noChangeAspect="1"/>
                    </pic:cNvPicPr>
                  </pic:nvPicPr>
                  <pic:blipFill>
                    <a:blip r:embed="rId137"/>
                    <a:stretch>
                      <a:fillRect/>
                    </a:stretch>
                  </pic:blipFill>
                  <pic:spPr>
                    <a:xfrm>
                      <a:off x="0" y="0"/>
                      <a:ext cx="6186170" cy="8726170"/>
                    </a:xfrm>
                    <a:prstGeom prst="rect">
                      <a:avLst/>
                    </a:prstGeom>
                    <a:noFill/>
                    <a:ln>
                      <a:noFill/>
                    </a:ln>
                  </pic:spPr>
                </pic:pic>
              </a:graphicData>
            </a:graphic>
          </wp:inline>
        </w:drawing>
      </w:r>
      <w:r>
        <w:drawing>
          <wp:inline distT="0" distB="0" distL="114300" distR="114300">
            <wp:extent cx="6181090" cy="8712200"/>
            <wp:effectExtent l="0" t="0" r="6350" b="5080"/>
            <wp:docPr id="25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8"/>
                    <pic:cNvPicPr>
                      <a:picLocks noChangeAspect="1"/>
                    </pic:cNvPicPr>
                  </pic:nvPicPr>
                  <pic:blipFill>
                    <a:blip r:embed="rId138"/>
                    <a:stretch>
                      <a:fillRect/>
                    </a:stretch>
                  </pic:blipFill>
                  <pic:spPr>
                    <a:xfrm>
                      <a:off x="0" y="0"/>
                      <a:ext cx="6181090" cy="8712200"/>
                    </a:xfrm>
                    <a:prstGeom prst="rect">
                      <a:avLst/>
                    </a:prstGeom>
                    <a:noFill/>
                    <a:ln>
                      <a:noFill/>
                    </a:ln>
                  </pic:spPr>
                </pic:pic>
              </a:graphicData>
            </a:graphic>
          </wp:inline>
        </w:drawing>
      </w:r>
      <w:r>
        <w:drawing>
          <wp:inline distT="0" distB="0" distL="114300" distR="114300">
            <wp:extent cx="6181725" cy="8669020"/>
            <wp:effectExtent l="0" t="0" r="5715" b="2540"/>
            <wp:docPr id="26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9"/>
                    <pic:cNvPicPr>
                      <a:picLocks noChangeAspect="1"/>
                    </pic:cNvPicPr>
                  </pic:nvPicPr>
                  <pic:blipFill>
                    <a:blip r:embed="rId139"/>
                    <a:stretch>
                      <a:fillRect/>
                    </a:stretch>
                  </pic:blipFill>
                  <pic:spPr>
                    <a:xfrm>
                      <a:off x="0" y="0"/>
                      <a:ext cx="6181725" cy="8669020"/>
                    </a:xfrm>
                    <a:prstGeom prst="rect">
                      <a:avLst/>
                    </a:prstGeom>
                    <a:noFill/>
                    <a:ln>
                      <a:noFill/>
                    </a:ln>
                  </pic:spPr>
                </pic:pic>
              </a:graphicData>
            </a:graphic>
          </wp:inline>
        </w:drawing>
      </w:r>
      <w:r>
        <w:drawing>
          <wp:inline distT="0" distB="0" distL="114300" distR="114300">
            <wp:extent cx="6185535" cy="8731885"/>
            <wp:effectExtent l="0" t="0" r="1905" b="635"/>
            <wp:docPr id="26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40"/>
                    <pic:cNvPicPr>
                      <a:picLocks noChangeAspect="1"/>
                    </pic:cNvPicPr>
                  </pic:nvPicPr>
                  <pic:blipFill>
                    <a:blip r:embed="rId140"/>
                    <a:stretch>
                      <a:fillRect/>
                    </a:stretch>
                  </pic:blipFill>
                  <pic:spPr>
                    <a:xfrm>
                      <a:off x="0" y="0"/>
                      <a:ext cx="6185535" cy="8731885"/>
                    </a:xfrm>
                    <a:prstGeom prst="rect">
                      <a:avLst/>
                    </a:prstGeom>
                    <a:noFill/>
                    <a:ln>
                      <a:noFill/>
                    </a:ln>
                  </pic:spPr>
                </pic:pic>
              </a:graphicData>
            </a:graphic>
          </wp:inline>
        </w:drawing>
      </w:r>
      <w:r>
        <w:drawing>
          <wp:inline distT="0" distB="0" distL="114300" distR="114300">
            <wp:extent cx="6182995" cy="8686165"/>
            <wp:effectExtent l="0" t="0" r="4445" b="635"/>
            <wp:docPr id="26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1"/>
                    <pic:cNvPicPr>
                      <a:picLocks noChangeAspect="1"/>
                    </pic:cNvPicPr>
                  </pic:nvPicPr>
                  <pic:blipFill>
                    <a:blip r:embed="rId141"/>
                    <a:stretch>
                      <a:fillRect/>
                    </a:stretch>
                  </pic:blipFill>
                  <pic:spPr>
                    <a:xfrm>
                      <a:off x="0" y="0"/>
                      <a:ext cx="6182995" cy="8686165"/>
                    </a:xfrm>
                    <a:prstGeom prst="rect">
                      <a:avLst/>
                    </a:prstGeom>
                    <a:noFill/>
                    <a:ln>
                      <a:noFill/>
                    </a:ln>
                  </pic:spPr>
                </pic:pic>
              </a:graphicData>
            </a:graphic>
          </wp:inline>
        </w:drawing>
      </w:r>
      <w:r>
        <w:drawing>
          <wp:inline distT="0" distB="0" distL="114300" distR="114300">
            <wp:extent cx="6188075" cy="8752840"/>
            <wp:effectExtent l="0" t="0" r="14605" b="10160"/>
            <wp:docPr id="26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42"/>
                    <pic:cNvPicPr>
                      <a:picLocks noChangeAspect="1"/>
                    </pic:cNvPicPr>
                  </pic:nvPicPr>
                  <pic:blipFill>
                    <a:blip r:embed="rId142"/>
                    <a:stretch>
                      <a:fillRect/>
                    </a:stretch>
                  </pic:blipFill>
                  <pic:spPr>
                    <a:xfrm>
                      <a:off x="0" y="0"/>
                      <a:ext cx="6188075" cy="8752840"/>
                    </a:xfrm>
                    <a:prstGeom prst="rect">
                      <a:avLst/>
                    </a:prstGeom>
                    <a:noFill/>
                    <a:ln>
                      <a:noFill/>
                    </a:ln>
                  </pic:spPr>
                </pic:pic>
              </a:graphicData>
            </a:graphic>
          </wp:inline>
        </w:drawing>
      </w:r>
      <w:r>
        <w:drawing>
          <wp:inline distT="0" distB="0" distL="114300" distR="114300">
            <wp:extent cx="6187440" cy="8669020"/>
            <wp:effectExtent l="0" t="0" r="0" b="2540"/>
            <wp:docPr id="26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3"/>
                    <pic:cNvPicPr>
                      <a:picLocks noChangeAspect="1"/>
                    </pic:cNvPicPr>
                  </pic:nvPicPr>
                  <pic:blipFill>
                    <a:blip r:embed="rId143"/>
                    <a:stretch>
                      <a:fillRect/>
                    </a:stretch>
                  </pic:blipFill>
                  <pic:spPr>
                    <a:xfrm>
                      <a:off x="0" y="0"/>
                      <a:ext cx="6187440" cy="8669020"/>
                    </a:xfrm>
                    <a:prstGeom prst="rect">
                      <a:avLst/>
                    </a:prstGeom>
                    <a:noFill/>
                    <a:ln>
                      <a:noFill/>
                    </a:ln>
                  </pic:spPr>
                </pic:pic>
              </a:graphicData>
            </a:graphic>
          </wp:inline>
        </w:drawing>
      </w:r>
      <w:r>
        <w:drawing>
          <wp:inline distT="0" distB="0" distL="114300" distR="114300">
            <wp:extent cx="6188075" cy="8765540"/>
            <wp:effectExtent l="0" t="0" r="14605" b="12700"/>
            <wp:docPr id="26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4"/>
                    <pic:cNvPicPr>
                      <a:picLocks noChangeAspect="1"/>
                    </pic:cNvPicPr>
                  </pic:nvPicPr>
                  <pic:blipFill>
                    <a:blip r:embed="rId144"/>
                    <a:stretch>
                      <a:fillRect/>
                    </a:stretch>
                  </pic:blipFill>
                  <pic:spPr>
                    <a:xfrm>
                      <a:off x="0" y="0"/>
                      <a:ext cx="6188075" cy="8765540"/>
                    </a:xfrm>
                    <a:prstGeom prst="rect">
                      <a:avLst/>
                    </a:prstGeom>
                    <a:noFill/>
                    <a:ln>
                      <a:noFill/>
                    </a:ln>
                  </pic:spPr>
                </pic:pic>
              </a:graphicData>
            </a:graphic>
          </wp:inline>
        </w:drawing>
      </w:r>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仿宋体">
    <w:altName w:val="宋体"/>
    <w:panose1 w:val="00000000000000000000"/>
    <w:charset w:val="86"/>
    <w:family w:val="roman"/>
    <w:pitch w:val="default"/>
    <w:sig w:usb0="00000000" w:usb1="00000000" w:usb2="00000010" w:usb3="00000000" w:csb0="00040000" w:csb1="00000000"/>
  </w:font>
  <w:font w:name="Calibri Light">
    <w:panose1 w:val="020F0302020204030204"/>
    <w:charset w:val="00"/>
    <w:family w:val="swiss"/>
    <w:pitch w:val="default"/>
    <w:sig w:usb0="A00002EF" w:usb1="4000207B"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imesNewRoman">
    <w:altName w:val="Times New Roman"/>
    <w:panose1 w:val="00000000000000000000"/>
    <w:charset w:val="00"/>
    <w:family w:val="roman"/>
    <w:pitch w:val="default"/>
    <w:sig w:usb0="00000000" w:usb1="00000000" w:usb2="00000000" w:usb3="00000000" w:csb0="00000001" w:csb1="00000000"/>
  </w:font>
  <w:font w:name="楷体_GB2312">
    <w:panose1 w:val="0201060903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Helvetica">
    <w:altName w:val="Arial"/>
    <w:panose1 w:val="00000000000000000000"/>
    <w:charset w:val="00"/>
    <w:family w:val="roman"/>
    <w:pitch w:val="default"/>
    <w:sig w:usb0="00000000" w:usb1="00000000" w:usb2="00000000" w:usb3="00000000" w:csb0="00000001"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spacing w:before="120"/>
      <w:jc w:val="center"/>
    </w:pPr>
  </w:p>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1nbycsAgAAVwQAAA4AAABkcnMvZTJvRG9jLnhtbK1UzY7TMBC+I/EO&#10;lu80bVes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n31dpwuXDwAlxo5Iomu2GiFdtf2zHam&#10;OIGYM91seMs3NZJvmQ/3zGEYUDCeS7jDUkqDJKa3KKmM+/qv8xiPHsFLSYPhyqnGW6JEftDoHQDD&#10;YLjB2A2GPqhbg2lFO1BLMnHBBTmYpTPqC97QKuaAi2mOTDkNg3kbugHHG+RitUpBmDbLwlY/WB6h&#10;o3jerg4BAiZdoyidEr1WmLfUmf5txIH+c5+inv4Hy0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WdvJywCAABXBAAADgAAAAAAAAABACAAAAAfAQAAZHJzL2Uyb0RvYy54bWxQSwUGAAAAAAYA&#10;BgBZAQAAvQU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8696779"/>
    <w:multiLevelType w:val="singleLevel"/>
    <w:tmpl w:val="C8696779"/>
    <w:lvl w:ilvl="0" w:tentative="0">
      <w:start w:val="1"/>
      <w:numFmt w:val="decimal"/>
      <w:suff w:val="nothing"/>
      <w:lvlText w:val="（%1）"/>
      <w:lvlJc w:val="left"/>
    </w:lvl>
  </w:abstractNum>
  <w:abstractNum w:abstractNumId="1">
    <w:nsid w:val="116B7087"/>
    <w:multiLevelType w:val="multilevel"/>
    <w:tmpl w:val="116B7087"/>
    <w:lvl w:ilvl="0" w:tentative="0">
      <w:start w:val="1"/>
      <w:numFmt w:val="lowerLetter"/>
      <w:pStyle w:val="68"/>
      <w:lvlText w:val="%1)"/>
      <w:lvlJc w:val="left"/>
      <w:pPr>
        <w:ind w:left="480" w:firstLine="0"/>
      </w:pPr>
      <w:rPr>
        <w:rFonts w:hint="default"/>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16317B40"/>
    <w:multiLevelType w:val="multilevel"/>
    <w:tmpl w:val="16317B40"/>
    <w:lvl w:ilvl="0" w:tentative="0">
      <w:start w:val="1"/>
      <w:numFmt w:val="decimal"/>
      <w:pStyle w:val="66"/>
      <w:lvlText w:val="表7-%1."/>
      <w:lvlJc w:val="center"/>
      <w:pPr>
        <w:ind w:left="900" w:hanging="4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en-US"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23EA789F"/>
    <w:multiLevelType w:val="multilevel"/>
    <w:tmpl w:val="23EA789F"/>
    <w:lvl w:ilvl="0" w:tentative="0">
      <w:start w:val="1"/>
      <w:numFmt w:val="decimal"/>
      <w:suff w:val="space"/>
      <w:lvlText w:val="%1  "/>
      <w:lvlJc w:val="left"/>
      <w:pPr>
        <w:ind w:left="0" w:firstLine="0"/>
      </w:pPr>
      <w:rPr>
        <w:rFonts w:hint="default" w:ascii="Times New Roman" w:hAnsi="Times New Roman" w:eastAsia="黑体"/>
        <w:b w:val="0"/>
        <w:i w:val="0"/>
        <w:sz w:val="36"/>
      </w:rPr>
    </w:lvl>
    <w:lvl w:ilvl="1" w:tentative="0">
      <w:start w:val="1"/>
      <w:numFmt w:val="decimal"/>
      <w:suff w:val="space"/>
      <w:lvlText w:val="%1.%2 "/>
      <w:lvlJc w:val="left"/>
      <w:pPr>
        <w:ind w:left="0" w:firstLine="0"/>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2" w:tentative="0">
      <w:start w:val="1"/>
      <w:numFmt w:val="decimal"/>
      <w:suff w:val="space"/>
      <w:lvlText w:val="%1.%2.%3 "/>
      <w:lvlJc w:val="left"/>
      <w:pPr>
        <w:ind w:left="284" w:firstLine="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suff w:val="space"/>
      <w:lvlText w:val="%1.%2.%3.%4 "/>
      <w:lvlJc w:val="left"/>
      <w:pPr>
        <w:ind w:left="284" w:firstLine="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suff w:val="space"/>
      <w:lvlText w:val="%1.%2.%3.%4.%5 "/>
      <w:lvlJc w:val="left"/>
      <w:pPr>
        <w:ind w:left="0" w:firstLine="0"/>
      </w:pPr>
      <w:rPr>
        <w:rFonts w:hint="default" w:ascii="Times New Roman" w:hAnsi="Times New Roman" w:eastAsia="黑体"/>
        <w:b w:val="0"/>
        <w:i w:val="0"/>
        <w:iCs w:val="0"/>
        <w:caps w:val="0"/>
        <w:smallCaps w:val="0"/>
        <w:strike w:val="0"/>
        <w:dstrike w:val="0"/>
        <w:vanish w:val="0"/>
        <w:color w:val="000000"/>
        <w:spacing w:val="0"/>
        <w:position w:val="0"/>
        <w:sz w:val="24"/>
        <w:u w:val="none"/>
        <w:vertAlign w:val="baseline"/>
      </w:rPr>
    </w:lvl>
    <w:lvl w:ilvl="5" w:tentative="0">
      <w:start w:val="1"/>
      <w:numFmt w:val="decimal"/>
      <w:suff w:val="space"/>
      <w:lvlText w:val="%1.%2.%3.%4.%5.%6 "/>
      <w:lvlJc w:val="left"/>
      <w:pPr>
        <w:ind w:left="0" w:firstLine="0"/>
      </w:pPr>
      <w:rPr>
        <w:rFonts w:hint="default" w:ascii="Times New Roman" w:hAnsi="Times New Roman" w:eastAsia="黑体"/>
        <w:b w:val="0"/>
        <w:i w:val="0"/>
        <w:iCs w:val="0"/>
        <w:caps w:val="0"/>
        <w:smallCaps w:val="0"/>
        <w:strike w:val="0"/>
        <w:dstrike w:val="0"/>
        <w:vanish w:val="0"/>
        <w:color w:val="000000"/>
        <w:spacing w:val="0"/>
        <w:position w:val="0"/>
        <w:sz w:val="24"/>
        <w:u w:val="none"/>
        <w:vertAlign w:val="baseline"/>
      </w:rPr>
    </w:lvl>
    <w:lvl w:ilvl="6" w:tentative="0">
      <w:start w:val="1"/>
      <w:numFmt w:val="decimal"/>
      <w:lvlRestart w:val="2"/>
      <w:pStyle w:val="6"/>
      <w:suff w:val="space"/>
      <w:lvlText w:val="表 %1.%2-%7 "/>
      <w:lvlJc w:val="left"/>
      <w:pPr>
        <w:ind w:left="0" w:firstLine="0"/>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14:ligatures w14:val="none"/>
        <w14:numForm w14:val="default"/>
        <w14:numSpacing w14:val="default"/>
      </w:rPr>
    </w:lvl>
    <w:lvl w:ilvl="7" w:tentative="0">
      <w:start w:val="1"/>
      <w:numFmt w:val="decimal"/>
      <w:lvlRestart w:val="2"/>
      <w:suff w:val="space"/>
      <w:lvlText w:val="图 %1.%2-%8 "/>
      <w:lvlJc w:val="left"/>
      <w:pPr>
        <w:ind w:left="0" w:firstLine="0"/>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8" w:tentative="0">
      <w:start w:val="1"/>
      <w:numFmt w:val="decimal"/>
      <w:lvlText w:val="%1.%2.%3.%4.%5.%6.%7.%8.%9"/>
      <w:lvlJc w:val="left"/>
      <w:pPr>
        <w:ind w:left="0" w:firstLine="0"/>
      </w:pPr>
      <w:rPr>
        <w:rFonts w:hint="default" w:ascii="Times New Roman" w:hAnsi="Times New Roman" w:eastAsia="黑体"/>
      </w:rPr>
    </w:lvl>
  </w:abstractNum>
  <w:num w:numId="1">
    <w:abstractNumId w:val="3"/>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QyMjhkYTYyOTE5MzZkNTk3MjI4ZjVjYWI2MzM3NjkifQ=="/>
  </w:docVars>
  <w:rsids>
    <w:rsidRoot w:val="00C72F16"/>
    <w:rsid w:val="00001429"/>
    <w:rsid w:val="000017E1"/>
    <w:rsid w:val="00002F5F"/>
    <w:rsid w:val="00020628"/>
    <w:rsid w:val="00020F7F"/>
    <w:rsid w:val="00027F30"/>
    <w:rsid w:val="000352C1"/>
    <w:rsid w:val="0003540C"/>
    <w:rsid w:val="00037DC4"/>
    <w:rsid w:val="0004023B"/>
    <w:rsid w:val="00045DE8"/>
    <w:rsid w:val="0004763C"/>
    <w:rsid w:val="000544F7"/>
    <w:rsid w:val="00056F8C"/>
    <w:rsid w:val="00061780"/>
    <w:rsid w:val="00061D02"/>
    <w:rsid w:val="00061DDF"/>
    <w:rsid w:val="00067539"/>
    <w:rsid w:val="00070F33"/>
    <w:rsid w:val="00073206"/>
    <w:rsid w:val="00075119"/>
    <w:rsid w:val="000829BE"/>
    <w:rsid w:val="00084773"/>
    <w:rsid w:val="000907DB"/>
    <w:rsid w:val="000970F6"/>
    <w:rsid w:val="000A76A8"/>
    <w:rsid w:val="000B116A"/>
    <w:rsid w:val="000B1693"/>
    <w:rsid w:val="000B4207"/>
    <w:rsid w:val="000B6040"/>
    <w:rsid w:val="000C0D55"/>
    <w:rsid w:val="000C2181"/>
    <w:rsid w:val="000C42B9"/>
    <w:rsid w:val="000E26D6"/>
    <w:rsid w:val="000E3BDC"/>
    <w:rsid w:val="000E4B7B"/>
    <w:rsid w:val="000E50F4"/>
    <w:rsid w:val="000E5BFE"/>
    <w:rsid w:val="000F4EC8"/>
    <w:rsid w:val="00107054"/>
    <w:rsid w:val="00111B48"/>
    <w:rsid w:val="00111EF0"/>
    <w:rsid w:val="0011454C"/>
    <w:rsid w:val="00121140"/>
    <w:rsid w:val="001229FF"/>
    <w:rsid w:val="0012473D"/>
    <w:rsid w:val="00130269"/>
    <w:rsid w:val="00130906"/>
    <w:rsid w:val="00131F5F"/>
    <w:rsid w:val="001324E0"/>
    <w:rsid w:val="00136A9F"/>
    <w:rsid w:val="00140071"/>
    <w:rsid w:val="00141183"/>
    <w:rsid w:val="00143887"/>
    <w:rsid w:val="00145FD8"/>
    <w:rsid w:val="001464A5"/>
    <w:rsid w:val="00150C89"/>
    <w:rsid w:val="00154BE2"/>
    <w:rsid w:val="00155B67"/>
    <w:rsid w:val="001635DF"/>
    <w:rsid w:val="00165684"/>
    <w:rsid w:val="001666BB"/>
    <w:rsid w:val="00181586"/>
    <w:rsid w:val="00182893"/>
    <w:rsid w:val="00190330"/>
    <w:rsid w:val="00192892"/>
    <w:rsid w:val="00196310"/>
    <w:rsid w:val="001A2E68"/>
    <w:rsid w:val="001A6469"/>
    <w:rsid w:val="001B4193"/>
    <w:rsid w:val="001B4478"/>
    <w:rsid w:val="001B543C"/>
    <w:rsid w:val="001B579B"/>
    <w:rsid w:val="001C3519"/>
    <w:rsid w:val="001C7267"/>
    <w:rsid w:val="001D0169"/>
    <w:rsid w:val="001E1ACA"/>
    <w:rsid w:val="001E392B"/>
    <w:rsid w:val="001E5AF1"/>
    <w:rsid w:val="001E73BC"/>
    <w:rsid w:val="001F3A9B"/>
    <w:rsid w:val="00203275"/>
    <w:rsid w:val="0020339C"/>
    <w:rsid w:val="002100CA"/>
    <w:rsid w:val="0021477B"/>
    <w:rsid w:val="00226F87"/>
    <w:rsid w:val="00230DE0"/>
    <w:rsid w:val="002328EA"/>
    <w:rsid w:val="0024295D"/>
    <w:rsid w:val="00244B3A"/>
    <w:rsid w:val="00254124"/>
    <w:rsid w:val="002550C9"/>
    <w:rsid w:val="00260B63"/>
    <w:rsid w:val="00265E0A"/>
    <w:rsid w:val="00270ADD"/>
    <w:rsid w:val="00273BA8"/>
    <w:rsid w:val="002764BC"/>
    <w:rsid w:val="00282DC3"/>
    <w:rsid w:val="00283153"/>
    <w:rsid w:val="0028783E"/>
    <w:rsid w:val="00287C46"/>
    <w:rsid w:val="00294A8B"/>
    <w:rsid w:val="00295F43"/>
    <w:rsid w:val="00297D22"/>
    <w:rsid w:val="002A2C8D"/>
    <w:rsid w:val="002A5FF3"/>
    <w:rsid w:val="002C29BD"/>
    <w:rsid w:val="002C490E"/>
    <w:rsid w:val="002C639C"/>
    <w:rsid w:val="002D7E06"/>
    <w:rsid w:val="002E6AA5"/>
    <w:rsid w:val="002F56DA"/>
    <w:rsid w:val="002F76EE"/>
    <w:rsid w:val="003049E0"/>
    <w:rsid w:val="00321034"/>
    <w:rsid w:val="0032240D"/>
    <w:rsid w:val="00327FEF"/>
    <w:rsid w:val="00333329"/>
    <w:rsid w:val="00334E24"/>
    <w:rsid w:val="00337C6D"/>
    <w:rsid w:val="00342F95"/>
    <w:rsid w:val="0034642A"/>
    <w:rsid w:val="00347807"/>
    <w:rsid w:val="00352680"/>
    <w:rsid w:val="003605D3"/>
    <w:rsid w:val="003609B2"/>
    <w:rsid w:val="00361CFD"/>
    <w:rsid w:val="00362194"/>
    <w:rsid w:val="003646B6"/>
    <w:rsid w:val="00364F5A"/>
    <w:rsid w:val="00365376"/>
    <w:rsid w:val="003726E0"/>
    <w:rsid w:val="00391CB6"/>
    <w:rsid w:val="00392B3A"/>
    <w:rsid w:val="00395918"/>
    <w:rsid w:val="003960B5"/>
    <w:rsid w:val="003A0A88"/>
    <w:rsid w:val="003A31E8"/>
    <w:rsid w:val="003A711B"/>
    <w:rsid w:val="003B28FD"/>
    <w:rsid w:val="003B5970"/>
    <w:rsid w:val="003D43D8"/>
    <w:rsid w:val="003D479C"/>
    <w:rsid w:val="003D531C"/>
    <w:rsid w:val="003D5CCF"/>
    <w:rsid w:val="003E31A3"/>
    <w:rsid w:val="003E52AD"/>
    <w:rsid w:val="003F4502"/>
    <w:rsid w:val="003F4DA7"/>
    <w:rsid w:val="003F6C84"/>
    <w:rsid w:val="00401C1C"/>
    <w:rsid w:val="00407F0D"/>
    <w:rsid w:val="00412713"/>
    <w:rsid w:val="0041510A"/>
    <w:rsid w:val="00417B1A"/>
    <w:rsid w:val="0042396B"/>
    <w:rsid w:val="004319A2"/>
    <w:rsid w:val="0043489A"/>
    <w:rsid w:val="004354D4"/>
    <w:rsid w:val="00442973"/>
    <w:rsid w:val="004431C8"/>
    <w:rsid w:val="00447807"/>
    <w:rsid w:val="0044787B"/>
    <w:rsid w:val="004537D0"/>
    <w:rsid w:val="004618AD"/>
    <w:rsid w:val="00463E1A"/>
    <w:rsid w:val="004665DF"/>
    <w:rsid w:val="00471A3A"/>
    <w:rsid w:val="004729D6"/>
    <w:rsid w:val="004765A4"/>
    <w:rsid w:val="00485A1E"/>
    <w:rsid w:val="00490203"/>
    <w:rsid w:val="00495D8B"/>
    <w:rsid w:val="00496410"/>
    <w:rsid w:val="004976E9"/>
    <w:rsid w:val="004A09C1"/>
    <w:rsid w:val="004A2501"/>
    <w:rsid w:val="004A2552"/>
    <w:rsid w:val="004A46CA"/>
    <w:rsid w:val="004A4FC9"/>
    <w:rsid w:val="004A5BEA"/>
    <w:rsid w:val="004A5DC9"/>
    <w:rsid w:val="004B73AE"/>
    <w:rsid w:val="004C0A92"/>
    <w:rsid w:val="004C61F7"/>
    <w:rsid w:val="004D55C9"/>
    <w:rsid w:val="004D6AA8"/>
    <w:rsid w:val="004E0644"/>
    <w:rsid w:val="004E0A53"/>
    <w:rsid w:val="004E1F99"/>
    <w:rsid w:val="004E5B3E"/>
    <w:rsid w:val="004E68B3"/>
    <w:rsid w:val="004F62D5"/>
    <w:rsid w:val="00505ED4"/>
    <w:rsid w:val="00513358"/>
    <w:rsid w:val="00526E28"/>
    <w:rsid w:val="005350BE"/>
    <w:rsid w:val="00537085"/>
    <w:rsid w:val="00552AE5"/>
    <w:rsid w:val="00554A0E"/>
    <w:rsid w:val="00561716"/>
    <w:rsid w:val="00572B46"/>
    <w:rsid w:val="005731FE"/>
    <w:rsid w:val="005878E3"/>
    <w:rsid w:val="005A5695"/>
    <w:rsid w:val="005B35D4"/>
    <w:rsid w:val="005B4D3E"/>
    <w:rsid w:val="005C0475"/>
    <w:rsid w:val="005C0B54"/>
    <w:rsid w:val="005C2CEF"/>
    <w:rsid w:val="005D2721"/>
    <w:rsid w:val="005E1252"/>
    <w:rsid w:val="005E1B1C"/>
    <w:rsid w:val="005E2912"/>
    <w:rsid w:val="005E50CE"/>
    <w:rsid w:val="005E511D"/>
    <w:rsid w:val="005E73B5"/>
    <w:rsid w:val="005F671C"/>
    <w:rsid w:val="006025F7"/>
    <w:rsid w:val="00602E71"/>
    <w:rsid w:val="00604033"/>
    <w:rsid w:val="006042EC"/>
    <w:rsid w:val="006054C3"/>
    <w:rsid w:val="00611163"/>
    <w:rsid w:val="00623429"/>
    <w:rsid w:val="00624F0B"/>
    <w:rsid w:val="00632528"/>
    <w:rsid w:val="00634E5C"/>
    <w:rsid w:val="00652EB8"/>
    <w:rsid w:val="00654666"/>
    <w:rsid w:val="00660091"/>
    <w:rsid w:val="00662076"/>
    <w:rsid w:val="00673EDF"/>
    <w:rsid w:val="0067424A"/>
    <w:rsid w:val="00675DB0"/>
    <w:rsid w:val="00676FD9"/>
    <w:rsid w:val="00680E33"/>
    <w:rsid w:val="00680F5B"/>
    <w:rsid w:val="006904FE"/>
    <w:rsid w:val="00691038"/>
    <w:rsid w:val="00691156"/>
    <w:rsid w:val="006919BF"/>
    <w:rsid w:val="006A0960"/>
    <w:rsid w:val="006A38F2"/>
    <w:rsid w:val="006B0705"/>
    <w:rsid w:val="006B437B"/>
    <w:rsid w:val="006B7E35"/>
    <w:rsid w:val="006C5164"/>
    <w:rsid w:val="006C5F6C"/>
    <w:rsid w:val="006C612D"/>
    <w:rsid w:val="006C77B5"/>
    <w:rsid w:val="006D340D"/>
    <w:rsid w:val="006D5558"/>
    <w:rsid w:val="006D57F7"/>
    <w:rsid w:val="006E4569"/>
    <w:rsid w:val="006E7026"/>
    <w:rsid w:val="00701CAF"/>
    <w:rsid w:val="0070457E"/>
    <w:rsid w:val="00721925"/>
    <w:rsid w:val="0072381F"/>
    <w:rsid w:val="00725736"/>
    <w:rsid w:val="0072593D"/>
    <w:rsid w:val="0072605D"/>
    <w:rsid w:val="0072671A"/>
    <w:rsid w:val="00726A09"/>
    <w:rsid w:val="00730AAE"/>
    <w:rsid w:val="007414BF"/>
    <w:rsid w:val="00745096"/>
    <w:rsid w:val="007476CE"/>
    <w:rsid w:val="00747C6F"/>
    <w:rsid w:val="00751D63"/>
    <w:rsid w:val="0075256B"/>
    <w:rsid w:val="007545F3"/>
    <w:rsid w:val="007647D9"/>
    <w:rsid w:val="00784F3E"/>
    <w:rsid w:val="0078756E"/>
    <w:rsid w:val="00796496"/>
    <w:rsid w:val="007979F2"/>
    <w:rsid w:val="007A5DCA"/>
    <w:rsid w:val="007A6125"/>
    <w:rsid w:val="007B3BE1"/>
    <w:rsid w:val="007B528E"/>
    <w:rsid w:val="007C27F9"/>
    <w:rsid w:val="007D48BE"/>
    <w:rsid w:val="007D69A2"/>
    <w:rsid w:val="007D7A4E"/>
    <w:rsid w:val="007E08B2"/>
    <w:rsid w:val="007E0C11"/>
    <w:rsid w:val="007E35D0"/>
    <w:rsid w:val="007E5CBC"/>
    <w:rsid w:val="007E6788"/>
    <w:rsid w:val="007E6E06"/>
    <w:rsid w:val="007F030B"/>
    <w:rsid w:val="007F1954"/>
    <w:rsid w:val="007F22A4"/>
    <w:rsid w:val="007F356F"/>
    <w:rsid w:val="00803B98"/>
    <w:rsid w:val="0081536D"/>
    <w:rsid w:val="00816DEC"/>
    <w:rsid w:val="00817442"/>
    <w:rsid w:val="00821167"/>
    <w:rsid w:val="0082744B"/>
    <w:rsid w:val="00834220"/>
    <w:rsid w:val="008376A6"/>
    <w:rsid w:val="00840019"/>
    <w:rsid w:val="008404B6"/>
    <w:rsid w:val="008459FD"/>
    <w:rsid w:val="00845B43"/>
    <w:rsid w:val="00850486"/>
    <w:rsid w:val="0085370B"/>
    <w:rsid w:val="00860DCD"/>
    <w:rsid w:val="00866575"/>
    <w:rsid w:val="00872F87"/>
    <w:rsid w:val="0089128F"/>
    <w:rsid w:val="008947E6"/>
    <w:rsid w:val="008A51C1"/>
    <w:rsid w:val="008B2C01"/>
    <w:rsid w:val="008C260D"/>
    <w:rsid w:val="008C7DD1"/>
    <w:rsid w:val="008D4AC4"/>
    <w:rsid w:val="008E53B4"/>
    <w:rsid w:val="008F3279"/>
    <w:rsid w:val="00900F3D"/>
    <w:rsid w:val="0091663D"/>
    <w:rsid w:val="00924042"/>
    <w:rsid w:val="00926BCA"/>
    <w:rsid w:val="0093064F"/>
    <w:rsid w:val="00932839"/>
    <w:rsid w:val="00937F63"/>
    <w:rsid w:val="00940F49"/>
    <w:rsid w:val="00941C9F"/>
    <w:rsid w:val="009472B9"/>
    <w:rsid w:val="00950BDA"/>
    <w:rsid w:val="00957751"/>
    <w:rsid w:val="0096355A"/>
    <w:rsid w:val="00970658"/>
    <w:rsid w:val="00985EF0"/>
    <w:rsid w:val="00992DBE"/>
    <w:rsid w:val="00996C87"/>
    <w:rsid w:val="00997E30"/>
    <w:rsid w:val="009A51CA"/>
    <w:rsid w:val="009B05FE"/>
    <w:rsid w:val="009B1216"/>
    <w:rsid w:val="009B497C"/>
    <w:rsid w:val="009C08A9"/>
    <w:rsid w:val="009D7C3E"/>
    <w:rsid w:val="009E2FA2"/>
    <w:rsid w:val="009E4166"/>
    <w:rsid w:val="009E5FA9"/>
    <w:rsid w:val="009E6361"/>
    <w:rsid w:val="009E6FF2"/>
    <w:rsid w:val="009E7FE0"/>
    <w:rsid w:val="009F0072"/>
    <w:rsid w:val="009F1081"/>
    <w:rsid w:val="009F2441"/>
    <w:rsid w:val="009F355B"/>
    <w:rsid w:val="009F4C74"/>
    <w:rsid w:val="009F6F02"/>
    <w:rsid w:val="00A047BF"/>
    <w:rsid w:val="00A113D3"/>
    <w:rsid w:val="00A13D4D"/>
    <w:rsid w:val="00A17D08"/>
    <w:rsid w:val="00A21375"/>
    <w:rsid w:val="00A213D7"/>
    <w:rsid w:val="00A21AB3"/>
    <w:rsid w:val="00A305C0"/>
    <w:rsid w:val="00A31E46"/>
    <w:rsid w:val="00A31F1E"/>
    <w:rsid w:val="00A330B2"/>
    <w:rsid w:val="00A33952"/>
    <w:rsid w:val="00A35E8F"/>
    <w:rsid w:val="00A44F3A"/>
    <w:rsid w:val="00A466BD"/>
    <w:rsid w:val="00A50C55"/>
    <w:rsid w:val="00A55505"/>
    <w:rsid w:val="00A61437"/>
    <w:rsid w:val="00A62810"/>
    <w:rsid w:val="00A73B83"/>
    <w:rsid w:val="00A802A7"/>
    <w:rsid w:val="00A8274F"/>
    <w:rsid w:val="00A833D8"/>
    <w:rsid w:val="00A870F2"/>
    <w:rsid w:val="00A92531"/>
    <w:rsid w:val="00A92847"/>
    <w:rsid w:val="00A94591"/>
    <w:rsid w:val="00A956DA"/>
    <w:rsid w:val="00AA0900"/>
    <w:rsid w:val="00AA59BC"/>
    <w:rsid w:val="00AB4FB7"/>
    <w:rsid w:val="00AB5AB0"/>
    <w:rsid w:val="00AC2F40"/>
    <w:rsid w:val="00AC447E"/>
    <w:rsid w:val="00AD05BB"/>
    <w:rsid w:val="00AD2923"/>
    <w:rsid w:val="00AD2954"/>
    <w:rsid w:val="00AD7C51"/>
    <w:rsid w:val="00AE2071"/>
    <w:rsid w:val="00AE61D6"/>
    <w:rsid w:val="00AF4ED4"/>
    <w:rsid w:val="00AF545B"/>
    <w:rsid w:val="00B06E28"/>
    <w:rsid w:val="00B16254"/>
    <w:rsid w:val="00B32903"/>
    <w:rsid w:val="00B42603"/>
    <w:rsid w:val="00B42DB2"/>
    <w:rsid w:val="00B45413"/>
    <w:rsid w:val="00B64961"/>
    <w:rsid w:val="00B70B8D"/>
    <w:rsid w:val="00B84873"/>
    <w:rsid w:val="00B84B9F"/>
    <w:rsid w:val="00B84DF1"/>
    <w:rsid w:val="00B909E0"/>
    <w:rsid w:val="00B94AAA"/>
    <w:rsid w:val="00B94FFB"/>
    <w:rsid w:val="00B97887"/>
    <w:rsid w:val="00BA2B9F"/>
    <w:rsid w:val="00BA2E39"/>
    <w:rsid w:val="00BA5F13"/>
    <w:rsid w:val="00BC3304"/>
    <w:rsid w:val="00BC34AC"/>
    <w:rsid w:val="00BC64C2"/>
    <w:rsid w:val="00BD350B"/>
    <w:rsid w:val="00BD6F9B"/>
    <w:rsid w:val="00BE222F"/>
    <w:rsid w:val="00BF0132"/>
    <w:rsid w:val="00BF1F36"/>
    <w:rsid w:val="00BF27D9"/>
    <w:rsid w:val="00BF620A"/>
    <w:rsid w:val="00BF7147"/>
    <w:rsid w:val="00C01A6A"/>
    <w:rsid w:val="00C02930"/>
    <w:rsid w:val="00C02E9A"/>
    <w:rsid w:val="00C04E54"/>
    <w:rsid w:val="00C071AE"/>
    <w:rsid w:val="00C106AD"/>
    <w:rsid w:val="00C150ED"/>
    <w:rsid w:val="00C20C62"/>
    <w:rsid w:val="00C313E8"/>
    <w:rsid w:val="00C34662"/>
    <w:rsid w:val="00C358E9"/>
    <w:rsid w:val="00C37F07"/>
    <w:rsid w:val="00C4002F"/>
    <w:rsid w:val="00C4042D"/>
    <w:rsid w:val="00C52EC9"/>
    <w:rsid w:val="00C55B33"/>
    <w:rsid w:val="00C57A63"/>
    <w:rsid w:val="00C60D1E"/>
    <w:rsid w:val="00C63505"/>
    <w:rsid w:val="00C678ED"/>
    <w:rsid w:val="00C7282C"/>
    <w:rsid w:val="00C72F16"/>
    <w:rsid w:val="00C73141"/>
    <w:rsid w:val="00C74CD0"/>
    <w:rsid w:val="00C9109B"/>
    <w:rsid w:val="00C91F2D"/>
    <w:rsid w:val="00C940B6"/>
    <w:rsid w:val="00CA52BF"/>
    <w:rsid w:val="00CB583A"/>
    <w:rsid w:val="00CC49FF"/>
    <w:rsid w:val="00CD1C8B"/>
    <w:rsid w:val="00CD2069"/>
    <w:rsid w:val="00CD2F11"/>
    <w:rsid w:val="00CD579C"/>
    <w:rsid w:val="00CD5C4E"/>
    <w:rsid w:val="00CD6666"/>
    <w:rsid w:val="00CE00BB"/>
    <w:rsid w:val="00CE2F9F"/>
    <w:rsid w:val="00CE4ACC"/>
    <w:rsid w:val="00CE5C36"/>
    <w:rsid w:val="00CF5A19"/>
    <w:rsid w:val="00CF6DCC"/>
    <w:rsid w:val="00D071B0"/>
    <w:rsid w:val="00D1049C"/>
    <w:rsid w:val="00D127B7"/>
    <w:rsid w:val="00D153F0"/>
    <w:rsid w:val="00D2639C"/>
    <w:rsid w:val="00D33AA5"/>
    <w:rsid w:val="00D4150F"/>
    <w:rsid w:val="00D4300D"/>
    <w:rsid w:val="00D5517C"/>
    <w:rsid w:val="00D62440"/>
    <w:rsid w:val="00D6449F"/>
    <w:rsid w:val="00D65184"/>
    <w:rsid w:val="00D66435"/>
    <w:rsid w:val="00D76BE4"/>
    <w:rsid w:val="00D77944"/>
    <w:rsid w:val="00D848A1"/>
    <w:rsid w:val="00D86EC5"/>
    <w:rsid w:val="00D91D2E"/>
    <w:rsid w:val="00DA586F"/>
    <w:rsid w:val="00DA60BE"/>
    <w:rsid w:val="00DB3009"/>
    <w:rsid w:val="00DB39BC"/>
    <w:rsid w:val="00DC754F"/>
    <w:rsid w:val="00DD1708"/>
    <w:rsid w:val="00DD197F"/>
    <w:rsid w:val="00DD41AC"/>
    <w:rsid w:val="00DD49DB"/>
    <w:rsid w:val="00DD58C8"/>
    <w:rsid w:val="00DE2EA2"/>
    <w:rsid w:val="00DE4B0E"/>
    <w:rsid w:val="00DE4EF3"/>
    <w:rsid w:val="00DE6180"/>
    <w:rsid w:val="00DF1BE4"/>
    <w:rsid w:val="00DF2CCD"/>
    <w:rsid w:val="00DF3B98"/>
    <w:rsid w:val="00E01E98"/>
    <w:rsid w:val="00E05F89"/>
    <w:rsid w:val="00E077EA"/>
    <w:rsid w:val="00E215FA"/>
    <w:rsid w:val="00E22F57"/>
    <w:rsid w:val="00E23C36"/>
    <w:rsid w:val="00E25421"/>
    <w:rsid w:val="00E263A7"/>
    <w:rsid w:val="00E272B3"/>
    <w:rsid w:val="00E42CB2"/>
    <w:rsid w:val="00E44BC5"/>
    <w:rsid w:val="00E52776"/>
    <w:rsid w:val="00E641E2"/>
    <w:rsid w:val="00E8517B"/>
    <w:rsid w:val="00E8532C"/>
    <w:rsid w:val="00E87045"/>
    <w:rsid w:val="00E91DD9"/>
    <w:rsid w:val="00E95FA8"/>
    <w:rsid w:val="00EA3BE8"/>
    <w:rsid w:val="00EA669B"/>
    <w:rsid w:val="00EB03F7"/>
    <w:rsid w:val="00EB6539"/>
    <w:rsid w:val="00EC155D"/>
    <w:rsid w:val="00EC22D3"/>
    <w:rsid w:val="00EC5143"/>
    <w:rsid w:val="00ED1459"/>
    <w:rsid w:val="00ED2322"/>
    <w:rsid w:val="00EE31A8"/>
    <w:rsid w:val="00EE5398"/>
    <w:rsid w:val="00EE68AE"/>
    <w:rsid w:val="00EF1601"/>
    <w:rsid w:val="00EF32E2"/>
    <w:rsid w:val="00EF45EE"/>
    <w:rsid w:val="00F01CD7"/>
    <w:rsid w:val="00F02F78"/>
    <w:rsid w:val="00F0363C"/>
    <w:rsid w:val="00F06566"/>
    <w:rsid w:val="00F10D44"/>
    <w:rsid w:val="00F11D26"/>
    <w:rsid w:val="00F13B32"/>
    <w:rsid w:val="00F21C12"/>
    <w:rsid w:val="00F21DAB"/>
    <w:rsid w:val="00F23A25"/>
    <w:rsid w:val="00F2429F"/>
    <w:rsid w:val="00F27976"/>
    <w:rsid w:val="00F33187"/>
    <w:rsid w:val="00F3510E"/>
    <w:rsid w:val="00F411AB"/>
    <w:rsid w:val="00F4150D"/>
    <w:rsid w:val="00F429B6"/>
    <w:rsid w:val="00F44247"/>
    <w:rsid w:val="00F46717"/>
    <w:rsid w:val="00F5408B"/>
    <w:rsid w:val="00F57D24"/>
    <w:rsid w:val="00F57F4F"/>
    <w:rsid w:val="00F6094E"/>
    <w:rsid w:val="00F63790"/>
    <w:rsid w:val="00F65EDE"/>
    <w:rsid w:val="00F70AD1"/>
    <w:rsid w:val="00F76E66"/>
    <w:rsid w:val="00F8473D"/>
    <w:rsid w:val="00F94953"/>
    <w:rsid w:val="00F96217"/>
    <w:rsid w:val="00FA5E70"/>
    <w:rsid w:val="00FB1F80"/>
    <w:rsid w:val="00FB310A"/>
    <w:rsid w:val="00FB4423"/>
    <w:rsid w:val="00FC6304"/>
    <w:rsid w:val="00FE03AC"/>
    <w:rsid w:val="00FE4652"/>
    <w:rsid w:val="00FE5109"/>
    <w:rsid w:val="00FF05A8"/>
    <w:rsid w:val="00FF0ED3"/>
    <w:rsid w:val="01446560"/>
    <w:rsid w:val="02512D8B"/>
    <w:rsid w:val="0348159A"/>
    <w:rsid w:val="03634955"/>
    <w:rsid w:val="03C73ABD"/>
    <w:rsid w:val="03CB6F8E"/>
    <w:rsid w:val="041072CB"/>
    <w:rsid w:val="042B5143"/>
    <w:rsid w:val="048050D0"/>
    <w:rsid w:val="052126D5"/>
    <w:rsid w:val="053E1CBB"/>
    <w:rsid w:val="059F6A85"/>
    <w:rsid w:val="060E0804"/>
    <w:rsid w:val="064C7704"/>
    <w:rsid w:val="06E54213"/>
    <w:rsid w:val="06F47F8B"/>
    <w:rsid w:val="071961D6"/>
    <w:rsid w:val="07C80D81"/>
    <w:rsid w:val="084367D4"/>
    <w:rsid w:val="087B1B8F"/>
    <w:rsid w:val="0889683A"/>
    <w:rsid w:val="089C505B"/>
    <w:rsid w:val="089F671F"/>
    <w:rsid w:val="08D615C9"/>
    <w:rsid w:val="093C0997"/>
    <w:rsid w:val="099473D7"/>
    <w:rsid w:val="09EE1641"/>
    <w:rsid w:val="0A0124A3"/>
    <w:rsid w:val="0A2D14EA"/>
    <w:rsid w:val="0A317803"/>
    <w:rsid w:val="0A3C34DB"/>
    <w:rsid w:val="0A8245A3"/>
    <w:rsid w:val="0AA567B9"/>
    <w:rsid w:val="0AAE111E"/>
    <w:rsid w:val="0AE231B3"/>
    <w:rsid w:val="0AF615DE"/>
    <w:rsid w:val="0AF87199"/>
    <w:rsid w:val="0B5E33F2"/>
    <w:rsid w:val="0B6E1448"/>
    <w:rsid w:val="0C273A08"/>
    <w:rsid w:val="0C424E0D"/>
    <w:rsid w:val="0C5F64F9"/>
    <w:rsid w:val="0C69311A"/>
    <w:rsid w:val="0C73518F"/>
    <w:rsid w:val="0C9566A2"/>
    <w:rsid w:val="0CAA44C5"/>
    <w:rsid w:val="0D8422C9"/>
    <w:rsid w:val="0D993B8D"/>
    <w:rsid w:val="0DAD78CB"/>
    <w:rsid w:val="0DBF3A00"/>
    <w:rsid w:val="0E0367E9"/>
    <w:rsid w:val="0E134997"/>
    <w:rsid w:val="0E2B5A09"/>
    <w:rsid w:val="0E367CE3"/>
    <w:rsid w:val="0E563E5B"/>
    <w:rsid w:val="0E844F31"/>
    <w:rsid w:val="0E856F2A"/>
    <w:rsid w:val="0EE57E22"/>
    <w:rsid w:val="0F0D0D71"/>
    <w:rsid w:val="0F287A35"/>
    <w:rsid w:val="0F98709C"/>
    <w:rsid w:val="0FFB5DB6"/>
    <w:rsid w:val="103C73DC"/>
    <w:rsid w:val="10BE4C49"/>
    <w:rsid w:val="10F1501F"/>
    <w:rsid w:val="113E2A85"/>
    <w:rsid w:val="11747199"/>
    <w:rsid w:val="11757F43"/>
    <w:rsid w:val="119E0FD7"/>
    <w:rsid w:val="11CA1C9E"/>
    <w:rsid w:val="12456A87"/>
    <w:rsid w:val="12555D9B"/>
    <w:rsid w:val="12B26943"/>
    <w:rsid w:val="12CA725A"/>
    <w:rsid w:val="12EC6F7B"/>
    <w:rsid w:val="12FF774E"/>
    <w:rsid w:val="134C29E0"/>
    <w:rsid w:val="138F0F48"/>
    <w:rsid w:val="143C383E"/>
    <w:rsid w:val="14D0319D"/>
    <w:rsid w:val="150F2AFE"/>
    <w:rsid w:val="154F7FF6"/>
    <w:rsid w:val="156264EB"/>
    <w:rsid w:val="158C26F1"/>
    <w:rsid w:val="15A915E0"/>
    <w:rsid w:val="15BE7694"/>
    <w:rsid w:val="162764A5"/>
    <w:rsid w:val="16297D9A"/>
    <w:rsid w:val="169E5B41"/>
    <w:rsid w:val="16B23533"/>
    <w:rsid w:val="17B32985"/>
    <w:rsid w:val="1807759E"/>
    <w:rsid w:val="181260B0"/>
    <w:rsid w:val="18450A85"/>
    <w:rsid w:val="188202EA"/>
    <w:rsid w:val="18C364FA"/>
    <w:rsid w:val="191B6ACC"/>
    <w:rsid w:val="19506DF6"/>
    <w:rsid w:val="1A594876"/>
    <w:rsid w:val="1A7D7923"/>
    <w:rsid w:val="1AFA5418"/>
    <w:rsid w:val="1B8F15C2"/>
    <w:rsid w:val="1BC82E70"/>
    <w:rsid w:val="1BEC08F0"/>
    <w:rsid w:val="1C98248B"/>
    <w:rsid w:val="1CF87735"/>
    <w:rsid w:val="1D3F4016"/>
    <w:rsid w:val="1D5E6D2C"/>
    <w:rsid w:val="1D694149"/>
    <w:rsid w:val="1DA713B4"/>
    <w:rsid w:val="1DAB5DB0"/>
    <w:rsid w:val="1DCF0478"/>
    <w:rsid w:val="1E0A5972"/>
    <w:rsid w:val="1E6E7D04"/>
    <w:rsid w:val="1ECF590A"/>
    <w:rsid w:val="1F1A7412"/>
    <w:rsid w:val="1F284388"/>
    <w:rsid w:val="1FB618B5"/>
    <w:rsid w:val="201E74B3"/>
    <w:rsid w:val="204E4365"/>
    <w:rsid w:val="20A84248"/>
    <w:rsid w:val="211B63BD"/>
    <w:rsid w:val="211E00D8"/>
    <w:rsid w:val="211E0EA3"/>
    <w:rsid w:val="218167C0"/>
    <w:rsid w:val="21893A88"/>
    <w:rsid w:val="219B138F"/>
    <w:rsid w:val="21AB3206"/>
    <w:rsid w:val="21D34D1B"/>
    <w:rsid w:val="228835C0"/>
    <w:rsid w:val="22B21098"/>
    <w:rsid w:val="22E10BD6"/>
    <w:rsid w:val="23276EEF"/>
    <w:rsid w:val="233D2717"/>
    <w:rsid w:val="235145E2"/>
    <w:rsid w:val="23836352"/>
    <w:rsid w:val="244F5AEA"/>
    <w:rsid w:val="245168ED"/>
    <w:rsid w:val="245B00E4"/>
    <w:rsid w:val="24A342A3"/>
    <w:rsid w:val="24BA2BD0"/>
    <w:rsid w:val="24D54367"/>
    <w:rsid w:val="24F46485"/>
    <w:rsid w:val="250E7899"/>
    <w:rsid w:val="26502390"/>
    <w:rsid w:val="266B0F78"/>
    <w:rsid w:val="26716EF5"/>
    <w:rsid w:val="27761DC3"/>
    <w:rsid w:val="27A110F5"/>
    <w:rsid w:val="27E5752B"/>
    <w:rsid w:val="27EC60E8"/>
    <w:rsid w:val="281910EE"/>
    <w:rsid w:val="28241C10"/>
    <w:rsid w:val="2848590F"/>
    <w:rsid w:val="28B27999"/>
    <w:rsid w:val="28CA2B21"/>
    <w:rsid w:val="29042132"/>
    <w:rsid w:val="291B6078"/>
    <w:rsid w:val="29685DC9"/>
    <w:rsid w:val="29824F56"/>
    <w:rsid w:val="2A0B0D2C"/>
    <w:rsid w:val="2A6738BC"/>
    <w:rsid w:val="2A685D11"/>
    <w:rsid w:val="2A6A40D1"/>
    <w:rsid w:val="2A876DE1"/>
    <w:rsid w:val="2A9628CD"/>
    <w:rsid w:val="2AAB4117"/>
    <w:rsid w:val="2B58542B"/>
    <w:rsid w:val="2B7A219B"/>
    <w:rsid w:val="2B911481"/>
    <w:rsid w:val="2B9142D1"/>
    <w:rsid w:val="2BA45ECE"/>
    <w:rsid w:val="2BF611DE"/>
    <w:rsid w:val="2C016507"/>
    <w:rsid w:val="2C155ED0"/>
    <w:rsid w:val="2C57173E"/>
    <w:rsid w:val="2C5B5B55"/>
    <w:rsid w:val="2CA90A4C"/>
    <w:rsid w:val="2CD94B19"/>
    <w:rsid w:val="2D4349FC"/>
    <w:rsid w:val="2D6F4EB2"/>
    <w:rsid w:val="2DE9350F"/>
    <w:rsid w:val="2DF9330D"/>
    <w:rsid w:val="2E014E5C"/>
    <w:rsid w:val="2E4D264E"/>
    <w:rsid w:val="2E4D4DED"/>
    <w:rsid w:val="2E7136BD"/>
    <w:rsid w:val="2F011EBE"/>
    <w:rsid w:val="2F293712"/>
    <w:rsid w:val="2F3816A6"/>
    <w:rsid w:val="2F770724"/>
    <w:rsid w:val="2F7A161B"/>
    <w:rsid w:val="2FAC5395"/>
    <w:rsid w:val="2FB31F7B"/>
    <w:rsid w:val="301542CD"/>
    <w:rsid w:val="301C2E4A"/>
    <w:rsid w:val="30601421"/>
    <w:rsid w:val="308E641C"/>
    <w:rsid w:val="30B02C64"/>
    <w:rsid w:val="31271618"/>
    <w:rsid w:val="316A3667"/>
    <w:rsid w:val="31ED53DD"/>
    <w:rsid w:val="31F60D42"/>
    <w:rsid w:val="323157AC"/>
    <w:rsid w:val="32416B2E"/>
    <w:rsid w:val="32851A24"/>
    <w:rsid w:val="3320630F"/>
    <w:rsid w:val="3341553A"/>
    <w:rsid w:val="33884F17"/>
    <w:rsid w:val="33D85613"/>
    <w:rsid w:val="34284E7D"/>
    <w:rsid w:val="34880F47"/>
    <w:rsid w:val="34AB131D"/>
    <w:rsid w:val="35181F84"/>
    <w:rsid w:val="352052C9"/>
    <w:rsid w:val="352F084F"/>
    <w:rsid w:val="3546508A"/>
    <w:rsid w:val="35563D48"/>
    <w:rsid w:val="35B75264"/>
    <w:rsid w:val="35F6626A"/>
    <w:rsid w:val="36503117"/>
    <w:rsid w:val="365F76A0"/>
    <w:rsid w:val="36A858D0"/>
    <w:rsid w:val="36EC70C0"/>
    <w:rsid w:val="371609EE"/>
    <w:rsid w:val="37514DBC"/>
    <w:rsid w:val="3766209A"/>
    <w:rsid w:val="37D278E9"/>
    <w:rsid w:val="37E308E4"/>
    <w:rsid w:val="38392C84"/>
    <w:rsid w:val="38514471"/>
    <w:rsid w:val="39CC2D1F"/>
    <w:rsid w:val="39F02C5C"/>
    <w:rsid w:val="3A0F2B81"/>
    <w:rsid w:val="3A704957"/>
    <w:rsid w:val="3ACC6AFB"/>
    <w:rsid w:val="3B13170A"/>
    <w:rsid w:val="3B430435"/>
    <w:rsid w:val="3BB32F2A"/>
    <w:rsid w:val="3BDB1745"/>
    <w:rsid w:val="3C3E1E22"/>
    <w:rsid w:val="3CD15B81"/>
    <w:rsid w:val="3CDE5FDF"/>
    <w:rsid w:val="3CDF7D74"/>
    <w:rsid w:val="3CF7310E"/>
    <w:rsid w:val="3D5E7F3D"/>
    <w:rsid w:val="3DE6740A"/>
    <w:rsid w:val="3E2651DD"/>
    <w:rsid w:val="3E356D63"/>
    <w:rsid w:val="3EAA4C8F"/>
    <w:rsid w:val="3EF63FD5"/>
    <w:rsid w:val="3F081C8C"/>
    <w:rsid w:val="3F2931E8"/>
    <w:rsid w:val="3F485134"/>
    <w:rsid w:val="3F4A1C1A"/>
    <w:rsid w:val="3F654A70"/>
    <w:rsid w:val="3FF23EDE"/>
    <w:rsid w:val="3FFD73CD"/>
    <w:rsid w:val="400630A1"/>
    <w:rsid w:val="4020683B"/>
    <w:rsid w:val="406D5853"/>
    <w:rsid w:val="40D85D41"/>
    <w:rsid w:val="411E707B"/>
    <w:rsid w:val="41252B1A"/>
    <w:rsid w:val="41A36BCC"/>
    <w:rsid w:val="41E07B8A"/>
    <w:rsid w:val="429A4C67"/>
    <w:rsid w:val="42BD2703"/>
    <w:rsid w:val="42F86C62"/>
    <w:rsid w:val="43330387"/>
    <w:rsid w:val="4403011A"/>
    <w:rsid w:val="446E0AE8"/>
    <w:rsid w:val="4474183C"/>
    <w:rsid w:val="448A690F"/>
    <w:rsid w:val="449760AA"/>
    <w:rsid w:val="45172801"/>
    <w:rsid w:val="455530C7"/>
    <w:rsid w:val="45645C78"/>
    <w:rsid w:val="458867DF"/>
    <w:rsid w:val="45C20BF4"/>
    <w:rsid w:val="45E561F9"/>
    <w:rsid w:val="465216EA"/>
    <w:rsid w:val="47AA4790"/>
    <w:rsid w:val="47C57487"/>
    <w:rsid w:val="47EA3F9B"/>
    <w:rsid w:val="47F147C3"/>
    <w:rsid w:val="481D7ECC"/>
    <w:rsid w:val="48ED53A6"/>
    <w:rsid w:val="493F7784"/>
    <w:rsid w:val="49642E34"/>
    <w:rsid w:val="497A2CD4"/>
    <w:rsid w:val="498D5CEC"/>
    <w:rsid w:val="49A57A0C"/>
    <w:rsid w:val="49C329B6"/>
    <w:rsid w:val="49D10B18"/>
    <w:rsid w:val="4A174DEF"/>
    <w:rsid w:val="4A181712"/>
    <w:rsid w:val="4A4D1674"/>
    <w:rsid w:val="4A52112B"/>
    <w:rsid w:val="4ABC3B25"/>
    <w:rsid w:val="4B6C484B"/>
    <w:rsid w:val="4B7D339D"/>
    <w:rsid w:val="4BDA444B"/>
    <w:rsid w:val="4C0524BF"/>
    <w:rsid w:val="4C1518DC"/>
    <w:rsid w:val="4C334FC6"/>
    <w:rsid w:val="4C7A59C3"/>
    <w:rsid w:val="4C887ED4"/>
    <w:rsid w:val="4C92504B"/>
    <w:rsid w:val="4CA934E0"/>
    <w:rsid w:val="4D4215B4"/>
    <w:rsid w:val="4D61511B"/>
    <w:rsid w:val="4D970721"/>
    <w:rsid w:val="4DAF6FF6"/>
    <w:rsid w:val="4E2D6A6D"/>
    <w:rsid w:val="4E2F4F62"/>
    <w:rsid w:val="4E6E3035"/>
    <w:rsid w:val="4ECD1090"/>
    <w:rsid w:val="4F6C15BC"/>
    <w:rsid w:val="4F8D1E6D"/>
    <w:rsid w:val="4FD61243"/>
    <w:rsid w:val="50063312"/>
    <w:rsid w:val="505A5A36"/>
    <w:rsid w:val="50934683"/>
    <w:rsid w:val="50CD6207"/>
    <w:rsid w:val="50EC0D3A"/>
    <w:rsid w:val="515D5D0F"/>
    <w:rsid w:val="51604BCF"/>
    <w:rsid w:val="51676F54"/>
    <w:rsid w:val="516A495F"/>
    <w:rsid w:val="5203717F"/>
    <w:rsid w:val="523E10CD"/>
    <w:rsid w:val="52773A8F"/>
    <w:rsid w:val="527C1C3B"/>
    <w:rsid w:val="528A2E18"/>
    <w:rsid w:val="52C2431E"/>
    <w:rsid w:val="53A42AA6"/>
    <w:rsid w:val="5415034B"/>
    <w:rsid w:val="54AA4DF0"/>
    <w:rsid w:val="54BE6E84"/>
    <w:rsid w:val="550109B8"/>
    <w:rsid w:val="553829E6"/>
    <w:rsid w:val="55930F78"/>
    <w:rsid w:val="55B24BB7"/>
    <w:rsid w:val="55FB55C5"/>
    <w:rsid w:val="562842C9"/>
    <w:rsid w:val="562F3955"/>
    <w:rsid w:val="563A6EF2"/>
    <w:rsid w:val="564911BA"/>
    <w:rsid w:val="56BC5AAD"/>
    <w:rsid w:val="56C5320C"/>
    <w:rsid w:val="575B0473"/>
    <w:rsid w:val="578E41E9"/>
    <w:rsid w:val="578F4217"/>
    <w:rsid w:val="57DB5F48"/>
    <w:rsid w:val="581110D0"/>
    <w:rsid w:val="582C1B1E"/>
    <w:rsid w:val="583152CE"/>
    <w:rsid w:val="5874755F"/>
    <w:rsid w:val="58CE1FC2"/>
    <w:rsid w:val="59701E26"/>
    <w:rsid w:val="5974075C"/>
    <w:rsid w:val="5977623A"/>
    <w:rsid w:val="5A7053ED"/>
    <w:rsid w:val="5A8A5A44"/>
    <w:rsid w:val="5A90452E"/>
    <w:rsid w:val="5AC24903"/>
    <w:rsid w:val="5AEB5C08"/>
    <w:rsid w:val="5AF4406D"/>
    <w:rsid w:val="5B122FC2"/>
    <w:rsid w:val="5B3475AF"/>
    <w:rsid w:val="5B706EE0"/>
    <w:rsid w:val="5B8D3163"/>
    <w:rsid w:val="5BA80E8A"/>
    <w:rsid w:val="5BD55073"/>
    <w:rsid w:val="5C517B88"/>
    <w:rsid w:val="5C6F2589"/>
    <w:rsid w:val="5CBF734C"/>
    <w:rsid w:val="5CE57AE4"/>
    <w:rsid w:val="5D354714"/>
    <w:rsid w:val="5D593365"/>
    <w:rsid w:val="5D6F11E7"/>
    <w:rsid w:val="5DB31318"/>
    <w:rsid w:val="5DC06C61"/>
    <w:rsid w:val="5E394EDC"/>
    <w:rsid w:val="5F203BD1"/>
    <w:rsid w:val="5F353D00"/>
    <w:rsid w:val="600C353F"/>
    <w:rsid w:val="602145B1"/>
    <w:rsid w:val="60651FB9"/>
    <w:rsid w:val="606E3563"/>
    <w:rsid w:val="60C5738D"/>
    <w:rsid w:val="612B44E3"/>
    <w:rsid w:val="61665FE8"/>
    <w:rsid w:val="616B796B"/>
    <w:rsid w:val="617369EF"/>
    <w:rsid w:val="61B2747F"/>
    <w:rsid w:val="61B84F32"/>
    <w:rsid w:val="624F40F1"/>
    <w:rsid w:val="6260512D"/>
    <w:rsid w:val="62644F22"/>
    <w:rsid w:val="628C1A7E"/>
    <w:rsid w:val="62CE74EF"/>
    <w:rsid w:val="630C1B13"/>
    <w:rsid w:val="633C0705"/>
    <w:rsid w:val="63DC55AA"/>
    <w:rsid w:val="640A697A"/>
    <w:rsid w:val="647A227E"/>
    <w:rsid w:val="647A2FAA"/>
    <w:rsid w:val="64AA3C9F"/>
    <w:rsid w:val="64E83983"/>
    <w:rsid w:val="657C33A9"/>
    <w:rsid w:val="65A610A9"/>
    <w:rsid w:val="66737D2A"/>
    <w:rsid w:val="66EB4AF3"/>
    <w:rsid w:val="670029FC"/>
    <w:rsid w:val="670F0E7F"/>
    <w:rsid w:val="673E37BA"/>
    <w:rsid w:val="675757F7"/>
    <w:rsid w:val="67900A9E"/>
    <w:rsid w:val="679F74B8"/>
    <w:rsid w:val="67DA1613"/>
    <w:rsid w:val="67EE3A47"/>
    <w:rsid w:val="67EF0BE2"/>
    <w:rsid w:val="68442BEE"/>
    <w:rsid w:val="68450345"/>
    <w:rsid w:val="68530282"/>
    <w:rsid w:val="68571CB7"/>
    <w:rsid w:val="68DE0B5A"/>
    <w:rsid w:val="6952174A"/>
    <w:rsid w:val="69861312"/>
    <w:rsid w:val="69C73CE4"/>
    <w:rsid w:val="6AAB51EE"/>
    <w:rsid w:val="6AF721E4"/>
    <w:rsid w:val="6BC24763"/>
    <w:rsid w:val="6BC44226"/>
    <w:rsid w:val="6BF807BB"/>
    <w:rsid w:val="6C2037E6"/>
    <w:rsid w:val="6C2F56B4"/>
    <w:rsid w:val="6C7068E2"/>
    <w:rsid w:val="6C8E6D73"/>
    <w:rsid w:val="6D0515E2"/>
    <w:rsid w:val="6D1062F9"/>
    <w:rsid w:val="6DD644F6"/>
    <w:rsid w:val="6DE96089"/>
    <w:rsid w:val="6E192936"/>
    <w:rsid w:val="6E4B4465"/>
    <w:rsid w:val="6EAA2E50"/>
    <w:rsid w:val="6EE16EB2"/>
    <w:rsid w:val="6FA30538"/>
    <w:rsid w:val="6FC54822"/>
    <w:rsid w:val="6FE576ED"/>
    <w:rsid w:val="6FF1722C"/>
    <w:rsid w:val="706525F8"/>
    <w:rsid w:val="707D1BF1"/>
    <w:rsid w:val="708A51BE"/>
    <w:rsid w:val="70BA7222"/>
    <w:rsid w:val="71A81144"/>
    <w:rsid w:val="7257499D"/>
    <w:rsid w:val="726B7EC1"/>
    <w:rsid w:val="72E65A56"/>
    <w:rsid w:val="730B6BF8"/>
    <w:rsid w:val="734D3398"/>
    <w:rsid w:val="7359441A"/>
    <w:rsid w:val="73876F4C"/>
    <w:rsid w:val="73D75B5B"/>
    <w:rsid w:val="74045C9F"/>
    <w:rsid w:val="74143A77"/>
    <w:rsid w:val="74CA36F8"/>
    <w:rsid w:val="74CF1C9F"/>
    <w:rsid w:val="7507122F"/>
    <w:rsid w:val="7522531C"/>
    <w:rsid w:val="752C0B32"/>
    <w:rsid w:val="75300DE6"/>
    <w:rsid w:val="75427207"/>
    <w:rsid w:val="7574325F"/>
    <w:rsid w:val="75996D81"/>
    <w:rsid w:val="75DC7AC4"/>
    <w:rsid w:val="76000C2F"/>
    <w:rsid w:val="767E4109"/>
    <w:rsid w:val="773F3835"/>
    <w:rsid w:val="774673BC"/>
    <w:rsid w:val="77B246B3"/>
    <w:rsid w:val="7811647C"/>
    <w:rsid w:val="781421AB"/>
    <w:rsid w:val="789B36F5"/>
    <w:rsid w:val="78C0598E"/>
    <w:rsid w:val="797E3DB9"/>
    <w:rsid w:val="79B3002C"/>
    <w:rsid w:val="7A5934C4"/>
    <w:rsid w:val="7A6A6D6E"/>
    <w:rsid w:val="7A7859DE"/>
    <w:rsid w:val="7AAB3D68"/>
    <w:rsid w:val="7AD00E15"/>
    <w:rsid w:val="7AF22244"/>
    <w:rsid w:val="7B30534D"/>
    <w:rsid w:val="7BE8741D"/>
    <w:rsid w:val="7C147246"/>
    <w:rsid w:val="7C965BB2"/>
    <w:rsid w:val="7CC85B3E"/>
    <w:rsid w:val="7CDE48B9"/>
    <w:rsid w:val="7D764ECB"/>
    <w:rsid w:val="7D912426"/>
    <w:rsid w:val="7D950B66"/>
    <w:rsid w:val="7DA60BEF"/>
    <w:rsid w:val="7DAE5168"/>
    <w:rsid w:val="7DC22EFF"/>
    <w:rsid w:val="7DC77C74"/>
    <w:rsid w:val="7DEA79C7"/>
    <w:rsid w:val="7E8228AC"/>
    <w:rsid w:val="7E8B66C5"/>
    <w:rsid w:val="7EB9221A"/>
    <w:rsid w:val="7ED62BB5"/>
    <w:rsid w:val="7F564684"/>
    <w:rsid w:val="7F8257B6"/>
    <w:rsid w:val="7FFF03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0" w:name="heading 5"/>
    <w:lsdException w:qFormat="1" w:uiPriority="9" w:name="heading 6"/>
    <w:lsdException w:qFormat="1" w:unhideWhenUsed="0" w:uiPriority="0" w:semiHidden="0" w:name="heading 7"/>
    <w:lsdException w:qFormat="1" w:unhideWhenUsed="0" w:uiPriority="0" w:semiHidden="0"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0" w:semiHidden="0"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name="Body Text First Indent 2"/>
    <w:lsdException w:uiPriority="99" w:name="Note Heading"/>
    <w:lsdException w:qFormat="1" w:unhideWhenUsed="0" w:uiPriority="99" w:semiHidden="0"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79"/>
    <w:qFormat/>
    <w:uiPriority w:val="9"/>
    <w:pPr>
      <w:keepNext/>
      <w:keepLines/>
      <w:spacing w:before="340" w:after="330" w:line="578" w:lineRule="auto"/>
      <w:outlineLvl w:val="0"/>
    </w:pPr>
    <w:rPr>
      <w:b/>
      <w:bCs/>
      <w:kern w:val="44"/>
      <w:sz w:val="44"/>
      <w:szCs w:val="44"/>
    </w:rPr>
  </w:style>
  <w:style w:type="paragraph" w:styleId="3">
    <w:name w:val="heading 2"/>
    <w:basedOn w:val="1"/>
    <w:next w:val="1"/>
    <w:qFormat/>
    <w:uiPriority w:val="0"/>
    <w:pPr>
      <w:keepNext/>
      <w:keepLines/>
      <w:spacing w:line="360" w:lineRule="auto"/>
      <w:jc w:val="left"/>
      <w:outlineLvl w:val="1"/>
    </w:pPr>
    <w:rPr>
      <w:rFonts w:ascii="Calibri" w:hAnsi="Calibri"/>
      <w:b/>
      <w:bCs/>
      <w:sz w:val="28"/>
      <w:szCs w:val="32"/>
    </w:rPr>
  </w:style>
  <w:style w:type="paragraph" w:styleId="4">
    <w:name w:val="heading 3"/>
    <w:basedOn w:val="1"/>
    <w:next w:val="1"/>
    <w:link w:val="82"/>
    <w:semiHidden/>
    <w:unhideWhenUsed/>
    <w:qFormat/>
    <w:uiPriority w:val="9"/>
    <w:pPr>
      <w:keepNext/>
      <w:keepLines/>
      <w:spacing w:before="260" w:after="260" w:line="416" w:lineRule="auto"/>
      <w:outlineLvl w:val="2"/>
    </w:pPr>
    <w:rPr>
      <w:b/>
      <w:bCs/>
      <w:sz w:val="32"/>
      <w:szCs w:val="32"/>
    </w:rPr>
  </w:style>
  <w:style w:type="paragraph" w:styleId="5">
    <w:name w:val="heading 5"/>
    <w:basedOn w:val="1"/>
    <w:next w:val="1"/>
    <w:link w:val="67"/>
    <w:semiHidden/>
    <w:unhideWhenUsed/>
    <w:qFormat/>
    <w:uiPriority w:val="0"/>
    <w:pPr>
      <w:keepNext/>
      <w:keepLines/>
      <w:spacing w:before="280" w:after="290" w:line="376" w:lineRule="auto"/>
      <w:outlineLvl w:val="4"/>
    </w:pPr>
    <w:rPr>
      <w:rFonts w:ascii="Times New Roman" w:hAnsi="Times New Roman" w:eastAsia="宋体" w:cs="Times New Roman"/>
      <w:b/>
      <w:bCs/>
      <w:sz w:val="28"/>
      <w:szCs w:val="28"/>
    </w:rPr>
  </w:style>
  <w:style w:type="paragraph" w:styleId="6">
    <w:name w:val="heading 7"/>
    <w:basedOn w:val="1"/>
    <w:next w:val="1"/>
    <w:qFormat/>
    <w:uiPriority w:val="0"/>
    <w:pPr>
      <w:numPr>
        <w:ilvl w:val="6"/>
        <w:numId w:val="1"/>
      </w:numPr>
      <w:spacing w:line="300" w:lineRule="exact"/>
      <w:ind w:firstLineChars="0"/>
      <w:outlineLvl w:val="6"/>
    </w:pPr>
    <w:rPr>
      <w:rFonts w:eastAsia="黑体"/>
      <w:bCs/>
      <w:sz w:val="21"/>
    </w:rPr>
  </w:style>
  <w:style w:type="paragraph" w:styleId="7">
    <w:name w:val="heading 8"/>
    <w:basedOn w:val="1"/>
    <w:next w:val="1"/>
    <w:qFormat/>
    <w:uiPriority w:val="0"/>
    <w:pPr>
      <w:spacing w:afterLines="25"/>
      <w:ind w:firstLine="0" w:firstLineChars="0"/>
      <w:jc w:val="center"/>
      <w:outlineLvl w:val="7"/>
    </w:pPr>
    <w:rPr>
      <w:rFonts w:eastAsia="黑体"/>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8">
    <w:name w:val="Normal Indent"/>
    <w:basedOn w:val="1"/>
    <w:next w:val="9"/>
    <w:qFormat/>
    <w:uiPriority w:val="0"/>
    <w:pPr>
      <w:ind w:firstLine="420"/>
    </w:pPr>
    <w:rPr>
      <w:rFonts w:ascii="Calibri" w:hAnsi="Calibri"/>
      <w:sz w:val="28"/>
    </w:rPr>
  </w:style>
  <w:style w:type="paragraph" w:customStyle="1" w:styleId="9">
    <w:name w:val="样式 正文文本 + 首行缩进:  2 字符"/>
    <w:basedOn w:val="1"/>
    <w:qFormat/>
    <w:uiPriority w:val="0"/>
    <w:pPr>
      <w:widowControl/>
      <w:spacing w:before="100" w:beforeAutospacing="1" w:after="200" w:line="480" w:lineRule="exact"/>
      <w:ind w:firstLine="480" w:firstLineChars="200"/>
      <w:jc w:val="left"/>
    </w:pPr>
    <w:rPr>
      <w:rFonts w:eastAsia="微软雅黑"/>
      <w:kern w:val="0"/>
      <w:sz w:val="24"/>
    </w:rPr>
  </w:style>
  <w:style w:type="paragraph" w:styleId="10">
    <w:name w:val="toa heading"/>
    <w:basedOn w:val="1"/>
    <w:next w:val="1"/>
    <w:unhideWhenUsed/>
    <w:qFormat/>
    <w:uiPriority w:val="0"/>
    <w:pPr>
      <w:spacing w:before="120" w:beforeLines="0" w:beforeAutospacing="0"/>
    </w:pPr>
    <w:rPr>
      <w:rFonts w:ascii="Arial" w:hAnsi="Arial"/>
      <w:sz w:val="24"/>
    </w:rPr>
  </w:style>
  <w:style w:type="paragraph" w:styleId="11">
    <w:name w:val="annotation text"/>
    <w:basedOn w:val="1"/>
    <w:link w:val="50"/>
    <w:semiHidden/>
    <w:unhideWhenUsed/>
    <w:qFormat/>
    <w:uiPriority w:val="0"/>
    <w:pPr>
      <w:jc w:val="left"/>
    </w:pPr>
  </w:style>
  <w:style w:type="paragraph" w:styleId="12">
    <w:name w:val="Body Text"/>
    <w:basedOn w:val="1"/>
    <w:qFormat/>
    <w:uiPriority w:val="0"/>
    <w:pPr>
      <w:spacing w:line="300" w:lineRule="auto"/>
    </w:pPr>
    <w:rPr>
      <w:b/>
      <w:bCs/>
    </w:rPr>
  </w:style>
  <w:style w:type="paragraph" w:styleId="13">
    <w:name w:val="Body Text Indent"/>
    <w:basedOn w:val="1"/>
    <w:link w:val="62"/>
    <w:semiHidden/>
    <w:unhideWhenUsed/>
    <w:qFormat/>
    <w:uiPriority w:val="99"/>
    <w:pPr>
      <w:spacing w:after="120"/>
      <w:ind w:left="420" w:leftChars="200"/>
    </w:pPr>
  </w:style>
  <w:style w:type="paragraph" w:styleId="14">
    <w:name w:val="Plain Text"/>
    <w:basedOn w:val="1"/>
    <w:qFormat/>
    <w:uiPriority w:val="0"/>
    <w:rPr>
      <w:rFonts w:hAnsi="Courier New"/>
    </w:rPr>
  </w:style>
  <w:style w:type="paragraph" w:styleId="15">
    <w:name w:val="Body Text Indent 2"/>
    <w:basedOn w:val="1"/>
    <w:next w:val="1"/>
    <w:qFormat/>
    <w:uiPriority w:val="0"/>
    <w:pPr>
      <w:spacing w:line="300" w:lineRule="auto"/>
      <w:ind w:firstLine="480"/>
    </w:pPr>
    <w:rPr>
      <w:rFonts w:ascii="仿宋体" w:hAnsi="Calibri" w:eastAsia="仿宋体"/>
      <w:b/>
      <w:bCs/>
      <w:szCs w:val="24"/>
    </w:rPr>
  </w:style>
  <w:style w:type="paragraph" w:styleId="16">
    <w:name w:val="Balloon Text"/>
    <w:basedOn w:val="1"/>
    <w:link w:val="41"/>
    <w:semiHidden/>
    <w:unhideWhenUsed/>
    <w:qFormat/>
    <w:uiPriority w:val="99"/>
    <w:rPr>
      <w:sz w:val="18"/>
      <w:szCs w:val="18"/>
    </w:rPr>
  </w:style>
  <w:style w:type="paragraph" w:styleId="17">
    <w:name w:val="footer"/>
    <w:basedOn w:val="1"/>
    <w:link w:val="70"/>
    <w:unhideWhenUsed/>
    <w:qFormat/>
    <w:uiPriority w:val="99"/>
    <w:pPr>
      <w:tabs>
        <w:tab w:val="center" w:pos="4153"/>
        <w:tab w:val="right" w:pos="8306"/>
      </w:tabs>
      <w:snapToGrid w:val="0"/>
      <w:jc w:val="left"/>
    </w:pPr>
    <w:rPr>
      <w:sz w:val="18"/>
      <w:szCs w:val="18"/>
    </w:rPr>
  </w:style>
  <w:style w:type="paragraph" w:styleId="18">
    <w:name w:val="header"/>
    <w:basedOn w:val="1"/>
    <w:next w:val="1"/>
    <w:link w:val="69"/>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List"/>
    <w:basedOn w:val="1"/>
    <w:next w:val="1"/>
    <w:qFormat/>
    <w:uiPriority w:val="0"/>
    <w:pPr>
      <w:ind w:left="420" w:hanging="420"/>
    </w:pPr>
    <w:rPr>
      <w:sz w:val="26"/>
      <w:szCs w:val="20"/>
    </w:rPr>
  </w:style>
  <w:style w:type="paragraph" w:styleId="20">
    <w:name w:val="Body Text 2"/>
    <w:basedOn w:val="1"/>
    <w:next w:val="12"/>
    <w:qFormat/>
    <w:uiPriority w:val="99"/>
    <w:pPr>
      <w:spacing w:line="440" w:lineRule="exact"/>
    </w:pPr>
  </w:style>
  <w:style w:type="paragraph" w:styleId="21">
    <w:name w:val="Normal (Web)"/>
    <w:basedOn w:val="1"/>
    <w:link w:val="39"/>
    <w:qFormat/>
    <w:uiPriority w:val="0"/>
    <w:pPr>
      <w:widowControl/>
      <w:spacing w:before="100" w:beforeAutospacing="1" w:after="100" w:afterAutospacing="1"/>
      <w:jc w:val="left"/>
    </w:pPr>
    <w:rPr>
      <w:rFonts w:ascii="宋体" w:hAnsi="宋体" w:eastAsia="宋体" w:cs="Times New Roman"/>
      <w:kern w:val="0"/>
      <w:sz w:val="24"/>
      <w:szCs w:val="24"/>
    </w:rPr>
  </w:style>
  <w:style w:type="paragraph" w:styleId="22">
    <w:name w:val="Title"/>
    <w:basedOn w:val="1"/>
    <w:next w:val="1"/>
    <w:link w:val="40"/>
    <w:qFormat/>
    <w:uiPriority w:val="10"/>
    <w:pPr>
      <w:spacing w:before="240" w:after="60"/>
      <w:jc w:val="center"/>
      <w:outlineLvl w:val="0"/>
    </w:pPr>
    <w:rPr>
      <w:rFonts w:eastAsia="宋体" w:asciiTheme="majorHAnsi" w:hAnsiTheme="majorHAnsi" w:cstheme="majorBidi"/>
      <w:b/>
      <w:bCs/>
      <w:sz w:val="32"/>
      <w:szCs w:val="32"/>
    </w:rPr>
  </w:style>
  <w:style w:type="paragraph" w:styleId="23">
    <w:name w:val="annotation subject"/>
    <w:basedOn w:val="11"/>
    <w:next w:val="11"/>
    <w:link w:val="51"/>
    <w:qFormat/>
    <w:uiPriority w:val="0"/>
    <w:rPr>
      <w:rFonts w:ascii="Times New Roman" w:hAnsi="Times New Roman" w:eastAsia="宋体" w:cs="Times New Roman"/>
      <w:b/>
      <w:bCs/>
      <w:kern w:val="0"/>
      <w:sz w:val="20"/>
      <w:szCs w:val="24"/>
    </w:rPr>
  </w:style>
  <w:style w:type="paragraph" w:styleId="24">
    <w:name w:val="Body Text First Indent"/>
    <w:basedOn w:val="12"/>
    <w:next w:val="1"/>
    <w:qFormat/>
    <w:uiPriority w:val="0"/>
    <w:pPr>
      <w:ind w:firstLine="420" w:firstLineChars="100"/>
    </w:pPr>
  </w:style>
  <w:style w:type="paragraph" w:styleId="25">
    <w:name w:val="Body Text First Indent 2"/>
    <w:basedOn w:val="13"/>
    <w:link w:val="63"/>
    <w:semiHidden/>
    <w:unhideWhenUsed/>
    <w:qFormat/>
    <w:uiPriority w:val="99"/>
    <w:pPr>
      <w:ind w:firstLine="420" w:firstLineChars="200"/>
    </w:pPr>
  </w:style>
  <w:style w:type="table" w:styleId="27">
    <w:name w:val="Table Grid"/>
    <w:basedOn w:val="2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qFormat/>
    <w:uiPriority w:val="22"/>
    <w:rPr>
      <w:b/>
    </w:rPr>
  </w:style>
  <w:style w:type="character" w:styleId="30">
    <w:name w:val="Emphasis"/>
    <w:basedOn w:val="28"/>
    <w:qFormat/>
    <w:uiPriority w:val="20"/>
    <w:rPr>
      <w:i/>
      <w:iCs/>
    </w:rPr>
  </w:style>
  <w:style w:type="character" w:styleId="31">
    <w:name w:val="Hyperlink"/>
    <w:basedOn w:val="28"/>
    <w:semiHidden/>
    <w:unhideWhenUsed/>
    <w:qFormat/>
    <w:uiPriority w:val="99"/>
    <w:rPr>
      <w:color w:val="0000FF"/>
      <w:u w:val="single"/>
    </w:rPr>
  </w:style>
  <w:style w:type="character" w:styleId="32">
    <w:name w:val="annotation reference"/>
    <w:qFormat/>
    <w:uiPriority w:val="99"/>
    <w:rPr>
      <w:sz w:val="21"/>
    </w:rPr>
  </w:style>
  <w:style w:type="paragraph" w:customStyle="1" w:styleId="33">
    <w:name w:val="样式5"/>
    <w:basedOn w:val="34"/>
    <w:qFormat/>
    <w:uiPriority w:val="0"/>
    <w:pPr>
      <w:tabs>
        <w:tab w:val="left" w:pos="3300"/>
      </w:tabs>
      <w:jc w:val="center"/>
    </w:pPr>
    <w:rPr>
      <w:rFonts w:ascii="黑体" w:hAnsi="Times New Roman" w:eastAsia="黑体"/>
      <w:sz w:val="21"/>
      <w:szCs w:val="24"/>
    </w:rPr>
  </w:style>
  <w:style w:type="paragraph" w:customStyle="1" w:styleId="34">
    <w:name w:val="正文1"/>
    <w:basedOn w:val="1"/>
    <w:next w:val="8"/>
    <w:qFormat/>
    <w:uiPriority w:val="0"/>
    <w:pPr>
      <w:tabs>
        <w:tab w:val="left" w:pos="3300"/>
      </w:tabs>
      <w:spacing w:line="360" w:lineRule="auto"/>
      <w:ind w:firstLine="482" w:firstLineChars="200"/>
    </w:pPr>
    <w:rPr>
      <w:rFonts w:eastAsia="仿宋_GB2312"/>
      <w:b/>
      <w:color w:val="000000"/>
      <w:sz w:val="24"/>
    </w:rPr>
  </w:style>
  <w:style w:type="paragraph" w:customStyle="1" w:styleId="35">
    <w:name w:val="简单回函地址"/>
    <w:basedOn w:val="1"/>
    <w:next w:val="36"/>
    <w:qFormat/>
    <w:uiPriority w:val="0"/>
  </w:style>
  <w:style w:type="paragraph" w:customStyle="1" w:styleId="36">
    <w:name w:val="正文2"/>
    <w:basedOn w:val="37"/>
    <w:qFormat/>
    <w:uiPriority w:val="0"/>
    <w:pPr>
      <w:tabs>
        <w:tab w:val="left" w:pos="377"/>
      </w:tabs>
    </w:pPr>
  </w:style>
  <w:style w:type="paragraph" w:customStyle="1" w:styleId="37">
    <w:name w:val="样式 正文 首行缩进:  2 字符 SL CON + 首行缩进:  2 字符"/>
    <w:basedOn w:val="38"/>
    <w:qFormat/>
    <w:uiPriority w:val="0"/>
    <w:pPr>
      <w:tabs>
        <w:tab w:val="left" w:pos="377"/>
      </w:tabs>
      <w:ind w:firstLine="480"/>
    </w:pPr>
    <w:rPr>
      <w:rFonts w:ascii="Calibri" w:hAnsi="Calibri" w:cs="Times New Roman"/>
    </w:rPr>
  </w:style>
  <w:style w:type="paragraph" w:customStyle="1" w:styleId="38">
    <w:name w:val="正文 首行缩进:  2 字符 SL CON"/>
    <w:basedOn w:val="1"/>
    <w:qFormat/>
    <w:uiPriority w:val="0"/>
    <w:pPr>
      <w:widowControl/>
      <w:tabs>
        <w:tab w:val="left" w:pos="377"/>
      </w:tabs>
      <w:spacing w:line="360" w:lineRule="auto"/>
      <w:ind w:firstLine="200" w:firstLineChars="200"/>
    </w:pPr>
    <w:rPr>
      <w:rFonts w:ascii="宋体" w:cs="宋体"/>
      <w:kern w:val="0"/>
      <w:sz w:val="24"/>
    </w:rPr>
  </w:style>
  <w:style w:type="character" w:customStyle="1" w:styleId="39">
    <w:name w:val="普通(网站) 字符"/>
    <w:link w:val="21"/>
    <w:qFormat/>
    <w:locked/>
    <w:uiPriority w:val="0"/>
    <w:rPr>
      <w:rFonts w:ascii="宋体" w:hAnsi="宋体" w:eastAsia="宋体" w:cs="Times New Roman"/>
      <w:kern w:val="0"/>
      <w:sz w:val="24"/>
      <w:szCs w:val="24"/>
    </w:rPr>
  </w:style>
  <w:style w:type="character" w:customStyle="1" w:styleId="40">
    <w:name w:val="标题 字符"/>
    <w:basedOn w:val="28"/>
    <w:link w:val="22"/>
    <w:qFormat/>
    <w:uiPriority w:val="10"/>
    <w:rPr>
      <w:rFonts w:eastAsia="宋体" w:asciiTheme="majorHAnsi" w:hAnsiTheme="majorHAnsi" w:cstheme="majorBidi"/>
      <w:b/>
      <w:bCs/>
      <w:sz w:val="32"/>
      <w:szCs w:val="32"/>
    </w:rPr>
  </w:style>
  <w:style w:type="character" w:customStyle="1" w:styleId="41">
    <w:name w:val="批注框文本 字符"/>
    <w:basedOn w:val="28"/>
    <w:link w:val="16"/>
    <w:semiHidden/>
    <w:qFormat/>
    <w:uiPriority w:val="99"/>
    <w:rPr>
      <w:sz w:val="18"/>
      <w:szCs w:val="18"/>
    </w:rPr>
  </w:style>
  <w:style w:type="paragraph" w:customStyle="1" w:styleId="42">
    <w:name w:val="1、L表内字"/>
    <w:basedOn w:val="1"/>
    <w:qFormat/>
    <w:uiPriority w:val="0"/>
    <w:pPr>
      <w:adjustRightInd w:val="0"/>
      <w:snapToGrid w:val="0"/>
    </w:pPr>
    <w:rPr>
      <w:rFonts w:ascii="Times New Roman" w:hAnsi="宋体" w:eastAsia="宋体" w:cs="Times New Roman"/>
      <w:color w:val="000000"/>
      <w:szCs w:val="21"/>
    </w:rPr>
  </w:style>
  <w:style w:type="paragraph" w:customStyle="1" w:styleId="43">
    <w:name w:val="表格修改"/>
    <w:basedOn w:val="1"/>
    <w:link w:val="44"/>
    <w:qFormat/>
    <w:uiPriority w:val="0"/>
    <w:pPr>
      <w:tabs>
        <w:tab w:val="left" w:pos="0"/>
      </w:tabs>
      <w:spacing w:beforeLines="20" w:afterLines="20" w:line="240" w:lineRule="exact"/>
      <w:ind w:left="-50" w:leftChars="-50"/>
      <w:contextualSpacing/>
      <w:jc w:val="center"/>
    </w:pPr>
    <w:rPr>
      <w:rFonts w:ascii="Times New Roman" w:hAnsi="Times New Roman" w:eastAsia="宋体" w:cs="Times New Roman"/>
      <w:bCs/>
      <w:szCs w:val="21"/>
    </w:rPr>
  </w:style>
  <w:style w:type="character" w:customStyle="1" w:styleId="44">
    <w:name w:val="表格修改 Char"/>
    <w:basedOn w:val="28"/>
    <w:link w:val="43"/>
    <w:qFormat/>
    <w:uiPriority w:val="0"/>
    <w:rPr>
      <w:rFonts w:ascii="Times New Roman" w:hAnsi="Times New Roman" w:eastAsia="宋体" w:cs="Times New Roman"/>
      <w:bCs/>
      <w:szCs w:val="21"/>
    </w:rPr>
  </w:style>
  <w:style w:type="paragraph" w:styleId="45">
    <w:name w:val="List Paragraph"/>
    <w:basedOn w:val="1"/>
    <w:qFormat/>
    <w:uiPriority w:val="34"/>
    <w:pPr>
      <w:ind w:firstLine="420" w:firstLineChars="200"/>
    </w:pPr>
  </w:style>
  <w:style w:type="character" w:customStyle="1" w:styleId="46">
    <w:name w:val="fl－正文 Char"/>
    <w:link w:val="47"/>
    <w:qFormat/>
    <w:uiPriority w:val="0"/>
    <w:rPr>
      <w:sz w:val="24"/>
    </w:rPr>
  </w:style>
  <w:style w:type="paragraph" w:customStyle="1" w:styleId="47">
    <w:name w:val="fl－正文"/>
    <w:basedOn w:val="1"/>
    <w:link w:val="46"/>
    <w:qFormat/>
    <w:uiPriority w:val="0"/>
    <w:pPr>
      <w:autoSpaceDE w:val="0"/>
      <w:autoSpaceDN w:val="0"/>
      <w:adjustRightInd w:val="0"/>
      <w:snapToGrid w:val="0"/>
      <w:spacing w:line="360" w:lineRule="auto"/>
      <w:ind w:firstLine="200" w:firstLineChars="200"/>
      <w:jc w:val="left"/>
    </w:pPr>
    <w:rPr>
      <w:sz w:val="24"/>
    </w:rPr>
  </w:style>
  <w:style w:type="paragraph" w:customStyle="1" w:styleId="48">
    <w:name w:val="正文-欣欣"/>
    <w:basedOn w:val="1"/>
    <w:next w:val="1"/>
    <w:link w:val="49"/>
    <w:qFormat/>
    <w:uiPriority w:val="0"/>
    <w:pPr>
      <w:spacing w:line="360" w:lineRule="auto"/>
      <w:ind w:firstLine="480" w:firstLineChars="200"/>
    </w:pPr>
    <w:rPr>
      <w:rFonts w:ascii="Times New Roman" w:hAnsi="Times New Roman" w:eastAsia="宋体" w:cs="Times New Roman"/>
      <w:bCs/>
      <w:sz w:val="24"/>
      <w:szCs w:val="24"/>
    </w:rPr>
  </w:style>
  <w:style w:type="character" w:customStyle="1" w:styleId="49">
    <w:name w:val="正文-欣欣 Char"/>
    <w:link w:val="48"/>
    <w:qFormat/>
    <w:uiPriority w:val="0"/>
    <w:rPr>
      <w:rFonts w:ascii="Times New Roman" w:hAnsi="Times New Roman" w:eastAsia="宋体" w:cs="Times New Roman"/>
      <w:bCs/>
      <w:sz w:val="24"/>
      <w:szCs w:val="24"/>
    </w:rPr>
  </w:style>
  <w:style w:type="character" w:customStyle="1" w:styleId="50">
    <w:name w:val="批注文字 字符"/>
    <w:basedOn w:val="28"/>
    <w:link w:val="11"/>
    <w:qFormat/>
    <w:uiPriority w:val="0"/>
  </w:style>
  <w:style w:type="character" w:customStyle="1" w:styleId="51">
    <w:name w:val="批注主题 字符"/>
    <w:basedOn w:val="50"/>
    <w:link w:val="23"/>
    <w:qFormat/>
    <w:uiPriority w:val="0"/>
    <w:rPr>
      <w:rFonts w:ascii="Times New Roman" w:hAnsi="Times New Roman" w:eastAsia="宋体" w:cs="Times New Roman"/>
      <w:b/>
      <w:bCs/>
      <w:kern w:val="0"/>
      <w:sz w:val="20"/>
      <w:szCs w:val="24"/>
    </w:rPr>
  </w:style>
  <w:style w:type="character" w:customStyle="1" w:styleId="52">
    <w:name w:val="表名称 Char"/>
    <w:link w:val="53"/>
    <w:qFormat/>
    <w:uiPriority w:val="0"/>
    <w:rPr>
      <w:b/>
      <w:szCs w:val="24"/>
    </w:rPr>
  </w:style>
  <w:style w:type="paragraph" w:customStyle="1" w:styleId="53">
    <w:name w:val="表名称"/>
    <w:basedOn w:val="1"/>
    <w:link w:val="52"/>
    <w:qFormat/>
    <w:uiPriority w:val="0"/>
    <w:pPr>
      <w:jc w:val="center"/>
    </w:pPr>
    <w:rPr>
      <w:b/>
      <w:szCs w:val="24"/>
    </w:rPr>
  </w:style>
  <w:style w:type="character" w:customStyle="1" w:styleId="54">
    <w:name w:val="LRY正文 字符"/>
    <w:link w:val="55"/>
    <w:qFormat/>
    <w:uiPriority w:val="0"/>
    <w:rPr>
      <w:bCs/>
      <w:sz w:val="24"/>
      <w:szCs w:val="24"/>
    </w:rPr>
  </w:style>
  <w:style w:type="paragraph" w:customStyle="1" w:styleId="55">
    <w:name w:val="LRY正文"/>
    <w:basedOn w:val="25"/>
    <w:link w:val="54"/>
    <w:qFormat/>
    <w:uiPriority w:val="0"/>
    <w:pPr>
      <w:adjustRightInd w:val="0"/>
      <w:snapToGrid w:val="0"/>
      <w:spacing w:after="0" w:line="360" w:lineRule="auto"/>
      <w:ind w:left="0" w:leftChars="0" w:firstLine="200"/>
    </w:pPr>
    <w:rPr>
      <w:bCs/>
      <w:sz w:val="24"/>
      <w:szCs w:val="24"/>
    </w:rPr>
  </w:style>
  <w:style w:type="character" w:customStyle="1" w:styleId="56">
    <w:name w:val="L一级 字符"/>
    <w:link w:val="57"/>
    <w:qFormat/>
    <w:uiPriority w:val="0"/>
    <w:rPr>
      <w:b/>
      <w:color w:val="000000"/>
      <w:sz w:val="28"/>
      <w:szCs w:val="28"/>
    </w:rPr>
  </w:style>
  <w:style w:type="paragraph" w:customStyle="1" w:styleId="57">
    <w:name w:val="L一级"/>
    <w:basedOn w:val="1"/>
    <w:link w:val="56"/>
    <w:qFormat/>
    <w:uiPriority w:val="0"/>
    <w:pPr>
      <w:snapToGrid w:val="0"/>
      <w:spacing w:line="360" w:lineRule="auto"/>
    </w:pPr>
    <w:rPr>
      <w:b/>
      <w:color w:val="000000"/>
      <w:sz w:val="28"/>
      <w:szCs w:val="28"/>
    </w:rPr>
  </w:style>
  <w:style w:type="character" w:customStyle="1" w:styleId="58">
    <w:name w:val="1、L表名、图名 Char"/>
    <w:link w:val="59"/>
    <w:qFormat/>
    <w:uiPriority w:val="0"/>
    <w:rPr>
      <w:b/>
      <w:bCs/>
      <w:szCs w:val="18"/>
    </w:rPr>
  </w:style>
  <w:style w:type="paragraph" w:customStyle="1" w:styleId="59">
    <w:name w:val="1、L表名、图名"/>
    <w:basedOn w:val="1"/>
    <w:link w:val="58"/>
    <w:qFormat/>
    <w:uiPriority w:val="0"/>
    <w:pPr>
      <w:adjustRightInd w:val="0"/>
      <w:snapToGrid w:val="0"/>
      <w:jc w:val="center"/>
    </w:pPr>
    <w:rPr>
      <w:b/>
      <w:bCs/>
      <w:szCs w:val="18"/>
    </w:rPr>
  </w:style>
  <w:style w:type="character" w:customStyle="1" w:styleId="60">
    <w:name w:val="表名 Char"/>
    <w:link w:val="61"/>
    <w:qFormat/>
    <w:uiPriority w:val="0"/>
    <w:rPr>
      <w:rFonts w:hAnsi="宋体"/>
      <w:b/>
      <w:color w:val="000000"/>
      <w:szCs w:val="21"/>
    </w:rPr>
  </w:style>
  <w:style w:type="paragraph" w:customStyle="1" w:styleId="61">
    <w:name w:val="表名"/>
    <w:basedOn w:val="1"/>
    <w:link w:val="60"/>
    <w:qFormat/>
    <w:uiPriority w:val="0"/>
    <w:pPr>
      <w:adjustRightInd w:val="0"/>
      <w:snapToGrid w:val="0"/>
      <w:spacing w:before="156" w:beforeLines="50"/>
      <w:jc w:val="center"/>
    </w:pPr>
    <w:rPr>
      <w:rFonts w:hAnsi="宋体"/>
      <w:b/>
      <w:color w:val="000000"/>
      <w:szCs w:val="21"/>
    </w:rPr>
  </w:style>
  <w:style w:type="character" w:customStyle="1" w:styleId="62">
    <w:name w:val="正文文本缩进 字符"/>
    <w:basedOn w:val="28"/>
    <w:link w:val="13"/>
    <w:semiHidden/>
    <w:qFormat/>
    <w:uiPriority w:val="99"/>
  </w:style>
  <w:style w:type="character" w:customStyle="1" w:styleId="63">
    <w:name w:val="正文首行缩进 2 字符"/>
    <w:basedOn w:val="62"/>
    <w:link w:val="25"/>
    <w:semiHidden/>
    <w:qFormat/>
    <w:uiPriority w:val="99"/>
  </w:style>
  <w:style w:type="character" w:customStyle="1" w:styleId="64">
    <w:name w:val="表格内容 Char"/>
    <w:link w:val="65"/>
    <w:qFormat/>
    <w:uiPriority w:val="0"/>
    <w:rPr>
      <w:rFonts w:cs="Courier New"/>
      <w:szCs w:val="21"/>
    </w:rPr>
  </w:style>
  <w:style w:type="paragraph" w:customStyle="1" w:styleId="65">
    <w:name w:val="表格内容"/>
    <w:basedOn w:val="1"/>
    <w:next w:val="1"/>
    <w:link w:val="64"/>
    <w:qFormat/>
    <w:uiPriority w:val="0"/>
    <w:pPr>
      <w:jc w:val="center"/>
    </w:pPr>
    <w:rPr>
      <w:rFonts w:cs="Courier New"/>
      <w:szCs w:val="21"/>
    </w:rPr>
  </w:style>
  <w:style w:type="paragraph" w:customStyle="1" w:styleId="66">
    <w:name w:val="L表4自动"/>
    <w:basedOn w:val="1"/>
    <w:qFormat/>
    <w:uiPriority w:val="0"/>
    <w:pPr>
      <w:numPr>
        <w:ilvl w:val="0"/>
        <w:numId w:val="2"/>
      </w:numPr>
      <w:adjustRightInd w:val="0"/>
      <w:snapToGrid w:val="0"/>
      <w:jc w:val="center"/>
    </w:pPr>
    <w:rPr>
      <w:rFonts w:ascii="Times New Roman" w:hAnsi="Times New Roman" w:eastAsia="宋体" w:cs="Times New Roman"/>
      <w:b/>
      <w:bCs/>
      <w:szCs w:val="18"/>
    </w:rPr>
  </w:style>
  <w:style w:type="character" w:customStyle="1" w:styleId="67">
    <w:name w:val="标题 5 字符"/>
    <w:basedOn w:val="28"/>
    <w:link w:val="5"/>
    <w:semiHidden/>
    <w:qFormat/>
    <w:uiPriority w:val="0"/>
    <w:rPr>
      <w:rFonts w:ascii="Times New Roman" w:hAnsi="Times New Roman" w:eastAsia="宋体" w:cs="Times New Roman"/>
      <w:b/>
      <w:bCs/>
      <w:sz w:val="28"/>
      <w:szCs w:val="28"/>
    </w:rPr>
  </w:style>
  <w:style w:type="paragraph" w:customStyle="1" w:styleId="68">
    <w:name w:val="L表7自动"/>
    <w:basedOn w:val="1"/>
    <w:qFormat/>
    <w:uiPriority w:val="0"/>
    <w:pPr>
      <w:numPr>
        <w:ilvl w:val="0"/>
        <w:numId w:val="3"/>
      </w:numPr>
      <w:adjustRightInd w:val="0"/>
      <w:snapToGrid w:val="0"/>
      <w:jc w:val="center"/>
    </w:pPr>
    <w:rPr>
      <w:rFonts w:ascii="Times New Roman" w:hAnsi="Times New Roman" w:eastAsia="宋体" w:cs="Times New Roman"/>
      <w:b/>
      <w:bCs/>
      <w:szCs w:val="18"/>
    </w:rPr>
  </w:style>
  <w:style w:type="character" w:customStyle="1" w:styleId="69">
    <w:name w:val="页眉 字符"/>
    <w:basedOn w:val="28"/>
    <w:link w:val="18"/>
    <w:qFormat/>
    <w:uiPriority w:val="99"/>
    <w:rPr>
      <w:sz w:val="18"/>
      <w:szCs w:val="18"/>
    </w:rPr>
  </w:style>
  <w:style w:type="character" w:customStyle="1" w:styleId="70">
    <w:name w:val="页脚 字符"/>
    <w:basedOn w:val="28"/>
    <w:link w:val="17"/>
    <w:qFormat/>
    <w:uiPriority w:val="99"/>
    <w:rPr>
      <w:sz w:val="18"/>
      <w:szCs w:val="18"/>
    </w:rPr>
  </w:style>
  <w:style w:type="paragraph" w:customStyle="1" w:styleId="71">
    <w:name w:val="表格"/>
    <w:basedOn w:val="72"/>
    <w:qFormat/>
    <w:uiPriority w:val="0"/>
    <w:rPr>
      <w:rFonts w:ascii="Times New Roman" w:hAnsi="Times New Roman" w:eastAsia="宋体" w:cs="Times New Roman"/>
      <w:szCs w:val="21"/>
    </w:rPr>
  </w:style>
  <w:style w:type="paragraph" w:customStyle="1" w:styleId="72">
    <w:name w:val="表格居中"/>
    <w:basedOn w:val="1"/>
    <w:qFormat/>
    <w:uiPriority w:val="0"/>
    <w:pPr>
      <w:jc w:val="center"/>
    </w:pPr>
    <w:rPr>
      <w:rFonts w:ascii="Arial" w:hAnsi="Arial"/>
      <w:szCs w:val="20"/>
    </w:rPr>
  </w:style>
  <w:style w:type="paragraph" w:customStyle="1" w:styleId="73">
    <w:name w:val="1、表内字"/>
    <w:basedOn w:val="1"/>
    <w:qFormat/>
    <w:uiPriority w:val="0"/>
    <w:pPr>
      <w:jc w:val="left"/>
    </w:pPr>
    <w:rPr>
      <w:rFonts w:ascii="Times New Roman" w:hAnsi="Times New Roman" w:eastAsia="宋体" w:cs="Times New Roman"/>
      <w:color w:val="000000"/>
      <w:szCs w:val="21"/>
    </w:rPr>
  </w:style>
  <w:style w:type="paragraph" w:customStyle="1" w:styleId="74">
    <w:name w:val="Default"/>
    <w:basedOn w:val="75"/>
    <w:next w:val="1"/>
    <w:qFormat/>
    <w:uiPriority w:val="0"/>
    <w:pPr>
      <w:autoSpaceDE w:val="0"/>
      <w:autoSpaceDN w:val="0"/>
      <w:adjustRightInd w:val="0"/>
    </w:pPr>
    <w:rPr>
      <w:rFonts w:eastAsia="宋体" w:cs="宋体" w:hAnsiTheme="minorHAnsi"/>
      <w:color w:val="000000"/>
      <w:sz w:val="24"/>
      <w:szCs w:val="24"/>
    </w:rPr>
  </w:style>
  <w:style w:type="paragraph" w:customStyle="1" w:styleId="75">
    <w:name w:val="纯文本1"/>
    <w:basedOn w:val="1"/>
    <w:next w:val="1"/>
    <w:qFormat/>
    <w:uiPriority w:val="0"/>
    <w:rPr>
      <w:rFonts w:hint="eastAsia" w:ascii="宋体" w:hAnsi="Courier New"/>
    </w:rPr>
  </w:style>
  <w:style w:type="character" w:customStyle="1" w:styleId="76">
    <w:name w:val="L2级 字符"/>
    <w:link w:val="77"/>
    <w:qFormat/>
    <w:uiPriority w:val="0"/>
    <w:rPr>
      <w:b/>
      <w:bCs/>
      <w:color w:val="000000"/>
      <w:sz w:val="24"/>
      <w:szCs w:val="24"/>
    </w:rPr>
  </w:style>
  <w:style w:type="paragraph" w:customStyle="1" w:styleId="77">
    <w:name w:val="L2级"/>
    <w:basedOn w:val="55"/>
    <w:link w:val="76"/>
    <w:qFormat/>
    <w:uiPriority w:val="0"/>
    <w:pPr>
      <w:ind w:firstLine="482"/>
    </w:pPr>
    <w:rPr>
      <w:b/>
      <w:color w:val="000000"/>
    </w:rPr>
  </w:style>
  <w:style w:type="paragraph" w:customStyle="1" w:styleId="78">
    <w:name w:val="表格首行"/>
    <w:basedOn w:val="1"/>
    <w:next w:val="1"/>
    <w:qFormat/>
    <w:uiPriority w:val="0"/>
    <w:pPr>
      <w:jc w:val="center"/>
    </w:pPr>
    <w:rPr>
      <w:rFonts w:ascii="Times New Roman" w:hAnsi="Times New Roman" w:eastAsia="宋体" w:cs="宋体"/>
      <w:b/>
      <w:szCs w:val="20"/>
    </w:rPr>
  </w:style>
  <w:style w:type="character" w:customStyle="1" w:styleId="79">
    <w:name w:val="标题 1 字符"/>
    <w:basedOn w:val="28"/>
    <w:link w:val="2"/>
    <w:qFormat/>
    <w:uiPriority w:val="9"/>
    <w:rPr>
      <w:b/>
      <w:bCs/>
      <w:kern w:val="44"/>
      <w:sz w:val="44"/>
      <w:szCs w:val="44"/>
    </w:rPr>
  </w:style>
  <w:style w:type="character" w:customStyle="1" w:styleId="80">
    <w:name w:val="表中字 Char"/>
    <w:link w:val="81"/>
    <w:qFormat/>
    <w:uiPriority w:val="0"/>
    <w:rPr>
      <w:rFonts w:ascii="宋体" w:hAnsi="宋体"/>
      <w:bCs/>
      <w:color w:val="FF0000"/>
      <w:szCs w:val="21"/>
    </w:rPr>
  </w:style>
  <w:style w:type="paragraph" w:customStyle="1" w:styleId="81">
    <w:name w:val="表中字"/>
    <w:basedOn w:val="1"/>
    <w:link w:val="80"/>
    <w:qFormat/>
    <w:uiPriority w:val="0"/>
    <w:pPr>
      <w:ind w:firstLine="419" w:firstLineChars="419"/>
      <w:contextualSpacing/>
      <w:jc w:val="left"/>
    </w:pPr>
    <w:rPr>
      <w:rFonts w:ascii="宋体" w:hAnsi="宋体"/>
      <w:bCs/>
      <w:color w:val="FF0000"/>
      <w:szCs w:val="21"/>
    </w:rPr>
  </w:style>
  <w:style w:type="character" w:customStyle="1" w:styleId="82">
    <w:name w:val="标题 3 字符"/>
    <w:basedOn w:val="28"/>
    <w:link w:val="4"/>
    <w:semiHidden/>
    <w:qFormat/>
    <w:uiPriority w:val="9"/>
    <w:rPr>
      <w:b/>
      <w:bCs/>
      <w:sz w:val="32"/>
      <w:szCs w:val="32"/>
    </w:rPr>
  </w:style>
  <w:style w:type="table" w:customStyle="1" w:styleId="83">
    <w:name w:val="Table Grid_0"/>
    <w:basedOn w:val="26"/>
    <w:qFormat/>
    <w:uiPriority w:val="0"/>
    <w:rPr>
      <w:rFonts w:eastAsia="仿宋"/>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4">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85">
    <w:name w:val="01大庆环评 表格文字"/>
    <w:basedOn w:val="1"/>
    <w:qFormat/>
    <w:uiPriority w:val="0"/>
    <w:pPr>
      <w:jc w:val="center"/>
    </w:pPr>
    <w:rPr>
      <w:kern w:val="0"/>
    </w:rPr>
  </w:style>
  <w:style w:type="character" w:customStyle="1" w:styleId="86">
    <w:name w:val="16"/>
    <w:qFormat/>
    <w:uiPriority w:val="0"/>
    <w:rPr>
      <w:rFonts w:hint="default" w:ascii="TimesNewRoman" w:hAnsi="TimesNewRoman"/>
      <w:i/>
    </w:rPr>
  </w:style>
  <w:style w:type="paragraph" w:customStyle="1" w:styleId="87">
    <w:name w:val="Table Paragraph"/>
    <w:basedOn w:val="1"/>
    <w:qFormat/>
    <w:uiPriority w:val="0"/>
    <w:rPr>
      <w:rFonts w:cs="宋体"/>
      <w:szCs w:val="21"/>
    </w:rPr>
  </w:style>
  <w:style w:type="paragraph" w:customStyle="1" w:styleId="88">
    <w:name w:val="表格文字"/>
    <w:basedOn w:val="1"/>
    <w:next w:val="1"/>
    <w:qFormat/>
    <w:uiPriority w:val="0"/>
    <w:pPr>
      <w:adjustRightInd w:val="0"/>
      <w:snapToGrid w:val="0"/>
      <w:jc w:val="center"/>
    </w:pPr>
    <w:rPr>
      <w:snapToGrid w:val="0"/>
      <w:kern w:val="0"/>
      <w:szCs w:val="20"/>
    </w:rPr>
  </w:style>
  <w:style w:type="paragraph" w:customStyle="1" w:styleId="89">
    <w:name w:val="1正文加粗"/>
    <w:basedOn w:val="90"/>
    <w:qFormat/>
    <w:uiPriority w:val="0"/>
    <w:rPr>
      <w:b/>
    </w:rPr>
  </w:style>
  <w:style w:type="paragraph" w:customStyle="1" w:styleId="90">
    <w:name w:val="1正文文本"/>
    <w:basedOn w:val="1"/>
    <w:qFormat/>
    <w:uiPriority w:val="0"/>
    <w:pPr>
      <w:autoSpaceDE w:val="0"/>
      <w:autoSpaceDN w:val="0"/>
      <w:adjustRightInd w:val="0"/>
      <w:spacing w:line="480" w:lineRule="exact"/>
      <w:ind w:firstLine="200" w:firstLineChars="200"/>
    </w:pPr>
    <w:rPr>
      <w:rFonts w:hAnsi="宋体"/>
      <w:kern w:val="0"/>
      <w:sz w:val="24"/>
    </w:rPr>
  </w:style>
  <w:style w:type="paragraph" w:customStyle="1" w:styleId="91">
    <w:name w:val="样式7"/>
    <w:basedOn w:val="1"/>
    <w:qFormat/>
    <w:uiPriority w:val="0"/>
    <w:pPr>
      <w:spacing w:line="300" w:lineRule="exact"/>
      <w:ind w:left="-120" w:leftChars="-50" w:right="-120" w:rightChars="-50"/>
      <w:jc w:val="center"/>
    </w:pPr>
    <w:rPr>
      <w:sz w:val="21"/>
    </w:rPr>
  </w:style>
  <w:style w:type="table" w:customStyle="1" w:styleId="92">
    <w:name w:val="Table Normal"/>
    <w:semiHidden/>
    <w:unhideWhenUsed/>
    <w:qFormat/>
    <w:uiPriority w:val="0"/>
    <w:tblPr>
      <w:tblCellMar>
        <w:top w:w="0" w:type="dxa"/>
        <w:left w:w="0" w:type="dxa"/>
        <w:bottom w:w="0" w:type="dxa"/>
        <w:right w:w="0" w:type="dxa"/>
      </w:tblCellMar>
    </w:tblPr>
  </w:style>
  <w:style w:type="paragraph" w:customStyle="1" w:styleId="93">
    <w:name w:val="Table Text"/>
    <w:basedOn w:val="1"/>
    <w:semiHidden/>
    <w:qFormat/>
    <w:uiPriority w:val="0"/>
    <w:rPr>
      <w:rFonts w:ascii="Times New Roman" w:hAnsi="Times New Roman" w:eastAsia="Times New Roman" w:cs="Times New Roman"/>
      <w:sz w:val="20"/>
      <w:szCs w:val="20"/>
      <w:lang w:val="en-US" w:eastAsia="en-US" w:bidi="ar-SA"/>
    </w:rPr>
  </w:style>
  <w:style w:type="paragraph" w:customStyle="1" w:styleId="94">
    <w:name w:val="样式4"/>
    <w:basedOn w:val="1"/>
    <w:qFormat/>
    <w:uiPriority w:val="0"/>
    <w:pPr>
      <w:ind w:firstLine="480" w:firstLineChars="200"/>
    </w:pPr>
    <w:rPr>
      <w:color w:val="000000"/>
    </w:rPr>
  </w:style>
  <w:style w:type="paragraph" w:customStyle="1" w:styleId="95">
    <w:name w:val="正文文本123"/>
    <w:basedOn w:val="1"/>
    <w:qFormat/>
    <w:uiPriority w:val="99"/>
    <w:pPr>
      <w:ind w:firstLine="480"/>
    </w:pPr>
    <w:rPr>
      <w:szCs w:val="24"/>
    </w:rPr>
  </w:style>
  <w:style w:type="character" w:customStyle="1" w:styleId="96">
    <w:name w:val="font11"/>
    <w:basedOn w:val="28"/>
    <w:qFormat/>
    <w:uiPriority w:val="0"/>
    <w:rPr>
      <w:rFonts w:hint="eastAsia" w:ascii="宋体" w:hAnsi="宋体" w:eastAsia="宋体" w:cs="宋体"/>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bin"/><Relationship Id="rId98" Type="http://schemas.openxmlformats.org/officeDocument/2006/relationships/image" Target="media/image91.wmf"/><Relationship Id="rId97" Type="http://schemas.openxmlformats.org/officeDocument/2006/relationships/oleObject" Target="embeddings/oleObject2.bin"/><Relationship Id="rId96" Type="http://schemas.openxmlformats.org/officeDocument/2006/relationships/image" Target="media/image90.wmf"/><Relationship Id="rId95" Type="http://schemas.openxmlformats.org/officeDocument/2006/relationships/oleObject" Target="embeddings/oleObject1.bin"/><Relationship Id="rId94" Type="http://schemas.openxmlformats.org/officeDocument/2006/relationships/image" Target="media/image89.pn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pn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png"/><Relationship Id="rId65" Type="http://schemas.openxmlformats.org/officeDocument/2006/relationships/image" Target="media/image60.jpe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jpe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8" Type="http://schemas.openxmlformats.org/officeDocument/2006/relationships/fontTable" Target="fontTable.xml"/><Relationship Id="rId147" Type="http://schemas.openxmlformats.org/officeDocument/2006/relationships/customXml" Target="../customXml/item2.xml"/><Relationship Id="rId146" Type="http://schemas.openxmlformats.org/officeDocument/2006/relationships/numbering" Target="numbering.xml"/><Relationship Id="rId145" Type="http://schemas.openxmlformats.org/officeDocument/2006/relationships/customXml" Target="../customXml/item1.xml"/><Relationship Id="rId144" Type="http://schemas.openxmlformats.org/officeDocument/2006/relationships/image" Target="media/image136.png"/><Relationship Id="rId143" Type="http://schemas.openxmlformats.org/officeDocument/2006/relationships/image" Target="media/image135.pn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9.pn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8.pn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openxmlformats.org/officeDocument/2006/relationships/image" Target="media/image115.png"/><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7.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6.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wmf"/><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9361F9E-884E-478A-8548-2206550D1A78}">
  <ds:schemaRefs/>
</ds:datastoreItem>
</file>

<file path=docProps/app.xml><?xml version="1.0" encoding="utf-8"?>
<Properties xmlns="http://schemas.openxmlformats.org/officeDocument/2006/extended-properties" xmlns:vt="http://schemas.openxmlformats.org/officeDocument/2006/docPropsVTypes">
  <Template>normal</Template>
  <Company>daohangxitong.com</Company>
  <Pages>183</Pages>
  <Words>92988</Words>
  <Characters>110000</Characters>
  <Lines>493</Lines>
  <Paragraphs>138</Paragraphs>
  <TotalTime>141</TotalTime>
  <ScaleCrop>false</ScaleCrop>
  <LinksUpToDate>false</LinksUpToDate>
  <CharactersWithSpaces>111187</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2023-06-19T02:31:00Z</dcterms:created>
  <dc:creator>Administrator</dc:creator>
  <cp:lastModifiedBy>Administrator</cp:lastModifiedBy>
  <cp:lastPrinted>2024-02-23T09:46:00Z</cp:lastPrinted>
  <dcterms:modified xsi:type="dcterms:W3CDTF">2024-05-16T01:28:36Z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D6700AA117D94C15AAA09985C23BFADE_13</vt:lpwstr>
  </property>
  <property fmtid="{D5CDD505-2E9C-101B-9397-08002B2CF9AE}" pid="4" name="commondata">
    <vt:lpwstr>eyJoZGlkIjoiYzhhZDcwMjYwMzRlNzc3YjM3OGMwMzZiNTY0NGJmOTkifQ==</vt:lpwstr>
  </property>
</Properties>
</file>